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Songti SC" w:hAnsi="Songti SC" w:eastAsia="Songti SC"/>
        </w:rPr>
        <w:t>LFP SOH 第二阶段文献综述与技术路线</w:t>
      </w:r>
    </w:p>
    <w:p>
      <w:pPr/>
      <w:r>
        <w:rPr>
          <w:rFonts w:ascii="Songti SC" w:hAnsi="Songti SC" w:eastAsia="Songti SC"/>
        </w:rPr>
        <w:t>TechArena 2026 Topic 1 Challenge 2 技术决策稿｜2026 年 9 月 28 日</w:t>
      </w:r>
    </w:p>
    <w:p>
      <w:pPr>
        <w:pStyle w:val="Heading1"/>
      </w:pPr>
      <w:r>
        <w:rPr>
          <w:rFonts w:ascii="Songti SC" w:hAnsi="Songti SC" w:eastAsia="Songti SC"/>
        </w:rPr>
        <w:t>执行摘要</w:t>
      </w:r>
    </w:p>
    <w:p>
      <w:pPr/>
      <w:r>
        <w:rPr>
          <w:rFonts w:ascii="Songti SC" w:hAnsi="Songti SC" w:eastAsia="Songti SC"/>
        </w:rPr>
        <w:t>本项目需要在八个检查日期输出四串 102 Ah 磷酸铁锂（LFP）电池组的</w:t>
      </w:r>
      <w:r>
        <w:rPr>
          <w:rFonts w:ascii="Songti SC" w:hAnsi="Songti SC" w:eastAsia="Songti SC"/>
          <w:b/>
        </w:rPr>
        <w:t>当前容量 SOH</w:t>
      </w:r>
      <w:r>
        <w:rPr>
          <w:rFonts w:ascii="Songti SC" w:hAnsi="Songti SC" w:eastAsia="Songti SC"/>
        </w:rPr>
        <w:t>，评估对象是七个未公开的 CK1—CK7 容量值。官方定义是对应检查条件下的 C/20 放电容量除以 102 Ah；唯一公开容量为 CK0 的 100.41 Ah，故起点为 98.44%，不是 100%。运行数据包含 10 秒为主的电流、四个单体电压、总压、温度及累计 Ah，并有重复的完整充电和短脉冲。我们有足够数据提取相对健康指标，但只有一个真值锚点，不能仅凭比赛包训练并验证一个自由度很高的“特征到容量”映射，也不能算出 CK1—CK7 的真实误差。</w:t>
      </w:r>
    </w:p>
    <w:p>
      <w:pPr/>
      <w:r>
        <w:rPr>
          <w:rFonts w:ascii="Songti SC" w:hAnsi="Songti SC" w:eastAsia="Songti SC"/>
        </w:rPr>
        <w:t>建议首选</w:t>
      </w:r>
      <w:r>
        <w:rPr>
          <w:rFonts w:ascii="Songti SC" w:hAnsi="Songti SC" w:eastAsia="Songti SC"/>
          <w:b/>
        </w:rPr>
        <w:t>事件对齐的部分充电容量与单体曲线联合估计</w:t>
      </w:r>
      <w:r>
        <w:rPr>
          <w:rFonts w:ascii="Songti SC" w:hAnsi="Songti SC" w:eastAsia="Songti SC"/>
        </w:rPr>
        <w:t>：先从历史中筛出质量合格的充电事件，按温度、充电电流和四个单体的可重叠电压窗口分层；积分窗口内 Ah，提取低噪声曲线形状、截止单体与离散度；以 CK0 参考曲线和最早期事件建立容量刻度，以多事件稳健聚合给每个日期输出估计与内部可信度。它保留官方基线的单锚点优势，但把固定总压阈值改为单体对齐、工况控制及事件质量筛选。其关键风险是：在 LFP 平台区，电压窗口对应的 SOC 区间会随极化、滞后和老化漂移，窗口 Ah 的比例不必等于全容量比例。因此“可计算”不等于“已验证准确”，须用公开有标签 LFP 数据和多窗口一致性实验尽快证伪。[Krupp2021; Deng2022; Berecibar2016]</w:t>
      </w:r>
    </w:p>
    <w:p>
      <w:pPr/>
      <w:r>
        <w:rPr>
          <w:rFonts w:ascii="Songti SC" w:hAnsi="Songti SC" w:eastAsia="Songti SC"/>
        </w:rPr>
        <w:t>备选为</w:t>
      </w:r>
      <w:r>
        <w:rPr>
          <w:rFonts w:ascii="Songti SC" w:hAnsi="Songti SC" w:eastAsia="Songti SC"/>
          <w:b/>
        </w:rPr>
        <w:t>CK0 曲线约束的低阶状态/参数联合估计</w:t>
      </w:r>
      <w:r>
        <w:rPr>
          <w:rFonts w:ascii="Songti SC" w:hAnsi="Songti SC" w:eastAsia="Songti SC"/>
        </w:rPr>
        <w:t>。用库仑计数、单体电压、温度和短脉冲估计 SOC、内阻与有限容量参数，仅在 OCV 斜率较高且激励充分的片段更新容量，在平台区冻结；不把阻抗上升直接换算为容量衰减。该路线可处理事件不足，但 LFP 的平坦 OCV 使容量、初始 SOC、电压偏置和极化难以同时辨识，需要严格的不确定性与识别性检查。[Yi2024; ZhouAitioHowey2025; Schaeffer2024]</w:t>
      </w:r>
    </w:p>
    <w:p>
      <w:pPr/>
      <w:r>
        <w:rPr>
          <w:rFonts w:ascii="Songti SC" w:hAnsi="Songti SC" w:eastAsia="Songti SC"/>
        </w:rPr>
        <w:t>第一项开发实验不是训练神经网络，而是</w:t>
      </w:r>
      <w:r>
        <w:rPr>
          <w:rFonts w:ascii="Songti SC" w:hAnsi="Songti SC" w:eastAsia="Songti SC"/>
          <w:b/>
        </w:rPr>
        <w:t>按检查日期截断，复现官方基线并审计可用事件</w:t>
      </w:r>
      <w:r>
        <w:rPr>
          <w:rFonts w:ascii="Songti SC" w:hAnsi="Songti SC" w:eastAsia="Songti SC"/>
        </w:rPr>
        <w:t>：逐次列出可用窗口、温度、电流、单体最小/最大电压、缺口和质量分；比较固定总压窗口与单体对齐窗口在重复事件间的变异。若首选特征在相同条件下仍不稳定，立即启动备选的可辨识性实验；通过验证才切换估计，否则保守回退。</w:t>
      </w:r>
    </w:p>
    <w:p>
      <w:pPr>
        <w:pStyle w:val="Heading1"/>
      </w:pPr>
      <w:r>
        <w:rPr>
          <w:rFonts w:ascii="Songti SC" w:hAnsi="Songti SC" w:eastAsia="Songti SC"/>
        </w:rPr>
        <w:t>1 研究对象与证据边界</w:t>
      </w:r>
    </w:p>
    <w:p>
      <w:pPr/>
      <w:r>
        <w:rPr>
          <w:rFonts w:ascii="Songti SC" w:hAnsi="Songti SC" w:eastAsia="Songti SC"/>
        </w:rPr>
        <w:t>官方运行记录是四个 102 Ah LFP 电芯串联，同一电流流经四芯，温箱设定 25°C 与 45°C。13 个运行片段覆盖 2025 年 1—9 月，segment 03 缺失；片段之间是检查间隔。约每五天有一次到 14.0 V 的 CCCV 充电和约 30 分钟、20 A 放电脉冲。电流正号为充电，负号为放电。charge_Ah_cum 和 discharge_Ah_cum 单调延续，但不含月度检查吞吐量。官方说明指出片段内可能有缺口与重复时间戳；不能用简单的时间积分跨越空洞。CK0 于 2025-01-14，CK1—CK7 的日期可见而容量隐藏。评估时每个日期只应使用当时以前的信息。详见官方 CHALLENGE2_DESCRIPTION.pdf、data/DATA_DESCRIPTION.md 和 framework/data.py。</w:t>
      </w:r>
    </w:p>
    <w:p>
      <w:pPr/>
      <w:r>
        <w:rPr>
          <w:rFonts w:ascii="Songti SC" w:hAnsi="Songti SC" w:eastAsia="Songti SC"/>
        </w:rPr>
        <w:t>本次只读审计了全部 13 个 data/operation/*.csv.gz，共 1,572,894 行。每段有效正间隔的中位数均为 10 秒；累计发现重复时间戳 181 条，超过 60 秒的片段内间隔 3 处。以“充电电流 0.5—40 A、总压 12.6—13.95 V、连续至少 60 点且总压跨度至少 0.2 V”作为</w:t>
      </w:r>
      <w:r>
        <w:rPr>
          <w:rFonts w:ascii="Songti SC" w:hAnsi="Songti SC" w:eastAsia="Songti SC"/>
          <w:b/>
        </w:rPr>
        <w:t>粗筛</w:t>
      </w:r>
      <w:r>
        <w:rPr>
          <w:rFonts w:ascii="Songti SC" w:hAnsi="Songti SC" w:eastAsia="Songti SC"/>
        </w:rPr>
        <w:t>，各片段合计 374 个候选连续窗口；这只是候选数量，尚未验证是否为完整充电、是否具备四单体共同窗口，也不是模型事件数。片段 25/45°C 分布在不同日期，温度和累计老化没有同一时刻的平行对照；不能把两个温度的简单均值差解释为老化。审计程序和逐段数值在 tmp/audit.py、tmp/audit.csv，没有改动原始数据。</w:t>
      </w:r>
    </w:p>
    <w:p>
      <w:pPr/>
      <w:r>
        <w:rPr>
          <w:rFonts w:ascii="Songti SC" w:hAnsi="Songti SC" w:eastAsia="Songti SC"/>
        </w:rPr>
        <w:t>第一阶段 Current State_Challenge1 的模型以标称温度与倍率预测单芯寿命轨迹，预测接口没有本阶段的四芯电压和运行电流。其六芯开发误差、形状先验与跨条件规律只提供研究背景，不能作为第二阶段四串组当前 C/20 容量的已验证映射；先前因缺目标实时信号而排除的方法，现已按新字段重新评价。</w:t>
      </w:r>
    </w:p>
    <w:p>
      <w:pPr/>
      <w:r>
        <w:rPr>
          <w:rFonts w:ascii="Songti SC" w:hAnsi="Songti SC" w:eastAsia="Songti SC"/>
        </w:rPr>
        <w:t>这里的估计目标与“某次运行中可放出的 Ah”“内阻 SOH”“SOC”不同。容量标签来自 C/20 到 11.2 V 的检查，运行充电窗口和 20 A 脉冲处于不同电流、温度、端点条件。它们是容量的代理测量，需要标定与外部验证。串联组在截止电压约束下可用容量可能由较弱单体和初始 SOC 不均衡决定，不能把四个单体容量的平均数直接当作组容量。[Krupp2021]</w:t>
      </w:r>
    </w:p>
    <w:p>
      <w:pPr>
        <w:pStyle w:val="Heading1"/>
      </w:pPr>
      <w:r>
        <w:rPr>
          <w:rFonts w:ascii="Songti SC" w:hAnsi="Songti SC" w:eastAsia="Songti SC"/>
        </w:rPr>
        <w:t>2 检索方法与可信度</w:t>
      </w:r>
    </w:p>
    <w:p>
      <w:pPr/>
      <w:r>
        <w:rPr>
          <w:rFonts w:ascii="Songti SC" w:hAnsi="Songti SC" w:eastAsia="Songti SC"/>
        </w:rPr>
        <w:t>这是面向决策的定向文献综述，不是系统综述或穷尽最新研究。检索从官方引用的 Schaeffer 现场 LFP GP 论文起，扩展至串联组 ICA/DVA、部分充电、动态负载、弛豫、联合 SOC/SOH、物理与统计混合及深度迁移。优先原始研究的开放正式文章、作者稿和机构 PDF；对仅能核对出版页或摘要的文献，只用来标记可能路线与局限，不把其误差当作可迁移证据。具体入口和受限情况见 notes/SEARCH_LOG.md，逐篇证据卡见 notes/EVIDENCE_CARDS.md。截至本稿，深入阅读八篇全文或可访问的完整 HTML/PDF；其余为元数据/摘要级核查。papers/ 没有伪造 PDF：本环境 shell 无法解析外部域名，网页工具提供全文在线阅读，但未将全文合法下载为本地文件。</w:t>
      </w:r>
    </w:p>
    <w:p>
      <w:pPr/>
      <w:r>
        <w:rPr>
          <w:rFonts w:ascii="Songti SC" w:hAnsi="Songti SC" w:eastAsia="Songti SC"/>
        </w:rPr>
        <w:t>跨论文结果不可排成“精度排行榜”。Deng 的 LFP 测试集随机片段 MAE 0.27%（DCNN）来自多电芯、多次容量标签、0.5C CC 充电；Zhou 等动态充电模型基于 NMC622 三并模块、1 Hz、带相邻低倍率标签的 96 模块数据；Zhou—Aitio—Howey 的约 1% 相对 RMSE 来自 NMC/NCA 小电芯；Yi 的 &lt;2% SOH 误差来自两枚 LFP 在 0.1C 和专门脉冲辨识条件下。它们的 SOH 分母、误差单位、训练测试拆分、测量协议和串并拓扑都与目标不同。[Deng2022; Zhou2026; ZhouAitioHowey2025; Yi2024]</w:t>
      </w:r>
    </w:p>
    <w:p>
      <w:pPr>
        <w:pStyle w:val="Heading1"/>
      </w:pPr>
      <w:r>
        <w:rPr>
          <w:rFonts w:ascii="Songti SC" w:hAnsi="Songti SC" w:eastAsia="Songti SC"/>
        </w:rPr>
        <w:t>3 方法谱系：每种测量实际提供什么信息</w:t>
      </w:r>
    </w:p>
    <w:p>
      <w:pPr>
        <w:pStyle w:val="Heading2"/>
      </w:pPr>
      <w:r>
        <w:rPr>
          <w:rFonts w:ascii="Songti SC" w:hAnsi="Songti SC" w:eastAsia="Songti SC"/>
        </w:rPr>
        <w:t>3.1 部分充电 Ah 与端点约束</w:t>
      </w:r>
    </w:p>
    <w:p>
      <w:pPr/>
      <w:r>
        <w:rPr>
          <w:rFonts w:ascii="Songti SC" w:hAnsi="Songti SC" w:eastAsia="Songti SC"/>
        </w:rPr>
        <w:t>官方基线在总压从 13.4 V 到充满的区间积分 Ah，取近期三个事件中位数与首段参考事件之比，再乘 CK0 98.44%。它只需现有电流、总压与一次标签，适合作为必跑对照。然而固定总压阈值在四串体系中混合了四个 SOC 和极化状态；高温与充电倍率改变端电压，LFP 平台区的小电压差尤其容易对应较大的 Ah 差。用四个单体电压可识别哪个单体先接近端点，从而减少组总压掩蔽，但仍不能保证窗口容量比例就是 C/20 全容量比例。[Krupp2021]</w:t>
      </w:r>
    </w:p>
    <w:p>
      <w:pPr/>
      <w:r>
        <w:rPr>
          <w:rFonts w:ascii="Songti SC" w:hAnsi="Songti SC" w:eastAsia="Songti SC"/>
        </w:rPr>
        <w:t>Deng 等用随机短 CC 充电片段证明，局部容量序列含健康信息；其训练需要跨寿命的容量标签和标准化充电条件，不能在本包的单锚点条件下照搬监督回归。[Deng2022, 表1、Methods] Wang 等通过一条标称 OCV—SOC 曲线与老化后局部 OCV 对齐估计容量，说明“单次初始标定 + 局部曲线”可能成立，但其验证是 NMC/石墨硅 4.85 Ah 单芯，动态实验还依赖额外 OCV 识别算法，LFP 平台对齐的可识别性需另测。[Wang2025, §2—3]</w:t>
      </w:r>
    </w:p>
    <w:p>
      <w:pPr>
        <w:pStyle w:val="Heading2"/>
      </w:pPr>
      <w:r>
        <w:rPr>
          <w:rFonts w:ascii="Songti SC" w:hAnsi="Songti SC" w:eastAsia="Songti SC"/>
        </w:rPr>
        <w:t>3.2 ICA/DVA 与单体不均衡</w:t>
      </w:r>
    </w:p>
    <w:p>
      <w:pPr/>
      <w:r>
        <w:rPr>
          <w:rFonts w:ascii="Songti SC" w:hAnsi="Songti SC" w:eastAsia="Songti SC"/>
        </w:rPr>
        <w:t>ICA 为 dQ/dV，DVA 为 dV/dQ。它们把充放电曲线的形状变化转为峰位、峰高与面积，有助于找出电极过程与异常单体。但求导放大噪声，必须先在</w:t>
      </w:r>
      <w:r>
        <w:rPr>
          <w:rFonts w:ascii="Songti SC" w:hAnsi="Songti SC" w:eastAsia="Songti SC"/>
          <w:b/>
        </w:rPr>
        <w:t>相近电流、温度和共同电压范围</w:t>
      </w:r>
      <w:r>
        <w:rPr>
          <w:rFonts w:ascii="Songti SC" w:hAnsi="Songti SC" w:eastAsia="Songti SC"/>
        </w:rPr>
        <w:t>对齐，并报告滤波窗口稳定性。Krupp 等用四串 40 Ah LFP 模块实验证明，同 SOH 单体时组 ICA 有可解释关系；异 SOH 时可从局部组曲线识别不均匀老化。其数据是 1 秒、25°C、专门 C/5 测试，电芯还曾拆组老化，不等于本项目 10 秒动态记录可直接复现。[Krupp2021, §2—4] Berecibar 等报告 LFP 电芯与组级 DVA 的实用潜力，但全文受限，且其 18 单体、多工况参数化与验证不能在当前单组单标签条件下重建。[Berecibar2016, 出版页摘要]</w:t>
      </w:r>
    </w:p>
    <w:p>
      <w:pPr/>
      <w:r>
        <w:rPr>
          <w:rFonts w:ascii="Songti SC" w:hAnsi="Songti SC" w:eastAsia="Songti SC"/>
        </w:rPr>
        <w:t>直接把变电流曲线求导后称作标准 ICA 是概念错误。Zhou 等定义“虚拟 IC/DV”：从动态充电恢复同一健康状态下的参考 CC 曲线，模型需要大量动态输入与对应 CC 曲线/容量标签；其 NMC622 三并、1 Hz 数据与四串 LFP 有显著迁移距离。它可作为公开外部数据充足后的研究路线，不能先于低维、可审计特征。[Zhou2026, §I、V、VI]</w:t>
      </w:r>
    </w:p>
    <w:p>
      <w:pPr>
        <w:pStyle w:val="Heading2"/>
      </w:pPr>
      <w:r>
        <w:rPr>
          <w:rFonts w:ascii="Songti SC" w:hAnsi="Songti SC" w:eastAsia="Songti SC"/>
        </w:rPr>
        <w:t>3.3 脉冲、弛豫与阻抗</w:t>
      </w:r>
    </w:p>
    <w:p>
      <w:pPr/>
      <w:r>
        <w:rPr>
          <w:rFonts w:ascii="Songti SC" w:hAnsi="Songti SC" w:eastAsia="Songti SC"/>
        </w:rPr>
        <w:t>20 A、30 分钟放电脉冲可以在相似 SOC 与温度位置比较 ΔV/ΔI、早晚极化与恢复曲线；10 秒采样无法可靠解析毫秒级欧姆内阻或高频 EIS。因此本项目的脉冲特征适合识别工况变化、单体异常及主路线质量，不宜单独推断 C/20 容量。Schaeffer 等在约 160 Ah 的八串 LFP 现场组上用 GP 分解时间变化与工作点依赖的电阻，并以单体故障概率在线监测；</w:t>
      </w:r>
      <w:r>
        <w:rPr>
          <w:rFonts w:ascii="Songti SC" w:hAnsi="Songti SC" w:eastAsia="Songti SC"/>
          <w:b/>
        </w:rPr>
        <w:t>论文目标是阻抗/故障，不是直接预测 C/20 容量</w:t>
      </w:r>
      <w:r>
        <w:rPr>
          <w:rFonts w:ascii="Songti SC" w:hAnsi="Songti SC" w:eastAsia="Songti SC"/>
        </w:rPr>
        <w:t>。正式版为 28 组、224 芯、约 1.33 亿行；早期 arXiv 版本的 29 组、232 芯、1.31 亿行已过时，不能混引。[Schaeffer2024, 正式版 Summary、Table 1；作者稿 §Field Data Set]</w:t>
      </w:r>
    </w:p>
    <w:p>
      <w:pPr/>
      <w:r>
        <w:rPr>
          <w:rFonts w:ascii="Songti SC" w:hAnsi="Songti SC" w:eastAsia="Songti SC"/>
        </w:rPr>
        <w:t>充满后弛豫电压可提供另一个代理。Zhu 等在 NCA/NMC 等 130 枚商业单芯、专门充后静置协议下得到有用结果；本项目先要核查是否有足够长且可比的静置窗口，且温度与充电截止状态一致。若没有，不把其模型误差移植到 LFP。[Zhu2022, 出版页摘要]</w:t>
      </w:r>
    </w:p>
    <w:p>
      <w:pPr>
        <w:pStyle w:val="Heading2"/>
      </w:pPr>
      <w:r>
        <w:rPr>
          <w:rFonts w:ascii="Songti SC" w:hAnsi="Songti SC" w:eastAsia="Songti SC"/>
        </w:rPr>
        <w:t>3.4 状态模型、统计学习与深度模型</w:t>
      </w:r>
    </w:p>
    <w:p>
      <w:pPr/>
      <w:r>
        <w:rPr>
          <w:rFonts w:ascii="Songti SC" w:hAnsi="Songti SC" w:eastAsia="Songti SC"/>
        </w:rPr>
        <w:t>低阶等效电路把电压写成 OCV(SOC,T) 与电阻、极化、偏置的组合，SOC 由电流积分并依赖容量。容量越小，同样 Ah 引起的 SOC 变化越大；但若初始 SOC、OCV 形状、电压偏置和极化也未知，仅有平台区电压时模型可出现多组近似等价参数。Yi 等专门让 LFP 容量只在 OCV 高斜率区域更新，在平台区冻结并估计电压偏置；实验有 0.1C 与初始 HPPC，说明其识别条件比本包丰富。[Yi2024, §III—IV] Zhou—Aitio—Howey 用老化感知 ECM 和状态空间 GP 从运行数据估容量与阻抗，初始 RPT 校准 OCV，后续 RPT 仅验证；其两套公开小电芯是 NMC/NCA，不证明四串 LFP 可辨识。[ZhouAitioHowey2025, §3—4]</w:t>
      </w:r>
    </w:p>
    <w:p>
      <w:pPr/>
      <w:r>
        <w:rPr>
          <w:rFonts w:ascii="Songti SC" w:hAnsi="Songti SC" w:eastAsia="Songti SC"/>
        </w:rPr>
        <w:t>GP 可以平滑稀疏事件健康指标并给不确定区间，但</w:t>
      </w:r>
      <w:r>
        <w:rPr>
          <w:rFonts w:ascii="Songti SC" w:hAnsi="Songti SC" w:eastAsia="Songti SC"/>
          <w:b/>
        </w:rPr>
        <w:t>GP 的输入若只是日历时间而训练标签只有 CK0，无法从数据中学出后期容量真值</w:t>
      </w:r>
      <w:r>
        <w:rPr>
          <w:rFonts w:ascii="Songti SC" w:hAnsi="Songti SC" w:eastAsia="Songti SC"/>
        </w:rPr>
        <w:t>。它只会外推先验；可以作为对指标轨迹的稳健滤波，而非“自动创造标签”。深度网络、迁移学习或物理约束混合模型只有在公开数据的化学体系、协议、组拓扑、容量定义和许可证可核对且独立外部验证成立时再启用。Cheng 等的 91 个 IC 特征与退化模式网络用 NMC811 40 电芯及 RPT 生成的多次模式标签，展示迁移限制，而非本任务的现成训练集。[Cheng2024, §2]</w:t>
      </w:r>
    </w:p>
    <w:p>
      <w:pPr>
        <w:pStyle w:val="Heading1"/>
      </w:pPr>
      <w:r>
        <w:rPr>
          <w:rFonts w:ascii="Songti SC" w:hAnsi="Songti SC" w:eastAsia="Songti SC"/>
        </w:rPr>
        <w:t>4 横向比较与取舍</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701"/>
            <w:vAlign w:val="center"/>
            <w:shd w:fill="E9EDF0"/>
          </w:tcPr>
          <w:p>
            <w:pPr>
              <w:pStyle w:val="SmallTable"/>
            </w:pPr>
            <w:r>
              <w:rPr>
                <w:b/>
              </w:rPr>
              <w:t>方法族及证据</w:t>
            </w:r>
          </w:p>
        </w:tc>
        <w:tc>
          <w:tcPr>
            <w:tcW w:type="dxa" w:w="2551"/>
            <w:vAlign w:val="center"/>
            <w:shd w:fill="E9EDF0"/>
          </w:tcPr>
          <w:p>
            <w:pPr>
              <w:pStyle w:val="SmallTable"/>
            </w:pPr>
            <w:r>
              <w:rPr>
                <w:b/>
              </w:rPr>
              <w:t>当前可用观测与标签</w:t>
            </w:r>
          </w:p>
        </w:tc>
        <w:tc>
          <w:tcPr>
            <w:tcW w:type="dxa" w:w="2891"/>
            <w:vAlign w:val="center"/>
            <w:shd w:fill="E9EDF0"/>
          </w:tcPr>
          <w:p>
            <w:pPr>
              <w:pStyle w:val="SmallTable"/>
            </w:pPr>
            <w:r>
              <w:rPr>
                <w:b/>
              </w:rPr>
              <w:t>关键适用条件和迁移缺口</w:t>
            </w:r>
          </w:p>
        </w:tc>
        <w:tc>
          <w:tcPr>
            <w:tcW w:type="dxa" w:w="2494"/>
            <w:vAlign w:val="center"/>
            <w:shd w:fill="E9EDF0"/>
          </w:tcPr>
          <w:p>
            <w:pPr>
              <w:pStyle w:val="SmallTable"/>
            </w:pPr>
            <w:r>
              <w:rPr>
                <w:b/>
              </w:rPr>
              <w:t>本项目定位</w:t>
            </w:r>
          </w:p>
        </w:tc>
      </w:tr>
      <w:tr>
        <w:trPr>
          <w:cantSplit/>
        </w:trPr>
        <w:tc>
          <w:tcPr>
            <w:tcW w:type="dxa" w:w="1701"/>
            <w:vAlign w:val="top"/>
          </w:tcPr>
          <w:p>
            <w:pPr>
              <w:pStyle w:val="SmallTable"/>
            </w:pPr>
            <w:r>
              <w:rPr>
                <w:rFonts w:ascii="Songti SC" w:hAnsi="Songti SC" w:eastAsia="Songti SC"/>
              </w:rPr>
              <w:t>固定总压窗口 Ah（官方基线）</w:t>
            </w:r>
          </w:p>
        </w:tc>
        <w:tc>
          <w:tcPr>
            <w:tcW w:type="dxa" w:w="2551"/>
            <w:vAlign w:val="top"/>
          </w:tcPr>
          <w:p>
            <w:pPr>
              <w:pStyle w:val="SmallTable"/>
            </w:pPr>
            <w:r>
              <w:rPr>
                <w:rFonts w:ascii="Songti SC" w:hAnsi="Songti SC" w:eastAsia="Songti SC"/>
              </w:rPr>
              <w:t>电流、总压、CK0；全部存在</w:t>
            </w:r>
          </w:p>
        </w:tc>
        <w:tc>
          <w:tcPr>
            <w:tcW w:type="dxa" w:w="2891"/>
            <w:vAlign w:val="top"/>
          </w:tcPr>
          <w:p>
            <w:pPr>
              <w:pStyle w:val="SmallTable"/>
            </w:pPr>
            <w:r>
              <w:rPr>
                <w:rFonts w:ascii="Songti SC" w:hAnsi="Songti SC" w:eastAsia="Songti SC"/>
              </w:rPr>
              <w:t>平台、温度、单体不均衡使窗口 SOC 不固定</w:t>
            </w:r>
          </w:p>
        </w:tc>
        <w:tc>
          <w:tcPr>
            <w:tcW w:type="dxa" w:w="2494"/>
            <w:vAlign w:val="top"/>
          </w:tcPr>
          <w:p>
            <w:pPr>
              <w:pStyle w:val="SmallTable"/>
            </w:pPr>
            <w:r>
              <w:rPr>
                <w:rFonts w:ascii="Songti SC" w:hAnsi="Songti SC" w:eastAsia="Songti SC"/>
              </w:rPr>
              <w:t>必须复现的对照</w:t>
            </w:r>
          </w:p>
        </w:tc>
      </w:tr>
      <w:tr>
        <w:trPr>
          <w:cantSplit/>
        </w:trPr>
        <w:tc>
          <w:tcPr>
            <w:tcW w:type="dxa" w:w="1701"/>
            <w:vAlign w:val="top"/>
            <w:shd w:fill="F7F8F9"/>
          </w:tcPr>
          <w:p>
            <w:pPr>
              <w:pStyle w:val="SmallTable"/>
            </w:pPr>
            <w:r>
              <w:rPr>
                <w:rFonts w:ascii="Songti SC" w:hAnsi="Songti SC" w:eastAsia="Songti SC"/>
              </w:rPr>
              <w:t>单体对齐局部 Ah 与稳健曲线特征 [Krupp2021; Deng2022]</w:t>
            </w:r>
          </w:p>
        </w:tc>
        <w:tc>
          <w:tcPr>
            <w:tcW w:type="dxa" w:w="2551"/>
            <w:vAlign w:val="top"/>
            <w:shd w:fill="F7F8F9"/>
          </w:tcPr>
          <w:p>
            <w:pPr>
              <w:pStyle w:val="SmallTable"/>
            </w:pPr>
            <w:r>
              <w:rPr>
                <w:rFonts w:ascii="Songti SC" w:hAnsi="Songti SC" w:eastAsia="Songti SC"/>
              </w:rPr>
              <w:t>电流、四芯电压、温度、CK0；存在</w:t>
            </w:r>
          </w:p>
        </w:tc>
        <w:tc>
          <w:tcPr>
            <w:tcW w:type="dxa" w:w="2891"/>
            <w:vAlign w:val="top"/>
            <w:shd w:fill="F7F8F9"/>
          </w:tcPr>
          <w:p>
            <w:pPr>
              <w:pStyle w:val="SmallTable"/>
            </w:pPr>
            <w:r>
              <w:rPr>
                <w:rFonts w:ascii="Songti SC" w:hAnsi="Songti SC" w:eastAsia="Songti SC"/>
              </w:rPr>
              <w:t>需稳定 CC/准 CC 段、共同窗口、外部容量验证</w:t>
            </w:r>
          </w:p>
        </w:tc>
        <w:tc>
          <w:tcPr>
            <w:tcW w:type="dxa" w:w="2494"/>
            <w:vAlign w:val="top"/>
            <w:shd w:fill="F7F8F9"/>
          </w:tcPr>
          <w:p>
            <w:pPr>
              <w:pStyle w:val="SmallTable"/>
            </w:pPr>
            <w:r>
              <w:rPr>
                <w:rFonts w:ascii="Songti SC" w:hAnsi="Songti SC" w:eastAsia="Songti SC"/>
              </w:rPr>
              <w:t>首选，先做可行性与证伪</w:t>
            </w:r>
          </w:p>
        </w:tc>
      </w:tr>
      <w:tr>
        <w:trPr>
          <w:cantSplit/>
        </w:trPr>
        <w:tc>
          <w:tcPr>
            <w:tcW w:type="dxa" w:w="1701"/>
            <w:vAlign w:val="top"/>
          </w:tcPr>
          <w:p>
            <w:pPr>
              <w:pStyle w:val="SmallTable"/>
            </w:pPr>
            <w:r>
              <w:rPr>
                <w:rFonts w:ascii="Songti SC" w:hAnsi="Songti SC" w:eastAsia="Songti SC"/>
              </w:rPr>
              <w:t>组/单体 ICA、DVA [Krupp2021; Berecibar2016]</w:t>
            </w:r>
          </w:p>
        </w:tc>
        <w:tc>
          <w:tcPr>
            <w:tcW w:type="dxa" w:w="2551"/>
            <w:vAlign w:val="top"/>
          </w:tcPr>
          <w:p>
            <w:pPr>
              <w:pStyle w:val="SmallTable"/>
            </w:pPr>
            <w:r>
              <w:rPr>
                <w:rFonts w:ascii="Songti SC" w:hAnsi="Songti SC" w:eastAsia="Songti SC"/>
              </w:rPr>
              <w:t>同上；10 秒采样</w:t>
            </w:r>
          </w:p>
        </w:tc>
        <w:tc>
          <w:tcPr>
            <w:tcW w:type="dxa" w:w="2891"/>
            <w:vAlign w:val="top"/>
          </w:tcPr>
          <w:p>
            <w:pPr>
              <w:pStyle w:val="SmallTable"/>
            </w:pPr>
            <w:r>
              <w:rPr>
                <w:rFonts w:ascii="Songti SC" w:hAnsi="Songti SC" w:eastAsia="Songti SC"/>
              </w:rPr>
              <w:t>微分噪声、变电流、滤波与温度敏感；无多标签</w:t>
            </w:r>
          </w:p>
        </w:tc>
        <w:tc>
          <w:tcPr>
            <w:tcW w:type="dxa" w:w="2494"/>
            <w:vAlign w:val="top"/>
          </w:tcPr>
          <w:p>
            <w:pPr>
              <w:pStyle w:val="SmallTable"/>
            </w:pPr>
            <w:r>
              <w:rPr>
                <w:rFonts w:ascii="Songti SC" w:hAnsi="Songti SC" w:eastAsia="Songti SC"/>
              </w:rPr>
              <w:t>仅用稳健低维特征及异常检测</w:t>
            </w:r>
          </w:p>
        </w:tc>
      </w:tr>
      <w:tr>
        <w:trPr>
          <w:cantSplit/>
        </w:trPr>
        <w:tc>
          <w:tcPr>
            <w:tcW w:type="dxa" w:w="1701"/>
            <w:vAlign w:val="top"/>
            <w:shd w:fill="F7F8F9"/>
          </w:tcPr>
          <w:p>
            <w:pPr>
              <w:pStyle w:val="SmallTable"/>
            </w:pPr>
            <w:r>
              <w:rPr>
                <w:rFonts w:ascii="Songti SC" w:hAnsi="Songti SC" w:eastAsia="Songti SC"/>
              </w:rPr>
              <w:t>脉冲阻抗/GP [Schaeffer2024]</w:t>
            </w:r>
          </w:p>
        </w:tc>
        <w:tc>
          <w:tcPr>
            <w:tcW w:type="dxa" w:w="2551"/>
            <w:vAlign w:val="top"/>
            <w:shd w:fill="F7F8F9"/>
          </w:tcPr>
          <w:p>
            <w:pPr>
              <w:pStyle w:val="SmallTable"/>
            </w:pPr>
            <w:r>
              <w:rPr>
                <w:rFonts w:ascii="Songti SC" w:hAnsi="Songti SC" w:eastAsia="Songti SC"/>
              </w:rPr>
              <w:t>短脉冲、单体电压、温度；存在</w:t>
            </w:r>
          </w:p>
        </w:tc>
        <w:tc>
          <w:tcPr>
            <w:tcW w:type="dxa" w:w="2891"/>
            <w:vAlign w:val="top"/>
            <w:shd w:fill="F7F8F9"/>
          </w:tcPr>
          <w:p>
            <w:pPr>
              <w:pStyle w:val="SmallTable"/>
            </w:pPr>
            <w:r>
              <w:rPr>
                <w:rFonts w:ascii="Songti SC" w:hAnsi="Songti SC" w:eastAsia="Songti SC"/>
              </w:rPr>
              <w:t>阻抗不是 C/20 容量；需匹配 SOC、温度</w:t>
            </w:r>
          </w:p>
        </w:tc>
        <w:tc>
          <w:tcPr>
            <w:tcW w:type="dxa" w:w="2494"/>
            <w:vAlign w:val="top"/>
            <w:shd w:fill="F7F8F9"/>
          </w:tcPr>
          <w:p>
            <w:pPr>
              <w:pStyle w:val="SmallTable"/>
            </w:pPr>
            <w:r>
              <w:rPr>
                <w:rFonts w:ascii="Songti SC" w:hAnsi="Songti SC" w:eastAsia="Songti SC"/>
              </w:rPr>
              <w:t>质量和风险协变量</w:t>
            </w:r>
          </w:p>
        </w:tc>
      </w:tr>
      <w:tr>
        <w:trPr>
          <w:cantSplit/>
        </w:trPr>
        <w:tc>
          <w:tcPr>
            <w:tcW w:type="dxa" w:w="1701"/>
            <w:vAlign w:val="top"/>
          </w:tcPr>
          <w:p>
            <w:pPr>
              <w:pStyle w:val="SmallTable"/>
            </w:pPr>
            <w:r>
              <w:rPr>
                <w:rFonts w:ascii="Songti SC" w:hAnsi="Songti SC" w:eastAsia="Songti SC"/>
              </w:rPr>
              <w:t>弛豫特征 [Zhu2022]</w:t>
            </w:r>
          </w:p>
        </w:tc>
        <w:tc>
          <w:tcPr>
            <w:tcW w:type="dxa" w:w="2551"/>
            <w:vAlign w:val="top"/>
          </w:tcPr>
          <w:p>
            <w:pPr>
              <w:pStyle w:val="SmallTable"/>
            </w:pPr>
            <w:r>
              <w:rPr>
                <w:rFonts w:ascii="Songti SC" w:hAnsi="Songti SC" w:eastAsia="Songti SC"/>
              </w:rPr>
              <w:t>可能有充后静置，待审计</w:t>
            </w:r>
          </w:p>
        </w:tc>
        <w:tc>
          <w:tcPr>
            <w:tcW w:type="dxa" w:w="2891"/>
            <w:vAlign w:val="top"/>
          </w:tcPr>
          <w:p>
            <w:pPr>
              <w:pStyle w:val="SmallTable"/>
            </w:pPr>
            <w:r>
              <w:rPr>
                <w:rFonts w:ascii="Songti SC" w:hAnsi="Songti SC" w:eastAsia="Songti SC"/>
              </w:rPr>
              <w:t>NCA/NMC 迁移；静置时长和初始状态要求</w:t>
            </w:r>
          </w:p>
        </w:tc>
        <w:tc>
          <w:tcPr>
            <w:tcW w:type="dxa" w:w="2494"/>
            <w:vAlign w:val="top"/>
          </w:tcPr>
          <w:p>
            <w:pPr>
              <w:pStyle w:val="SmallTable"/>
            </w:pPr>
            <w:r>
              <w:rPr>
                <w:rFonts w:ascii="Songti SC" w:hAnsi="Songti SC" w:eastAsia="Songti SC"/>
              </w:rPr>
              <w:t>条件满足才做消融</w:t>
            </w:r>
          </w:p>
        </w:tc>
      </w:tr>
      <w:tr>
        <w:trPr>
          <w:cantSplit/>
        </w:trPr>
        <w:tc>
          <w:tcPr>
            <w:tcW w:type="dxa" w:w="1701"/>
            <w:vAlign w:val="top"/>
            <w:shd w:fill="F7F8F9"/>
          </w:tcPr>
          <w:p>
            <w:pPr>
              <w:pStyle w:val="SmallTable"/>
            </w:pPr>
            <w:r>
              <w:rPr>
                <w:rFonts w:ascii="Songti SC" w:hAnsi="Songti SC" w:eastAsia="Songti SC"/>
              </w:rPr>
              <w:t>OCV/ECM 与联合 SOC/SOH [Yi2024; ZhouAitioHowey2025; Wang2025]</w:t>
            </w:r>
          </w:p>
        </w:tc>
        <w:tc>
          <w:tcPr>
            <w:tcW w:type="dxa" w:w="2551"/>
            <w:vAlign w:val="top"/>
            <w:shd w:fill="F7F8F9"/>
          </w:tcPr>
          <w:p>
            <w:pPr>
              <w:pStyle w:val="SmallTable"/>
            </w:pPr>
            <w:r>
              <w:rPr>
                <w:rFonts w:ascii="Songti SC" w:hAnsi="Songti SC" w:eastAsia="Songti SC"/>
              </w:rPr>
              <w:t>CK0 曲线、电流、电压、温度；存在</w:t>
            </w:r>
          </w:p>
        </w:tc>
        <w:tc>
          <w:tcPr>
            <w:tcW w:type="dxa" w:w="2891"/>
            <w:vAlign w:val="top"/>
            <w:shd w:fill="F7F8F9"/>
          </w:tcPr>
          <w:p>
            <w:pPr>
              <w:pStyle w:val="SmallTable"/>
            </w:pPr>
            <w:r>
              <w:rPr>
                <w:rFonts w:ascii="Songti SC" w:hAnsi="Songti SC" w:eastAsia="Songti SC"/>
              </w:rPr>
              <w:t>平台下参数不可辨；电压偏置、滞后和温度模型需控制</w:t>
            </w:r>
          </w:p>
        </w:tc>
        <w:tc>
          <w:tcPr>
            <w:tcW w:type="dxa" w:w="2494"/>
            <w:vAlign w:val="top"/>
            <w:shd w:fill="F7F8F9"/>
          </w:tcPr>
          <w:p>
            <w:pPr>
              <w:pStyle w:val="SmallTable"/>
            </w:pPr>
            <w:r>
              <w:rPr>
                <w:rFonts w:ascii="Songti SC" w:hAnsi="Songti SC" w:eastAsia="Songti SC"/>
              </w:rPr>
              <w:t>备选，限制更新条件</w:t>
            </w:r>
          </w:p>
        </w:tc>
      </w:tr>
      <w:tr>
        <w:trPr>
          <w:cantSplit/>
        </w:trPr>
        <w:tc>
          <w:tcPr>
            <w:tcW w:type="dxa" w:w="1701"/>
            <w:vAlign w:val="top"/>
          </w:tcPr>
          <w:p>
            <w:pPr>
              <w:pStyle w:val="SmallTable"/>
            </w:pPr>
            <w:r>
              <w:rPr>
                <w:rFonts w:ascii="Songti SC" w:hAnsi="Songti SC" w:eastAsia="Songti SC"/>
              </w:rPr>
              <w:t>深度虚拟 ICA/迁移 [Zhou2026; Cheng2024]</w:t>
            </w:r>
          </w:p>
        </w:tc>
        <w:tc>
          <w:tcPr>
            <w:tcW w:type="dxa" w:w="2551"/>
            <w:vAlign w:val="top"/>
          </w:tcPr>
          <w:p>
            <w:pPr>
              <w:pStyle w:val="SmallTable"/>
            </w:pPr>
            <w:r>
              <w:rPr>
                <w:rFonts w:ascii="Songti SC" w:hAnsi="Songti SC" w:eastAsia="Songti SC"/>
              </w:rPr>
              <w:t>输入可部分匹配；标签不足</w:t>
            </w:r>
          </w:p>
        </w:tc>
        <w:tc>
          <w:tcPr>
            <w:tcW w:type="dxa" w:w="2891"/>
            <w:vAlign w:val="top"/>
          </w:tcPr>
          <w:p>
            <w:pPr>
              <w:pStyle w:val="SmallTable"/>
            </w:pPr>
            <w:r>
              <w:rPr>
                <w:rFonts w:ascii="Songti SC" w:hAnsi="Songti SC" w:eastAsia="Songti SC"/>
              </w:rPr>
              <w:t>外部多寿命标签、拓扑/化学体系/采样迁移</w:t>
            </w:r>
          </w:p>
        </w:tc>
        <w:tc>
          <w:tcPr>
            <w:tcW w:type="dxa" w:w="2494"/>
            <w:vAlign w:val="top"/>
          </w:tcPr>
          <w:p>
            <w:pPr>
              <w:pStyle w:val="SmallTable"/>
            </w:pPr>
            <w:r>
              <w:rPr>
                <w:rFonts w:ascii="Songti SC" w:hAnsi="Songti SC" w:eastAsia="Songti SC"/>
              </w:rPr>
              <w:t>暂不作为主提交路线</w:t>
            </w:r>
          </w:p>
        </w:tc>
      </w:tr>
    </w:tbl>
    <w:p>
      <w:pPr>
        <w:spacing w:after="0"/>
      </w:pPr>
    </w:p>
    <w:p>
      <w:pPr/>
      <w:r>
        <w:rPr>
          <w:rFonts w:ascii="Songti SC" w:hAnsi="Songti SC" w:eastAsia="Songti SC"/>
        </w:rPr>
        <w:t>完整逐研究比较在 方法对比.csv，列出了采样、标签、温度、组迁移、缺口、因果使用、计算证据与代码数据。表中“可用”只表示所需原始列存在；不等于该方法的统计假设或标签要求已满足。</w:t>
      </w:r>
    </w:p>
    <w:p>
      <w:pPr>
        <w:pStyle w:val="Heading1"/>
      </w:pPr>
      <w:r>
        <w:rPr>
          <w:rFonts w:ascii="Songti SC" w:hAnsi="Songti SC" w:eastAsia="Songti SC"/>
        </w:rPr>
        <w:t>5 首选路线：事件对齐的单体曲线与局部 Ah</w:t>
      </w:r>
    </w:p>
    <w:p>
      <w:pPr>
        <w:pStyle w:val="Heading2"/>
      </w:pPr>
      <w:r>
        <w:rPr>
          <w:rFonts w:ascii="Songti SC" w:hAnsi="Songti SC" w:eastAsia="Songti SC"/>
        </w:rPr>
        <w:t>5.1 输入、事件与质量规则</w:t>
      </w:r>
    </w:p>
    <w:p>
      <w:pPr/>
      <w:r>
        <w:rPr>
          <w:rFonts w:ascii="Songti SC" w:hAnsi="Songti SC" w:eastAsia="Songti SC"/>
        </w:rPr>
        <w:t>输入为 timestamp、segment、current_A、charge_Ah_cum、discharge_Ah_cum、cell1_V—cell4_V、pack_voltage_V、temp_mean_C/min/max_C，以及 CK0 的 100.41 Ah 和 CK0_reference_discharge.csv.gz。segment 是每行的现成列；Dataset.reference_discharge 由框架加载，包含 timestamp,current_A,voltage_V,cell1_V—cell4_V,discharged_Ah。这些列在官方包中存在，但四芯共同且质量合格的窗口是否足量，仍是事件审计问题。先按片段和时间排序，重复时间戳保留单一可信记录并记录数量；比较电流积分与累计 Ah 增量，二者矛盾或跨缺口则降权/剔除。只选电流符号、幅度和变异系数可控的连续充电段；禁止跨检查间隔拼接曲线。CV 尾段、明显限压/均衡动作、电压突变、温度漂移过大或单体电压越界的事件单独标记。</w:t>
      </w:r>
    </w:p>
    <w:p>
      <w:pPr/>
      <w:r>
        <w:rPr>
          <w:rFonts w:ascii="Songti SC" w:hAnsi="Songti SC" w:eastAsia="Songti SC"/>
        </w:rPr>
        <w:t>对每个有效事件在四芯各自的可重叠电压区间建立候选窗口；窗口由 CK0 附近的最早期数据和参考放电曲线预先确定，不用隐藏 CK 反馈挑窗口。先用可解释的窗口 Ah、达到阈值的累计 Ah 位置、局部曲线斜率/面积、四芯相对位置、最先触限芯和电压离散度，不直接对 10 秒噪声求尖锐峰。按 25°C/45°C、充电电流分层；同层不足时回退到邻近工况但扩大不确定性。每个指标同时保存事件数、缺口率、温漂、窗口跨度、单体一致性和与基线差异。</w:t>
      </w:r>
    </w:p>
    <w:p>
      <w:pPr>
        <w:pStyle w:val="Heading2"/>
      </w:pPr>
      <w:r>
        <w:rPr>
          <w:rFonts w:ascii="Songti SC" w:hAnsi="Songti SC" w:eastAsia="Songti SC"/>
        </w:rPr>
        <w:t>5.2 由单锚点到容量的识别性</w:t>
      </w:r>
    </w:p>
    <w:p>
      <w:pPr/>
      <w:r>
        <w:rPr>
          <w:rFonts w:ascii="Songti SC" w:hAnsi="Songti SC" w:eastAsia="Songti SC"/>
        </w:rPr>
        <w:t>CK0 给绝对尺度，参考放电曲线给初始四芯与组末端形状；后续事件的共同电压窗口 Ah 和形状变化给相对轨迹。最小模型先只对每个预注册窗口计算 r_w(t)=median(Q_window,最近合格事件)/median(Q_window,首个合格初期事件)，再以质量权重对多个 r_w 取稳健中位数 r(t)，得到 Qhat(t)=100.41 Ah × r(t)、SOHhat=100×Qhat/102。两个中位数必须取</w:t>
      </w:r>
      <w:r>
        <w:rPr>
          <w:rFonts w:ascii="Songti SC" w:hAnsi="Songti SC" w:eastAsia="Songti SC"/>
          <w:b/>
        </w:rPr>
        <w:t>同一单体、方向、电压窗口、温度层和近似电流层</w:t>
      </w:r>
      <w:r>
        <w:rPr>
          <w:rFonts w:ascii="Songti SC" w:hAnsi="Songti SC" w:eastAsia="Songti SC"/>
        </w:rPr>
        <w:t>；若没有同层初期参照，该窗口不参与估计。初期参照只能用 CK0 之后、当前检查日期之前的首个合格事件，CK0 本身直接返回已知 98.44%；CK0 参考放电在接口中始终作为官方给出的初始标定资料。CK0 检查与首个运行事件相隔数日，其间漂移无法由本包识别，记入系统不确定性。该公式不是物理恒等式：窗口 SOC 跨度随老化、极化和单体失配变化，robust_ratio 只能在外部有标签 LFP 数据中定标或保守限制。</w:t>
      </w:r>
      <w:r>
        <w:rPr>
          <w:rFonts w:ascii="Songti SC" w:hAnsi="Songti SC" w:eastAsia="Songti SC"/>
          <w:b/>
        </w:rPr>
        <w:t>单个 CK0 不能同时识别自由的窗口—容量斜率、温度校正、老化曲率和组内四芯容量</w:t>
      </w:r>
      <w:r>
        <w:rPr>
          <w:rFonts w:ascii="Songti SC" w:hAnsi="Songti SC" w:eastAsia="Songti SC"/>
        </w:rPr>
        <w:t>；若外部数据不合适，使用比例假设并明确给宽区间，不拟合这些自由参数。</w:t>
      </w:r>
    </w:p>
    <w:p>
      <w:pPr/>
      <w:r>
        <w:rPr>
          <w:rFonts w:ascii="Songti SC" w:hAnsi="Songti SC" w:eastAsia="Songti SC"/>
        </w:rPr>
        <w:t>组级输出不能取四个单体估计的简单均值。每个事件的 Ah 是串联组的共同通量；四个电压用于定义匹配窗口、记录最先达到</w:t>
      </w:r>
      <w:r>
        <w:rPr>
          <w:rFonts w:ascii="Songti SC" w:hAnsi="Songti SC" w:eastAsia="Songti SC"/>
          <w:b/>
        </w:rPr>
        <w:t>充电</w:t>
      </w:r>
      <w:r>
        <w:rPr>
          <w:rFonts w:ascii="Songti SC" w:hAnsi="Songti SC" w:eastAsia="Songti SC"/>
        </w:rPr>
        <w:t>截止的单体和离散度，不把四个窗口特征解释成四个已标定的单芯绝对容量。组级点估计取合格组通量比的稳健中位数；若不同单体窗口给出的比例明显分歧，或充电先限压单体发生切换，降低事件权重并扩大区间。充电先限压芯不必然等于 C/20 放电最先触下限芯；两方向的端点关系要靠 CK0 参考放电和后续外部组级验证，不能在本包内硬编码为 min(单芯容量)。[Krupp2021, §3—4]</w:t>
      </w:r>
    </w:p>
    <w:p>
      <w:pPr>
        <w:pStyle w:val="Heading2"/>
      </w:pPr>
      <w:r>
        <w:rPr>
          <w:rFonts w:ascii="Songti SC" w:hAnsi="Songti SC" w:eastAsia="Songti SC"/>
        </w:rPr>
        <w:t>5.3 与官方接口一致的因果实现</w:t>
      </w:r>
    </w:p>
    <w:p>
      <w:pPr>
        <w:pStyle w:val="Code"/>
        <w:ind w:left="255"/>
      </w:pPr>
      <w:r>
        <w:rPr>
          <w:rFonts w:ascii="Songti SC" w:hAnsi="Songti SC" w:eastAsia="Songti SC"/>
        </w:rPr>
        <w:t>fit(full_dataset):</w:t>
      </w:r>
    </w:p>
    <w:p>
      <w:pPr>
        <w:pStyle w:val="Code"/>
        <w:ind w:left="255"/>
      </w:pPr>
      <w:r>
        <w:rPr>
          <w:rFonts w:ascii="Songti SC" w:hAnsi="Songti SC" w:eastAsia="Songti SC"/>
        </w:rPr>
        <w:t xml:space="preserve">    只读取 CK0 标签和 CK0 曲线；锁定预注册窗口与质量阈值。</w:t>
      </w:r>
    </w:p>
    <w:p>
      <w:pPr>
        <w:pStyle w:val="Code"/>
        <w:ind w:left="255"/>
      </w:pPr>
      <w:r>
        <w:rPr>
          <w:rFonts w:ascii="Songti SC" w:hAnsi="Songti SC" w:eastAsia="Songti SC"/>
        </w:rPr>
        <w:t xml:space="preserve">    可提取用于代码检查的静态模式，但不保存任何未来事件、全周期</w:t>
      </w:r>
    </w:p>
    <w:p>
      <w:pPr>
        <w:pStyle w:val="Code"/>
        <w:ind w:left="255"/>
      </w:pPr>
      <w:r>
        <w:rPr>
          <w:rFonts w:ascii="Songti SC" w:hAnsi="Songti SC" w:eastAsia="Songti SC"/>
        </w:rPr>
        <w:t xml:space="preserve">    温度归一化量、CK 日期之后的曲线统计或待估容量轨迹。</w:t>
      </w:r>
    </w:p>
    <w:p>
      <w:pPr>
        <w:pStyle w:val="Code"/>
        <w:ind w:left="255"/>
      </w:pPr>
      <w:r>
        <w:rPr>
          <w:rFonts w:ascii="Songti SC" w:hAnsi="Songti SC" w:eastAsia="Songti SC"/>
        </w:rPr>
        <w:t xml:space="preserve">    持久化：CK0=100.41、102 Ah 分母、窗口配置、固定外部模型版本。</w:t>
      </w:r>
    </w:p>
    <w:p>
      <w:pPr>
        <w:pStyle w:val="Code"/>
        <w:ind w:left="255"/>
      </w:pPr>
    </w:p>
    <w:p>
      <w:pPr>
        <w:pStyle w:val="Code"/>
        <w:ind w:left="255"/>
      </w:pPr>
      <w:r>
        <w:rPr>
          <w:rFonts w:ascii="Songti SC" w:hAnsi="Songti SC" w:eastAsia="Songti SC"/>
        </w:rPr>
        <w:t>estimate_soh(prefix_dataset, at_date):</w:t>
      </w:r>
    </w:p>
    <w:p>
      <w:pPr>
        <w:pStyle w:val="Code"/>
        <w:ind w:left="255"/>
      </w:pPr>
      <w:r>
        <w:rPr>
          <w:rFonts w:ascii="Songti SC" w:hAnsi="Songti SC" w:eastAsia="Songti SC"/>
        </w:rPr>
        <w:t xml:space="preserve">    再次强制 operation.timestamp &lt;= at_date；仅从此前行重建事件。</w:t>
      </w:r>
    </w:p>
    <w:p>
      <w:pPr>
        <w:pStyle w:val="Code"/>
        <w:ind w:left="255"/>
      </w:pPr>
      <w:r>
        <w:rPr>
          <w:rFonts w:ascii="Songti SC" w:hAnsi="Songti SC" w:eastAsia="Songti SC"/>
        </w:rPr>
        <w:t xml:space="preserve">    清理重复/缺口，分层提取合格事件；参考只取 CK0 之后且不晚于 at_date 的最早同工况有效事件。</w:t>
      </w:r>
    </w:p>
    <w:p>
      <w:pPr>
        <w:pStyle w:val="Code"/>
        <w:ind w:left="255"/>
      </w:pPr>
      <w:r>
        <w:rPr>
          <w:rFonts w:ascii="Songti SC" w:hAnsi="Songti SC" w:eastAsia="Songti SC"/>
        </w:rPr>
        <w:t xml:space="preserve">    若事件少或窗口缺失：返回 CK0 锚点或保守时间外推并标记低可信度。</w:t>
      </w:r>
    </w:p>
    <w:p>
      <w:pPr>
        <w:pStyle w:val="Code"/>
        <w:ind w:left="255"/>
      </w:pPr>
      <w:r>
        <w:rPr>
          <w:rFonts w:ascii="Songti SC" w:hAnsi="Songti SC" w:eastAsia="Songti SC"/>
        </w:rPr>
        <w:t xml:space="preserve">    否则多窗口、多事件稳健比值 -&gt; 四芯诊断 -&gt; 组级聚合 -&gt; SOH%。</w:t>
      </w:r>
    </w:p>
    <w:p>
      <w:pPr>
        <w:pStyle w:val="Code"/>
        <w:ind w:left="255"/>
      </w:pPr>
      <w:r>
        <w:rPr>
          <w:rFonts w:ascii="Songti SC" w:hAnsi="Songti SC" w:eastAsia="Songti SC"/>
        </w:rPr>
        <w:t xml:space="preserve">    检查有限数、边界及单调性作为诊断；不硬性伪造不可逆衰减。</w:t>
      </w:r>
    </w:p>
    <w:p>
      <w:pPr/>
      <w:r>
        <w:rPr>
          <w:rFonts w:ascii="Songti SC" w:hAnsi="Songti SC" w:eastAsia="Songti SC"/>
        </w:rPr>
        <w:t>fit() 在接口上可见全周期数据，但评分的 estimate_soh() 只给截至日期的数据；若 fit() 缓存后期事件或使用全周期分位数标准化，早期预测仍会泄漏未来。正式实现应在开发用前缀测试中逐日截断调用 fit()+estimate_soh()，确保同一 CK 的输出在追加未来行后不变。检查点日期在框架中是当天 00:00，除非官方澄清，否则当日后续运行样本不可用。</w:t>
      </w:r>
    </w:p>
    <w:p>
      <w:pPr/>
      <w:r>
        <w:rPr>
          <w:rFonts w:ascii="Songti SC" w:hAnsi="Songti SC" w:eastAsia="Songti SC"/>
        </w:rPr>
        <w:t>若允许的公开有标签 LFP 数据在容量定义和协议上足够接近，可用于定标窗口到容量的斜率及温度项，训练/测试必须按</w:t>
      </w:r>
      <w:r>
        <w:rPr>
          <w:rFonts w:ascii="Songti SC" w:hAnsi="Songti SC" w:eastAsia="Songti SC"/>
          <w:b/>
        </w:rPr>
        <w:t>物理电芯或电池组</w:t>
      </w:r>
      <w:r>
        <w:rPr>
          <w:rFonts w:ascii="Songti SC" w:hAnsi="Songti SC" w:eastAsia="Songti SC"/>
        </w:rPr>
        <w:t>隔离，不能把同一寿命曲线的窗口随机拆分。Schaeffer 的 BattGP 现场数据有单体与温度但其论文不提供目标 C/20 容量标签；它适合验证预处理与异常/阻抗特征，不适合凭空监督容量。[Schaeffer2024] 不使用外部数据时采用上述单锚点低自由度比例、预先限制校正幅度，并以事件一致性报告可信度。</w:t>
      </w:r>
    </w:p>
    <w:p>
      <w:pPr>
        <w:pStyle w:val="Heading2"/>
      </w:pPr>
      <w:r>
        <w:rPr>
          <w:rFonts w:ascii="Songti SC" w:hAnsi="Songti SC" w:eastAsia="Songti SC"/>
        </w:rPr>
        <w:t>5.4 如何推翻首选路线</w:t>
      </w:r>
    </w:p>
    <w:p>
      <w:pPr/>
      <w:r>
        <w:rPr>
          <w:rFonts w:ascii="Songti SC" w:hAnsi="Songti SC" w:eastAsia="Songti SC"/>
        </w:rPr>
        <w:t>首选相对基线可能改进的</w:t>
      </w:r>
      <w:r>
        <w:rPr>
          <w:rFonts w:ascii="Songti SC" w:hAnsi="Songti SC" w:eastAsia="Songti SC"/>
          <w:b/>
        </w:rPr>
        <w:t>机制假设</w:t>
      </w:r>
      <w:r>
        <w:rPr>
          <w:rFonts w:ascii="Songti SC" w:hAnsi="Songti SC" w:eastAsia="Songti SC"/>
        </w:rPr>
        <w:t>是：同一单体、同电流和温度、同电压窗口的 Ah 比固定四串总压阈值更稳定，且单体离散度能解释组端点提前到来。先在重复事件上比较组内变异系数、25/45°C 分层残差、四芯交叉一致性和窗口选择敏感性；再在合法公开、具有逐期容量标签的 LFP 组/单芯数据上做按组留出验证。若窗口变异未下降，温度层间修正不可识别，或外部留组误差不优于固定窗口基线，就不声称优势，启动备选可辨识性实验；若独立真值验证未通过则保守回退。任何官方排行榜反馈只作有限反馈，不能通过频繁调参把隐藏测试变成训练集。</w:t>
      </w:r>
    </w:p>
    <w:p>
      <w:pPr>
        <w:pStyle w:val="Heading1"/>
      </w:pPr>
      <w:r>
        <w:rPr>
          <w:rFonts w:ascii="Songti SC" w:hAnsi="Songti SC" w:eastAsia="Songti SC"/>
        </w:rPr>
        <w:t>6 备选路线：受限的状态与容量联合估计</w:t>
      </w:r>
    </w:p>
    <w:p>
      <w:pPr/>
      <w:r>
        <w:rPr>
          <w:rFonts w:ascii="Songti SC" w:hAnsi="Songti SC" w:eastAsia="Songti SC"/>
        </w:rPr>
        <w:t>备选输入相同，另使用 CK0 放电曲线构造初始 OCV/准 OCV 形状的弱约束，20 A 脉冲提供低频极化与相对阻抗的校验。先用库仑计数传播四芯 SOC，利用电压残差更新偏置/极化与有限的容量尺度。</w:t>
      </w:r>
      <w:r>
        <w:rPr>
          <w:rFonts w:ascii="Songti SC" w:hAnsi="Songti SC" w:eastAsia="Songti SC"/>
          <w:b/>
        </w:rPr>
        <w:t>只有</w:t>
      </w:r>
      <w:r>
        <w:rPr>
          <w:rFonts w:ascii="Songti SC" w:hAnsi="Songti SC" w:eastAsia="Songti SC"/>
        </w:rPr>
        <w:t>当某芯处于 CK0 曲线中可观测的高斜率区、存在足够 Ah 跨度、温度可匹配且电流激励充分时更新容量；平平台区保持上一容量，输出更大区间。模型最初只设一个组级容量尺度和少数共享参数，避免四芯容量、OCV 漂移、滞后、内阻全部同时自由拟合。需做多初值、Fisher 信息或灵敏度秩检查；若容量与初始 SOC 互相替代，回退 CK0 或首选有效事件。[Yi2024; ZhouAitioHowey2025]</w:t>
      </w:r>
    </w:p>
    <w:p>
      <w:pPr>
        <w:pStyle w:val="Code"/>
        <w:ind w:left="255"/>
      </w:pPr>
      <w:r>
        <w:rPr>
          <w:rFonts w:ascii="Songti SC" w:hAnsi="Songti SC" w:eastAsia="Songti SC"/>
        </w:rPr>
        <w:t>fit(full_dataset):</w:t>
      </w:r>
    </w:p>
    <w:p>
      <w:pPr>
        <w:pStyle w:val="Code"/>
        <w:ind w:left="255"/>
      </w:pPr>
      <w:r>
        <w:rPr>
          <w:rFonts w:ascii="Songti SC" w:hAnsi="Songti SC" w:eastAsia="Songti SC"/>
        </w:rPr>
        <w:t xml:space="preserve">    保存 CK0 曲线、固定电路结构、公开数据先验（如合法且适配）；</w:t>
      </w:r>
    </w:p>
    <w:p>
      <w:pPr>
        <w:pStyle w:val="Code"/>
        <w:ind w:left="255"/>
      </w:pPr>
      <w:r>
        <w:rPr>
          <w:rFonts w:ascii="Songti SC" w:hAnsi="Songti SC" w:eastAsia="Songti SC"/>
        </w:rPr>
        <w:t xml:space="preserve">    不用 CK1 后事件拟合全局参数或归一化。记录模型版本。</w:t>
      </w:r>
    </w:p>
    <w:p>
      <w:pPr>
        <w:pStyle w:val="Code"/>
        <w:ind w:left="255"/>
      </w:pPr>
    </w:p>
    <w:p>
      <w:pPr>
        <w:pStyle w:val="Code"/>
        <w:ind w:left="255"/>
      </w:pPr>
      <w:r>
        <w:rPr>
          <w:rFonts w:ascii="Songti SC" w:hAnsi="Songti SC" w:eastAsia="Songti SC"/>
        </w:rPr>
        <w:t>estimate_soh(prefix_dataset, at_date):</w:t>
      </w:r>
    </w:p>
    <w:p>
      <w:pPr>
        <w:pStyle w:val="Code"/>
        <w:ind w:left="255"/>
      </w:pPr>
      <w:r>
        <w:rPr>
          <w:rFonts w:ascii="Songti SC" w:hAnsi="Songti SC" w:eastAsia="Songti SC"/>
        </w:rPr>
        <w:t xml:space="preserve">    从 CK0 或首次可用历史初始化；按时间顺序重放 prefix。</w:t>
      </w:r>
    </w:p>
    <w:p>
      <w:pPr>
        <w:pStyle w:val="Code"/>
        <w:ind w:left="255"/>
      </w:pPr>
      <w:r>
        <w:rPr>
          <w:rFonts w:ascii="Songti SC" w:hAnsi="Songti SC" w:eastAsia="Songti SC"/>
        </w:rPr>
        <w:t xml:space="preserve">    缺口处提高状态方差、用累计 Ah 跳变量检查，不假定检查吞吐量已计入。</w:t>
      </w:r>
    </w:p>
    <w:p>
      <w:pPr>
        <w:pStyle w:val="Code"/>
        <w:ind w:left="255"/>
      </w:pPr>
      <w:r>
        <w:rPr>
          <w:rFonts w:ascii="Songti SC" w:hAnsi="Songti SC" w:eastAsia="Songti SC"/>
        </w:rPr>
        <w:t xml:space="preserve">    在高斜率/可观测片段更新容量，平台和低质量片段仅传播状态。</w:t>
      </w:r>
    </w:p>
    <w:p>
      <w:pPr>
        <w:pStyle w:val="Code"/>
        <w:ind w:left="255"/>
      </w:pPr>
      <w:r>
        <w:rPr>
          <w:rFonts w:ascii="Songti SC" w:hAnsi="Songti SC" w:eastAsia="Songti SC"/>
        </w:rPr>
        <w:t xml:space="preserve">    对四芯的可行容量区间作组端点约束聚合；返回 100×Qgroup/102。</w:t>
      </w:r>
    </w:p>
    <w:p>
      <w:pPr/>
      <w:r>
        <w:rPr>
          <w:rFonts w:ascii="Songti SC" w:hAnsi="Songti SC" w:eastAsia="Songti SC"/>
        </w:rPr>
        <w:t>这一路线失败的主要方式是把电压传感器偏置、OCV 滞后、温度极化或 SOC 重置误解释为容量变化。它比首选计算和辨识复杂，若合格事件不足或窗口指标不稳定，先启动备选的</w:t>
      </w:r>
      <w:r>
        <w:rPr>
          <w:rFonts w:ascii="Songti SC" w:hAnsi="Songti SC" w:eastAsia="Songti SC"/>
          <w:b/>
        </w:rPr>
        <w:t>可辨识性原型实验</w:t>
      </w:r>
      <w:r>
        <w:rPr>
          <w:rFonts w:ascii="Songti SC" w:hAnsi="Songti SC" w:eastAsia="Songti SC"/>
        </w:rPr>
        <w:t>；前向识别诊断用于判断是否可以更新容量；让备选接管正式点估计还需要可比的外部有标签验证，或主办方提供的可靠反馈。缺乏这些证据时保留 CK0 锚点的保守回退，不把复杂滤波当作自动更准。GP 可用于平滑电阻对 SOC/温度的依赖并估计不确定性，但将 Schaeffer 的故障概率直接映射到 C/20 SOH 没有证据支持。完整电化学参数识别、独立的端到端深网、从寿命/RUL 预测套算当前容量暂不作为主线。[Schaeffer2024; Zhou2026]</w:t>
      </w:r>
    </w:p>
    <w:p>
      <w:pPr>
        <w:pStyle w:val="Heading1"/>
      </w:pPr>
      <w:r>
        <w:rPr>
          <w:rFonts w:ascii="Songti SC" w:hAnsi="Songti SC" w:eastAsia="Songti SC"/>
        </w:rPr>
        <w:t>7 分阶段实验与验收</w:t>
      </w:r>
    </w:p>
    <w:tbl>
      <w:tblPr>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1361"/>
            <w:vAlign w:val="center"/>
            <w:shd w:fill="E9EDF0"/>
          </w:tcPr>
          <w:p>
            <w:pPr>
              <w:pStyle w:val="SmallTable"/>
            </w:pPr>
            <w:r>
              <w:rPr>
                <w:b/>
              </w:rPr>
              <w:t>阶段</w:t>
            </w:r>
          </w:p>
        </w:tc>
        <w:tc>
          <w:tcPr>
            <w:tcW w:type="dxa" w:w="2835"/>
            <w:vAlign w:val="center"/>
            <w:shd w:fill="E9EDF0"/>
          </w:tcPr>
          <w:p>
            <w:pPr>
              <w:pStyle w:val="SmallTable"/>
            </w:pPr>
            <w:r>
              <w:rPr>
                <w:b/>
              </w:rPr>
              <w:t>操作与数据</w:t>
            </w:r>
          </w:p>
        </w:tc>
        <w:tc>
          <w:tcPr>
            <w:tcW w:type="dxa" w:w="2891"/>
            <w:vAlign w:val="center"/>
            <w:shd w:fill="E9EDF0"/>
          </w:tcPr>
          <w:p>
            <w:pPr>
              <w:pStyle w:val="SmallTable"/>
            </w:pPr>
            <w:r>
              <w:rPr>
                <w:b/>
              </w:rPr>
              <w:t>诊断/验收</w:t>
            </w:r>
          </w:p>
        </w:tc>
        <w:tc>
          <w:tcPr>
            <w:tcW w:type="dxa" w:w="2551"/>
            <w:vAlign w:val="center"/>
            <w:shd w:fill="E9EDF0"/>
          </w:tcPr>
          <w:p>
            <w:pPr>
              <w:pStyle w:val="SmallTable"/>
            </w:pPr>
            <w:r>
              <w:rPr>
                <w:b/>
              </w:rPr>
              <w:t>失败后的动作</w:t>
            </w:r>
          </w:p>
        </w:tc>
      </w:tr>
      <w:tr>
        <w:trPr>
          <w:cantSplit/>
        </w:trPr>
        <w:tc>
          <w:tcPr>
            <w:tcW w:type="dxa" w:w="1361"/>
            <w:vAlign w:val="top"/>
          </w:tcPr>
          <w:p>
            <w:pPr>
              <w:pStyle w:val="SmallTable"/>
            </w:pPr>
            <w:r>
              <w:rPr>
                <w:rFonts w:ascii="Songti SC" w:hAnsi="Songti SC" w:eastAsia="Songti SC"/>
              </w:rPr>
              <w:t>A 基线复现</w:t>
            </w:r>
          </w:p>
        </w:tc>
        <w:tc>
          <w:tcPr>
            <w:tcW w:type="dxa" w:w="2835"/>
            <w:vAlign w:val="top"/>
          </w:tcPr>
          <w:p>
            <w:pPr>
              <w:pStyle w:val="SmallTable"/>
            </w:pPr>
            <w:r>
              <w:rPr>
                <w:rFonts w:ascii="Songti SC" w:hAnsi="Songti SC" w:eastAsia="Songti SC"/>
              </w:rPr>
              <w:t>用官方 model_example.py、CK0 和每个日期前缀跑八点；保留运行命令与输出</w:t>
            </w:r>
          </w:p>
        </w:tc>
        <w:tc>
          <w:tcPr>
            <w:tcW w:type="dxa" w:w="2891"/>
            <w:vAlign w:val="top"/>
          </w:tcPr>
          <w:p>
            <w:pPr>
              <w:pStyle w:val="SmallTable"/>
            </w:pPr>
            <w:r>
              <w:rPr>
                <w:rFonts w:ascii="Songti SC" w:hAnsi="Songti SC" w:eastAsia="Songti SC"/>
              </w:rPr>
              <w:t>CK0 锚点、日期边界、格式与官方示例一致；不报告隐藏误差</w:t>
            </w:r>
          </w:p>
        </w:tc>
        <w:tc>
          <w:tcPr>
            <w:tcW w:type="dxa" w:w="2551"/>
            <w:vAlign w:val="top"/>
          </w:tcPr>
          <w:p>
            <w:pPr>
              <w:pStyle w:val="SmallTable"/>
            </w:pPr>
            <w:r>
              <w:rPr>
                <w:rFonts w:ascii="Songti SC" w:hAnsi="Songti SC" w:eastAsia="Songti SC"/>
              </w:rPr>
              <w:t>先修数据/接口理解</w:t>
            </w:r>
          </w:p>
        </w:tc>
      </w:tr>
      <w:tr>
        <w:trPr>
          <w:cantSplit/>
        </w:trPr>
        <w:tc>
          <w:tcPr>
            <w:tcW w:type="dxa" w:w="1361"/>
            <w:vAlign w:val="top"/>
            <w:shd w:fill="F7F8F9"/>
          </w:tcPr>
          <w:p>
            <w:pPr>
              <w:pStyle w:val="SmallTable"/>
            </w:pPr>
            <w:r>
              <w:rPr>
                <w:rFonts w:ascii="Songti SC" w:hAnsi="Songti SC" w:eastAsia="Songti SC"/>
              </w:rPr>
              <w:t>B 事件审计</w:t>
            </w:r>
          </w:p>
        </w:tc>
        <w:tc>
          <w:tcPr>
            <w:tcW w:type="dxa" w:w="2835"/>
            <w:vAlign w:val="top"/>
            <w:shd w:fill="F7F8F9"/>
          </w:tcPr>
          <w:p>
            <w:pPr>
              <w:pStyle w:val="SmallTable"/>
            </w:pPr>
            <w:r>
              <w:rPr>
                <w:rFonts w:ascii="Songti SC" w:hAnsi="Songti SC" w:eastAsia="Songti SC"/>
              </w:rPr>
              <w:t>原始 13 片段，列出充电、脉冲、静置、缺口、重复时间；人工复核各温度典型事件</w:t>
            </w:r>
          </w:p>
        </w:tc>
        <w:tc>
          <w:tcPr>
            <w:tcW w:type="dxa" w:w="2891"/>
            <w:vAlign w:val="top"/>
            <w:shd w:fill="F7F8F9"/>
          </w:tcPr>
          <w:p>
            <w:pPr>
              <w:pStyle w:val="SmallTable"/>
            </w:pPr>
            <w:r>
              <w:rPr>
                <w:rFonts w:ascii="Songti SC" w:hAnsi="Songti SC" w:eastAsia="Songti SC"/>
              </w:rPr>
              <w:t>每个 CK 的事件数、共同单体窗口、工况分布可追溯；累计 Ah 与积分差异有解释</w:t>
            </w:r>
          </w:p>
        </w:tc>
        <w:tc>
          <w:tcPr>
            <w:tcW w:type="dxa" w:w="2551"/>
            <w:vAlign w:val="top"/>
            <w:shd w:fill="F7F8F9"/>
          </w:tcPr>
          <w:p>
            <w:pPr>
              <w:pStyle w:val="SmallTable"/>
            </w:pPr>
            <w:r>
              <w:rPr>
                <w:rFonts w:ascii="Songti SC" w:hAnsi="Songti SC" w:eastAsia="Songti SC"/>
              </w:rPr>
              <w:t>启动备选原型审查；不放宽质量阈值</w:t>
            </w:r>
          </w:p>
        </w:tc>
      </w:tr>
      <w:tr>
        <w:trPr>
          <w:cantSplit/>
        </w:trPr>
        <w:tc>
          <w:tcPr>
            <w:tcW w:type="dxa" w:w="1361"/>
            <w:vAlign w:val="top"/>
          </w:tcPr>
          <w:p>
            <w:pPr>
              <w:pStyle w:val="SmallTable"/>
            </w:pPr>
            <w:r>
              <w:rPr>
                <w:rFonts w:ascii="Songti SC" w:hAnsi="Songti SC" w:eastAsia="Songti SC"/>
              </w:rPr>
              <w:t>C 最小首选</w:t>
            </w:r>
          </w:p>
        </w:tc>
        <w:tc>
          <w:tcPr>
            <w:tcW w:type="dxa" w:w="2835"/>
            <w:vAlign w:val="top"/>
          </w:tcPr>
          <w:p>
            <w:pPr>
              <w:pStyle w:val="SmallTable"/>
            </w:pPr>
            <w:r>
              <w:rPr>
                <w:rFonts w:ascii="Songti SC" w:hAnsi="Songti SC" w:eastAsia="Songti SC"/>
              </w:rPr>
              <w:t>CK0 比例 + 单体对齐窗口 + 近期中位数</w:t>
            </w:r>
          </w:p>
        </w:tc>
        <w:tc>
          <w:tcPr>
            <w:tcW w:type="dxa" w:w="2891"/>
            <w:vAlign w:val="top"/>
          </w:tcPr>
          <w:p>
            <w:pPr>
              <w:pStyle w:val="SmallTable"/>
            </w:pPr>
            <w:r>
              <w:rPr>
                <w:rFonts w:ascii="Songti SC" w:hAnsi="Songti SC" w:eastAsia="Songti SC"/>
              </w:rPr>
              <w:t>重复同工况事件内部方差不高于固定总压窗口；低质量可回退</w:t>
            </w:r>
          </w:p>
        </w:tc>
        <w:tc>
          <w:tcPr>
            <w:tcW w:type="dxa" w:w="2551"/>
            <w:vAlign w:val="top"/>
          </w:tcPr>
          <w:p>
            <w:pPr>
              <w:pStyle w:val="SmallTable"/>
            </w:pPr>
            <w:r>
              <w:rPr>
                <w:rFonts w:ascii="Songti SC" w:hAnsi="Songti SC" w:eastAsia="Songti SC"/>
              </w:rPr>
              <w:t>删除不稳窗口</w:t>
            </w:r>
          </w:p>
        </w:tc>
      </w:tr>
      <w:tr>
        <w:trPr>
          <w:cantSplit/>
        </w:trPr>
        <w:tc>
          <w:tcPr>
            <w:tcW w:type="dxa" w:w="1361"/>
            <w:vAlign w:val="top"/>
            <w:shd w:fill="F7F8F9"/>
          </w:tcPr>
          <w:p>
            <w:pPr>
              <w:pStyle w:val="SmallTable"/>
            </w:pPr>
            <w:r>
              <w:rPr>
                <w:rFonts w:ascii="Songti SC" w:hAnsi="Songti SC" w:eastAsia="Songti SC"/>
              </w:rPr>
              <w:t>D 特征消融</w:t>
            </w:r>
          </w:p>
        </w:tc>
        <w:tc>
          <w:tcPr>
            <w:tcW w:type="dxa" w:w="2835"/>
            <w:vAlign w:val="top"/>
            <w:shd w:fill="F7F8F9"/>
          </w:tcPr>
          <w:p>
            <w:pPr>
              <w:pStyle w:val="SmallTable"/>
            </w:pPr>
            <w:r>
              <w:rPr>
                <w:rFonts w:ascii="Songti SC" w:hAnsi="Songti SC" w:eastAsia="Songti SC"/>
              </w:rPr>
              <w:t>加单体最弱/离散度、低阶形状、温度分层、脉冲诊断，逐一消融</w:t>
            </w:r>
          </w:p>
        </w:tc>
        <w:tc>
          <w:tcPr>
            <w:tcW w:type="dxa" w:w="2891"/>
            <w:vAlign w:val="top"/>
            <w:shd w:fill="F7F8F9"/>
          </w:tcPr>
          <w:p>
            <w:pPr>
              <w:pStyle w:val="SmallTable"/>
            </w:pPr>
            <w:r>
              <w:rPr>
                <w:rFonts w:ascii="Songti SC" w:hAnsi="Songti SC" w:eastAsia="Songti SC"/>
              </w:rPr>
              <w:t>特征须提高外部留组验证或稳定性；只改善训练不保留</w:t>
            </w:r>
          </w:p>
        </w:tc>
        <w:tc>
          <w:tcPr>
            <w:tcW w:type="dxa" w:w="2551"/>
            <w:vAlign w:val="top"/>
            <w:shd w:fill="F7F8F9"/>
          </w:tcPr>
          <w:p>
            <w:pPr>
              <w:pStyle w:val="SmallTable"/>
            </w:pPr>
            <w:r>
              <w:rPr>
                <w:rFonts w:ascii="Songti SC" w:hAnsi="Songti SC" w:eastAsia="Songti SC"/>
              </w:rPr>
              <w:t>回到低维模型</w:t>
            </w:r>
          </w:p>
        </w:tc>
      </w:tr>
      <w:tr>
        <w:trPr>
          <w:cantSplit/>
        </w:trPr>
        <w:tc>
          <w:tcPr>
            <w:tcW w:type="dxa" w:w="1361"/>
            <w:vAlign w:val="top"/>
          </w:tcPr>
          <w:p>
            <w:pPr>
              <w:pStyle w:val="SmallTable"/>
            </w:pPr>
            <w:r>
              <w:rPr>
                <w:rFonts w:ascii="Songti SC" w:hAnsi="Songti SC" w:eastAsia="Songti SC"/>
              </w:rPr>
              <w:t>E 温度/缺失压力</w:t>
            </w:r>
          </w:p>
        </w:tc>
        <w:tc>
          <w:tcPr>
            <w:tcW w:type="dxa" w:w="2835"/>
            <w:vAlign w:val="top"/>
          </w:tcPr>
          <w:p>
            <w:pPr>
              <w:pStyle w:val="SmallTable"/>
            </w:pPr>
            <w:r>
              <w:rPr>
                <w:rFonts w:ascii="Songti SC" w:hAnsi="Songti SC" w:eastAsia="Songti SC"/>
              </w:rPr>
              <w:t>25/45°C 分层、匹配电流；人工删段、降采样到 20/30 秒、插缺口</w:t>
            </w:r>
          </w:p>
        </w:tc>
        <w:tc>
          <w:tcPr>
            <w:tcW w:type="dxa" w:w="2891"/>
            <w:vAlign w:val="top"/>
          </w:tcPr>
          <w:p>
            <w:pPr>
              <w:pStyle w:val="SmallTable"/>
            </w:pPr>
            <w:r>
              <w:rPr>
                <w:rFonts w:ascii="Songti SC" w:hAnsi="Songti SC" w:eastAsia="Songti SC"/>
              </w:rPr>
              <w:t>输出不因单次劣质事件大跳变；覆盖与区间随质量降低合理变化</w:t>
            </w:r>
          </w:p>
        </w:tc>
        <w:tc>
          <w:tcPr>
            <w:tcW w:type="dxa" w:w="2551"/>
            <w:vAlign w:val="top"/>
          </w:tcPr>
          <w:p>
            <w:pPr>
              <w:pStyle w:val="SmallTable"/>
            </w:pPr>
            <w:r>
              <w:rPr>
                <w:rFonts w:ascii="Songti SC" w:hAnsi="Songti SC" w:eastAsia="Songti SC"/>
              </w:rPr>
              <w:t>提高质量阈值和回退频率</w:t>
            </w:r>
          </w:p>
        </w:tc>
      </w:tr>
      <w:tr>
        <w:trPr>
          <w:cantSplit/>
        </w:trPr>
        <w:tc>
          <w:tcPr>
            <w:tcW w:type="dxa" w:w="1361"/>
            <w:vAlign w:val="top"/>
            <w:shd w:fill="F7F8F9"/>
          </w:tcPr>
          <w:p>
            <w:pPr>
              <w:pStyle w:val="SmallTable"/>
            </w:pPr>
            <w:r>
              <w:rPr>
                <w:rFonts w:ascii="Songti SC" w:hAnsi="Songti SC" w:eastAsia="Songti SC"/>
              </w:rPr>
              <w:t>F 因果泄漏</w:t>
            </w:r>
          </w:p>
        </w:tc>
        <w:tc>
          <w:tcPr>
            <w:tcW w:type="dxa" w:w="2835"/>
            <w:vAlign w:val="top"/>
            <w:shd w:fill="F7F8F9"/>
          </w:tcPr>
          <w:p>
            <w:pPr>
              <w:pStyle w:val="SmallTable"/>
            </w:pPr>
            <w:r>
              <w:rPr>
                <w:rFonts w:ascii="Songti SC" w:hAnsi="Songti SC" w:eastAsia="Songti SC"/>
              </w:rPr>
              <w:t>CK0—CK7 各自构造前缀；追加未来段后重新 fit/估计；审计持久化对象</w:t>
            </w:r>
          </w:p>
        </w:tc>
        <w:tc>
          <w:tcPr>
            <w:tcW w:type="dxa" w:w="2891"/>
            <w:vAlign w:val="top"/>
            <w:shd w:fill="F7F8F9"/>
          </w:tcPr>
          <w:p>
            <w:pPr>
              <w:pStyle w:val="SmallTable"/>
            </w:pPr>
            <w:r>
              <w:rPr>
                <w:rFonts w:ascii="Songti SC" w:hAnsi="Songti SC" w:eastAsia="Songti SC"/>
              </w:rPr>
              <w:t>早期输出数值完全一致；没有未来归一化、标签或事件缓存</w:t>
            </w:r>
          </w:p>
        </w:tc>
        <w:tc>
          <w:tcPr>
            <w:tcW w:type="dxa" w:w="2551"/>
            <w:vAlign w:val="top"/>
            <w:shd w:fill="F7F8F9"/>
          </w:tcPr>
          <w:p>
            <w:pPr>
              <w:pStyle w:val="SmallTable"/>
            </w:pPr>
            <w:r>
              <w:rPr>
                <w:rFonts w:ascii="Songti SC" w:hAnsi="Songti SC" w:eastAsia="Songti SC"/>
              </w:rPr>
              <w:t>阻止提交直至修复</w:t>
            </w:r>
          </w:p>
        </w:tc>
      </w:tr>
      <w:tr>
        <w:trPr>
          <w:cantSplit/>
        </w:trPr>
        <w:tc>
          <w:tcPr>
            <w:tcW w:type="dxa" w:w="1361"/>
            <w:vAlign w:val="top"/>
          </w:tcPr>
          <w:p>
            <w:pPr>
              <w:pStyle w:val="SmallTable"/>
            </w:pPr>
            <w:r>
              <w:rPr>
                <w:rFonts w:ascii="Songti SC" w:hAnsi="Songti SC" w:eastAsia="Songti SC"/>
              </w:rPr>
              <w:t>G 外部验证与官方反馈</w:t>
            </w:r>
          </w:p>
        </w:tc>
        <w:tc>
          <w:tcPr>
            <w:tcW w:type="dxa" w:w="2835"/>
            <w:vAlign w:val="top"/>
          </w:tcPr>
          <w:p>
            <w:pPr>
              <w:pStyle w:val="SmallTable"/>
            </w:pPr>
            <w:r>
              <w:rPr>
                <w:rFonts w:ascii="Songti SC" w:hAnsi="Songti SC" w:eastAsia="Songti SC"/>
              </w:rPr>
              <w:t>合法公开的有逐期 C/20 或可比容量标签 LFP 数据，按物理组留出；最后进行有限官方反馈</w:t>
            </w:r>
          </w:p>
        </w:tc>
        <w:tc>
          <w:tcPr>
            <w:tcW w:type="dxa" w:w="2891"/>
            <w:vAlign w:val="top"/>
          </w:tcPr>
          <w:p>
            <w:pPr>
              <w:pStyle w:val="SmallTable"/>
            </w:pPr>
            <w:r>
              <w:rPr>
                <w:rFonts w:ascii="Songti SC" w:hAnsi="Songti SC" w:eastAsia="Songti SC"/>
              </w:rPr>
              <w:t>报告 MAE/RMSE 的单位、分母、分组与温度；只有真实标签时才量化准确率</w:t>
            </w:r>
          </w:p>
        </w:tc>
        <w:tc>
          <w:tcPr>
            <w:tcW w:type="dxa" w:w="2551"/>
            <w:vAlign w:val="top"/>
          </w:tcPr>
          <w:p>
            <w:pPr>
              <w:pStyle w:val="SmallTable"/>
            </w:pPr>
            <w:r>
              <w:rPr>
                <w:rFonts w:ascii="Songti SC" w:hAnsi="Songti SC" w:eastAsia="Songti SC"/>
              </w:rPr>
              <w:t>改路线或保守报告</w:t>
            </w:r>
          </w:p>
        </w:tc>
      </w:tr>
    </w:tbl>
    <w:p>
      <w:pPr>
        <w:spacing w:after="0"/>
      </w:pPr>
    </w:p>
    <w:p>
      <w:pPr/>
      <w:r>
        <w:rPr>
          <w:rFonts w:ascii="Songti SC" w:hAnsi="Songti SC" w:eastAsia="Songti SC"/>
        </w:rPr>
        <w:t>对 CK1—CK7，目前能验证的是代码因果性、可用性、事件质量、同工况重复性、跨窗口一致性、物理范围与外部数据迁移；不能验证本组真实容量误差。小样本时置信区间应标为</w:t>
      </w:r>
      <w:r>
        <w:rPr>
          <w:rFonts w:ascii="Songti SC" w:hAnsi="Songti SC" w:eastAsia="Songti SC"/>
          <w:b/>
        </w:rPr>
        <w:t>模型/事件不确定性</w:t>
      </w:r>
      <w:r>
        <w:rPr>
          <w:rFonts w:ascii="Songti SC" w:hAnsi="Songti SC" w:eastAsia="Songti SC"/>
        </w:rPr>
        <w:t>而不是有校准覆盖率的统计置信区间。任何声称“击败官方基线”必须等有真值的独立实验或官方反馈，不能用无标签内部平滑度代替。</w:t>
      </w:r>
    </w:p>
    <w:p>
      <w:pPr>
        <w:pStyle w:val="Heading1"/>
      </w:pPr>
      <w:r>
        <w:rPr>
          <w:rFonts w:ascii="Songti SC" w:hAnsi="Songti SC" w:eastAsia="Songti SC"/>
        </w:rPr>
        <w:t>8 交付顺序、待确认与决策门槛</w:t>
      </w:r>
    </w:p>
    <w:p>
      <w:pPr/>
      <w:r>
        <w:rPr>
          <w:rFonts w:ascii="Songti SC" w:hAnsi="Songti SC" w:eastAsia="Songti SC"/>
        </w:rPr>
        <w:t>建议先完成 A/B/F 的代码与审计，再做 C、外部 LFP 留组验证，最后才考虑 D 与备选。发布给队友的第一批产物应是每个 CK 的可用事件清单、固定总压与单体窗口的内部稳定性、因果测试结果及一页失败案例。不要以 70/10/10/10 评分权重反推目标误差；官方只公开 CK0 标签，剩余七点没有本地真值。</w:t>
      </w:r>
    </w:p>
    <w:p>
      <w:pPr/>
      <w:r>
        <w:rPr>
          <w:rFonts w:ascii="Songti SC" w:hAnsi="Songti SC" w:eastAsia="Songti SC"/>
        </w:rPr>
        <w:t>需向主办方或项目组确认：① 检查点日期按 00:00 截断是否为最终规则；② CK0 C/20 放电的温度和单体限压是否与后续 CK 完全一致；③ 公开外部训练数据、预训练参数和许可证的可用边界；④ 若官方题目“每周反馈”与提交说明/会议“每两周反馈”冲突，以哪个为准；⑤ 降预算加分具体上限和算法时间/内存测法。确认前按更保守的当前代码与指南执行。</w:t>
      </w:r>
    </w:p>
    <w:p>
      <w:pPr/>
      <w:r>
        <w:rPr>
          <w:rFonts w:ascii="Songti SC" w:hAnsi="Songti SC" w:eastAsia="Songti SC"/>
        </w:rPr>
        <w:t>本研究的结论层级也应明确：字段、检查点和接口是官方事实；同工况窗口与高斜率更新是文献支持下的</w:t>
      </w:r>
      <w:r>
        <w:rPr>
          <w:rFonts w:ascii="Songti SC" w:hAnsi="Songti SC" w:eastAsia="Songti SC"/>
          <w:b/>
        </w:rPr>
        <w:t>候选机制</w:t>
      </w:r>
      <w:r>
        <w:rPr>
          <w:rFonts w:ascii="Songti SC" w:hAnsi="Songti SC" w:eastAsia="Songti SC"/>
        </w:rPr>
        <w:t>；本比赛包中对 CK1—CK7 的准确率、温度校正系数和四芯真实容量分布均未知。论文中的误差属于其原实验，不能移植为本组承诺。</w:t>
      </w:r>
    </w:p>
    <w:p>
      <w:pPr>
        <w:pStyle w:val="Heading1"/>
      </w:pPr>
      <w:r>
        <w:rPr>
          <w:rFonts w:ascii="Songti SC" w:hAnsi="Songti SC" w:eastAsia="Songti SC"/>
        </w:rPr>
        <w:t>参考文献</w:t>
      </w:r>
    </w:p>
    <w:p>
      <w:pPr>
        <w:pStyle w:val="Reference"/>
      </w:pPr>
      <w:r>
        <w:rPr>
          <w:rFonts w:ascii="Songti SC" w:hAnsi="Songti SC" w:eastAsia="Songti SC"/>
        </w:rPr>
        <w:t>[Schaeffer2024] Schaeffer J, Lenz E, Gulla D, Bazant M Z, Braatz R D, Findeisen R. Gaussian process-based online health monitoring and fault analysis of lithium-ion battery systems from field data. Cell Reports Physical Science, 2024, 5(11):102258. DOI: 10.1016/j.xcrp.2024.102258. 正式版数据量以正式版为准。</w:t>
      </w:r>
    </w:p>
    <w:p>
      <w:pPr>
        <w:pStyle w:val="Reference"/>
      </w:pPr>
      <w:r>
        <w:rPr>
          <w:rFonts w:ascii="Songti SC" w:hAnsi="Songti SC" w:eastAsia="Songti SC"/>
        </w:rPr>
        <w:t>[Krupp2021] Krupp A, Ferg E, Schuldt F, Derendorf K, Agert C. Incremental Capacity Analysis as a State of Health Estimation Method for Lithium-Ion Battery Modules with Series-Connected Cells. Batteries, 2021, 7(1):2. DOI: 10.3390/batteries7010002.</w:t>
      </w:r>
    </w:p>
    <w:p>
      <w:pPr>
        <w:pStyle w:val="Reference"/>
      </w:pPr>
      <w:r>
        <w:rPr>
          <w:rFonts w:ascii="Songti SC" w:hAnsi="Songti SC" w:eastAsia="Songti SC"/>
        </w:rPr>
        <w:t>[Deng2022] Deng Z, Hu X, Xie Y, Xu L, Li P, Lin X, Bian X. Battery health evaluation using a short random segment of constant current charging. iScience, 2022, 25(5):104260. DOI: 10.1016/j.isci.2022.104260.</w:t>
      </w:r>
    </w:p>
    <w:p>
      <w:pPr>
        <w:pStyle w:val="Reference"/>
      </w:pPr>
      <w:r>
        <w:rPr>
          <w:rFonts w:ascii="Songti SC" w:hAnsi="Songti SC" w:eastAsia="Songti SC"/>
        </w:rPr>
        <w:t>[Yi2024] Yi B, Du X, Zhang J, Wu X, Hu Q, Jiang W, Hu X, Song Z. Bias-Compensated State of Charge and State of Health Joint Estimation for Lithium Iron Phosphate Batteries. arXiv:2401.08136v2, 2024. 预印本。</w:t>
      </w:r>
    </w:p>
    <w:p>
      <w:pPr>
        <w:pStyle w:val="Reference"/>
      </w:pPr>
      <w:r>
        <w:rPr>
          <w:rFonts w:ascii="Songti SC" w:hAnsi="Songti SC" w:eastAsia="Songti SC"/>
        </w:rPr>
        <w:t>[ZhouAitioHowey2025] Zhou Z, Aitio A, Howey D. Learning Li-ion battery health and degradation modes from data with aging-aware circuit models. arXiv:2407.06639v5, 2025. 预印本版本。</w:t>
      </w:r>
    </w:p>
    <w:p>
      <w:pPr>
        <w:pStyle w:val="Reference"/>
      </w:pPr>
      <w:r>
        <w:rPr>
          <w:rFonts w:ascii="Songti SC" w:hAnsi="Songti SC" w:eastAsia="Songti SC"/>
        </w:rPr>
        <w:t>[Wang2025] Wang Y, Zagorowska M, Ferrari R M G. Capacity Estimation of Lithium-ion Batteries Using Invariance Property in Open Circuit Voltage Relationship. arXiv:2511.06989v1, 2025. 预印本。</w:t>
      </w:r>
    </w:p>
    <w:p>
      <w:pPr>
        <w:pStyle w:val="Reference"/>
      </w:pPr>
      <w:r>
        <w:rPr>
          <w:rFonts w:ascii="Songti SC" w:hAnsi="Songti SC" w:eastAsia="Songti SC"/>
        </w:rPr>
        <w:t>[Zhou2026] Zhou Q, Vuylsteke G, Anderson R D, Sun J. Battery State of Health Estimation and Incremental Capacity Analysis under Dynamic Charging Profile Using Neural Networks. arXiv:2502.19586v3, 2026. 该版本为作者开放稿；已见后续期刊接受稿，正文按开放稿对应章节引述。</w:t>
      </w:r>
    </w:p>
    <w:p>
      <w:pPr>
        <w:pStyle w:val="Reference"/>
      </w:pPr>
      <w:r>
        <w:rPr>
          <w:rFonts w:ascii="Songti SC" w:hAnsi="Songti SC" w:eastAsia="Songti SC"/>
        </w:rPr>
        <w:t>[Cheng2024] Cheng Y, Bai H, Liang Y, Cui X, Jiang W, Song Z. Data-Driven Quantification of Battery Degradation Modes via Critical Features from Charging. arXiv:2412.10044v1, 2024. 预印本。</w:t>
      </w:r>
    </w:p>
    <w:p>
      <w:pPr>
        <w:pStyle w:val="Reference"/>
      </w:pPr>
      <w:r>
        <w:rPr>
          <w:rFonts w:ascii="Songti SC" w:hAnsi="Songti SC" w:eastAsia="Songti SC"/>
        </w:rPr>
        <w:t>[Berecibar2016] Berecibar M, Garmendia M, Gandiaga I, Crego J, Villarreal I. State of health estimation algorithm of LiFePO4 battery packs based on differential voltage curves for battery management system application. Energy, 2016, 103:784–796. DOI: 10.1016/j.energy.2016.02.163. 本次仅核对出版页摘要。</w:t>
      </w:r>
    </w:p>
    <w:p>
      <w:pPr>
        <w:pStyle w:val="Reference"/>
      </w:pPr>
      <w:r>
        <w:rPr>
          <w:rFonts w:ascii="Songti SC" w:hAnsi="Songti SC" w:eastAsia="Songti SC"/>
        </w:rPr>
        <w:t>[Zhu2022] Zhu J, Wang Y, Huang Y, et al. Data-driven capacity estimation of commercial lithium-ion batteries from voltage relaxation. Nature Communications, 2022, 13:2261. DOI: 10.1038/s41467-022-29837-w. 本次仅核对出版页与作者公开信息，未按全文证据引用细节。</w:t>
      </w:r>
    </w:p>
    <w:sectPr w:rsidR="00FC693F" w:rsidRPr="0006063C" w:rsidSect="00034616">
      <w:footerReference w:type="default" r:id="rId9"/>
      <w:pgSz w:w="11906" w:h="16838"/>
      <w:pgMar w:top="1134"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able"/>
      <w:jc w:val="center"/>
    </w:pPr>
    <w:r>
      <w:t xml:space="preserve">LFP SOH 第二阶段文献综述与技术路线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324" w:lineRule="exact"/>
    </w:pPr>
    <w:rPr>
      <w:rFonts w:ascii="Songti SC" w:hAnsi="Songti SC" w:eastAsia="Songti SC"/>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line="380" w:lineRule="exact"/>
      <w:outlineLvl w:val="0"/>
    </w:pPr>
    <w:rPr>
      <w:rFonts w:asciiTheme="majorHAnsi" w:eastAsiaTheme="majorEastAsia" w:hAnsiTheme="majorHAnsi" w:cstheme="majorBidi" w:ascii="Songti SC" w:hAnsi="Songti SC"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00" w:line="340" w:lineRule="exact"/>
      <w:outlineLvl w:val="1"/>
    </w:pPr>
    <w:rPr>
      <w:rFonts w:asciiTheme="majorHAnsi" w:eastAsiaTheme="majorEastAsia" w:hAnsiTheme="majorHAnsi" w:cstheme="majorBidi" w:ascii="Songti SC" w:hAnsi="Songti SC"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316" w:lineRule="exact"/>
      <w:outlineLvl w:val="2"/>
    </w:pPr>
    <w:rPr>
      <w:rFonts w:asciiTheme="majorHAnsi" w:eastAsiaTheme="majorEastAsia" w:hAnsiTheme="majorHAnsi" w:cstheme="majorBidi" w:ascii="Songti SC" w:hAnsi="Songti SC" w:eastAsia="Songti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460" w:lineRule="exact" w:before="0"/>
      <w:contextualSpacing/>
    </w:pPr>
    <w:rPr>
      <w:rFonts w:asciiTheme="majorHAnsi" w:eastAsiaTheme="majorEastAsia" w:hAnsiTheme="majorHAnsi" w:cstheme="majorBidi" w:ascii="Songti SC" w:hAnsi="Songti SC"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 Table"/>
    <w:pPr>
      <w:spacing w:after="60" w:line="254" w:lineRule="exact"/>
    </w:pPr>
    <w:rPr>
      <w:rFonts w:ascii="Songti SC" w:hAnsi="Songti SC" w:eastAsia="Songti SC"/>
      <w:b w:val="0"/>
      <w:color w:val="000000"/>
      <w:sz w:val="17"/>
    </w:rPr>
  </w:style>
  <w:style w:type="paragraph" w:customStyle="1" w:styleId="Code">
    <w:name w:val="Code"/>
    <w:pPr>
      <w:spacing w:after="60" w:line="250" w:lineRule="exact"/>
    </w:pPr>
    <w:rPr>
      <w:rFonts w:ascii="Songti SC" w:hAnsi="Songti SC" w:eastAsia="Songti SC"/>
      <w:b w:val="0"/>
      <w:color w:val="000000"/>
      <w:sz w:val="17"/>
    </w:rPr>
  </w:style>
  <w:style w:type="paragraph" w:customStyle="1" w:styleId="Reference">
    <w:name w:val="Reference"/>
    <w:pPr>
      <w:spacing w:after="40" w:line="258" w:lineRule="exact"/>
    </w:pPr>
    <w:rPr>
      <w:rFonts w:ascii="Songti SC" w:hAnsi="Songti SC" w:eastAsia="Songti SC"/>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LFP SOH 第二阶段文献综述与技术路线</dc:title>
  <dc:subject>TechArena 2026 Topic 1 Challenge 2 技术决策</dc:subject>
  <dc:creator>项目研究组</dc:creator>
  <cp:keywords/>
  <dc:description>generated by python-docx</dc:description>
  <cp:lastModifiedBy/>
  <cp:revision>1</cp:revision>
  <dcterms:created xsi:type="dcterms:W3CDTF">2013-12-23T23:15:00Z</dcterms:created>
  <dcterms:modified xsi:type="dcterms:W3CDTF">2013-12-23T23:15:00Z</dcterms:modified>
  <cp:category/>
</cp:coreProperties>
</file>