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1C9465CB"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Time Series: Unit 1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3A516D63" w14:textId="315E20B6" w:rsidR="00C32551" w:rsidRDefault="00C32551" w:rsidP="00C32551">
      <w:r>
        <w:t>Problems</w:t>
      </w:r>
      <w:r w:rsidR="004A1190">
        <w:t xml:space="preserve"> from the Textbook</w:t>
      </w:r>
      <w:r>
        <w:t>:</w:t>
      </w:r>
    </w:p>
    <w:p w14:paraId="6ED80309" w14:textId="1A40C139" w:rsidR="00C32551" w:rsidRDefault="00C32551" w:rsidP="00C32551">
      <w:r>
        <w:t>1.1</w:t>
      </w:r>
    </w:p>
    <w:p w14:paraId="21A65CB9" w14:textId="77777777" w:rsidR="001E003A" w:rsidRPr="001E003A" w:rsidRDefault="001E003A" w:rsidP="001E003A">
      <w:pPr>
        <w:jc w:val="both"/>
        <w:rPr>
          <w:rFonts w:ascii="LinLibertine" w:eastAsia="Times New Roman" w:hAnsi="LinLibertine" w:cs="Times New Roman"/>
          <w:color w:val="000000"/>
          <w:sz w:val="17"/>
          <w:szCs w:val="17"/>
        </w:rPr>
      </w:pPr>
      <w:r w:rsidRPr="001E003A">
        <w:rPr>
          <w:rFonts w:ascii="LinLibertine" w:eastAsia="Times New Roman" w:hAnsi="LinLibertine" w:cs="Times New Roman"/>
          <w:color w:val="000000"/>
          <w:sz w:val="17"/>
          <w:szCs w:val="17"/>
        </w:rPr>
        <w:t>Use R to work problems 1.2 through 1.7.</w:t>
      </w:r>
    </w:p>
    <w:p w14:paraId="063FEC65" w14:textId="77777777" w:rsidR="001E003A" w:rsidRPr="001E003A" w:rsidRDefault="001E003A" w:rsidP="001E003A">
      <w:pPr>
        <w:ind w:left="408"/>
        <w:jc w:val="both"/>
        <w:rPr>
          <w:rFonts w:ascii="LinLibertine" w:eastAsia="Times New Roman" w:hAnsi="LinLibertine" w:cs="Times New Roman"/>
          <w:color w:val="000000"/>
          <w:sz w:val="17"/>
          <w:szCs w:val="17"/>
        </w:rPr>
      </w:pPr>
      <w:r w:rsidRPr="001E003A">
        <w:rPr>
          <w:rFonts w:ascii="LinLibertine" w:eastAsia="Times New Roman" w:hAnsi="LinLibertine" w:cs="Times New Roman"/>
          <w:color w:val="000000"/>
          <w:sz w:val="17"/>
          <w:szCs w:val="17"/>
        </w:rPr>
        <w:t>1.1The following data are annual sales of a hypothetical company in millions of dollars:</w:t>
      </w:r>
    </w:p>
    <w:tbl>
      <w:tblPr>
        <w:tblW w:w="9000" w:type="dxa"/>
        <w:tblCellSpacing w:w="15" w:type="dxa"/>
        <w:tblCellMar>
          <w:left w:w="0" w:type="dxa"/>
          <w:right w:w="0" w:type="dxa"/>
        </w:tblCellMar>
        <w:tblLook w:val="04A0" w:firstRow="1" w:lastRow="0" w:firstColumn="1" w:lastColumn="0" w:noHBand="0" w:noVBand="1"/>
      </w:tblPr>
      <w:tblGrid>
        <w:gridCol w:w="5070"/>
        <w:gridCol w:w="3930"/>
      </w:tblGrid>
      <w:tr w:rsidR="001E003A" w:rsidRPr="001E003A" w14:paraId="06589459" w14:textId="77777777" w:rsidTr="001E003A">
        <w:trPr>
          <w:tblCellSpacing w:w="15" w:type="dxa"/>
        </w:trPr>
        <w:tc>
          <w:tcPr>
            <w:tcW w:w="0" w:type="auto"/>
            <w:tcBorders>
              <w:top w:val="single" w:sz="6" w:space="0" w:color="000000"/>
              <w:bottom w:val="single" w:sz="6" w:space="0" w:color="000000"/>
            </w:tcBorders>
            <w:tcMar>
              <w:top w:w="72" w:type="dxa"/>
              <w:left w:w="15" w:type="dxa"/>
              <w:bottom w:w="72" w:type="dxa"/>
              <w:right w:w="15" w:type="dxa"/>
            </w:tcMar>
            <w:hideMark/>
          </w:tcPr>
          <w:p w14:paraId="5D5C813B"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b/>
                <w:bCs/>
                <w:sz w:val="17"/>
                <w:szCs w:val="17"/>
              </w:rPr>
              <w:t>Period</w:t>
            </w:r>
          </w:p>
        </w:tc>
        <w:tc>
          <w:tcPr>
            <w:tcW w:w="0" w:type="auto"/>
            <w:tcBorders>
              <w:top w:val="single" w:sz="6" w:space="0" w:color="000000"/>
              <w:bottom w:val="single" w:sz="6" w:space="0" w:color="000000"/>
            </w:tcBorders>
            <w:tcMar>
              <w:top w:w="72" w:type="dxa"/>
              <w:left w:w="15" w:type="dxa"/>
              <w:bottom w:w="72" w:type="dxa"/>
              <w:right w:w="15" w:type="dxa"/>
            </w:tcMar>
            <w:hideMark/>
          </w:tcPr>
          <w:p w14:paraId="40D6AA85"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b/>
                <w:bCs/>
                <w:sz w:val="17"/>
                <w:szCs w:val="17"/>
              </w:rPr>
              <w:t>Sales</w:t>
            </w:r>
          </w:p>
        </w:tc>
      </w:tr>
      <w:tr w:rsidR="001E003A" w:rsidRPr="001E003A" w14:paraId="2159C9F6" w14:textId="77777777" w:rsidTr="001E003A">
        <w:trPr>
          <w:tblCellSpacing w:w="15" w:type="dxa"/>
        </w:trPr>
        <w:tc>
          <w:tcPr>
            <w:tcW w:w="0" w:type="auto"/>
            <w:tcMar>
              <w:top w:w="15" w:type="dxa"/>
              <w:left w:w="15" w:type="dxa"/>
              <w:bottom w:w="15" w:type="dxa"/>
              <w:right w:w="15" w:type="dxa"/>
            </w:tcMar>
            <w:hideMark/>
          </w:tcPr>
          <w:p w14:paraId="0F3FE09E"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1</w:t>
            </w:r>
          </w:p>
        </w:tc>
        <w:tc>
          <w:tcPr>
            <w:tcW w:w="0" w:type="auto"/>
            <w:tcMar>
              <w:top w:w="15" w:type="dxa"/>
              <w:left w:w="15" w:type="dxa"/>
              <w:bottom w:w="15" w:type="dxa"/>
              <w:right w:w="15" w:type="dxa"/>
            </w:tcMar>
            <w:hideMark/>
          </w:tcPr>
          <w:p w14:paraId="2098CF6A"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76</w:t>
            </w:r>
          </w:p>
        </w:tc>
      </w:tr>
      <w:tr w:rsidR="001E003A" w:rsidRPr="001E003A" w14:paraId="44871B28" w14:textId="77777777" w:rsidTr="001E003A">
        <w:trPr>
          <w:tblCellSpacing w:w="15" w:type="dxa"/>
        </w:trPr>
        <w:tc>
          <w:tcPr>
            <w:tcW w:w="0" w:type="auto"/>
            <w:tcMar>
              <w:top w:w="15" w:type="dxa"/>
              <w:left w:w="15" w:type="dxa"/>
              <w:bottom w:w="15" w:type="dxa"/>
              <w:right w:w="15" w:type="dxa"/>
            </w:tcMar>
            <w:hideMark/>
          </w:tcPr>
          <w:p w14:paraId="0CA59B8A"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2</w:t>
            </w:r>
          </w:p>
        </w:tc>
        <w:tc>
          <w:tcPr>
            <w:tcW w:w="0" w:type="auto"/>
            <w:tcMar>
              <w:top w:w="15" w:type="dxa"/>
              <w:left w:w="15" w:type="dxa"/>
              <w:bottom w:w="15" w:type="dxa"/>
              <w:right w:w="15" w:type="dxa"/>
            </w:tcMar>
            <w:hideMark/>
          </w:tcPr>
          <w:p w14:paraId="484CC750"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70</w:t>
            </w:r>
          </w:p>
        </w:tc>
      </w:tr>
      <w:tr w:rsidR="001E003A" w:rsidRPr="001E003A" w14:paraId="5BDE2ADD" w14:textId="77777777" w:rsidTr="001E003A">
        <w:trPr>
          <w:tblCellSpacing w:w="15" w:type="dxa"/>
        </w:trPr>
        <w:tc>
          <w:tcPr>
            <w:tcW w:w="0" w:type="auto"/>
            <w:tcMar>
              <w:top w:w="15" w:type="dxa"/>
              <w:left w:w="15" w:type="dxa"/>
              <w:bottom w:w="15" w:type="dxa"/>
              <w:right w:w="15" w:type="dxa"/>
            </w:tcMar>
            <w:hideMark/>
          </w:tcPr>
          <w:p w14:paraId="0E29B83C"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3</w:t>
            </w:r>
          </w:p>
        </w:tc>
        <w:tc>
          <w:tcPr>
            <w:tcW w:w="0" w:type="auto"/>
            <w:tcMar>
              <w:top w:w="15" w:type="dxa"/>
              <w:left w:w="15" w:type="dxa"/>
              <w:bottom w:w="15" w:type="dxa"/>
              <w:right w:w="15" w:type="dxa"/>
            </w:tcMar>
            <w:hideMark/>
          </w:tcPr>
          <w:p w14:paraId="718D7C15"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66</w:t>
            </w:r>
          </w:p>
        </w:tc>
      </w:tr>
      <w:tr w:rsidR="001E003A" w:rsidRPr="001E003A" w14:paraId="70D54DD5" w14:textId="77777777" w:rsidTr="001E003A">
        <w:trPr>
          <w:tblCellSpacing w:w="15" w:type="dxa"/>
        </w:trPr>
        <w:tc>
          <w:tcPr>
            <w:tcW w:w="0" w:type="auto"/>
            <w:tcMar>
              <w:top w:w="15" w:type="dxa"/>
              <w:left w:w="15" w:type="dxa"/>
              <w:bottom w:w="15" w:type="dxa"/>
              <w:right w:w="15" w:type="dxa"/>
            </w:tcMar>
            <w:hideMark/>
          </w:tcPr>
          <w:p w14:paraId="751F363A"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4</w:t>
            </w:r>
          </w:p>
        </w:tc>
        <w:tc>
          <w:tcPr>
            <w:tcW w:w="0" w:type="auto"/>
            <w:tcMar>
              <w:top w:w="15" w:type="dxa"/>
              <w:left w:w="15" w:type="dxa"/>
              <w:bottom w:w="15" w:type="dxa"/>
              <w:right w:w="15" w:type="dxa"/>
            </w:tcMar>
            <w:hideMark/>
          </w:tcPr>
          <w:p w14:paraId="49703606"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60</w:t>
            </w:r>
          </w:p>
        </w:tc>
      </w:tr>
      <w:tr w:rsidR="001E003A" w:rsidRPr="001E003A" w14:paraId="2D8D0DA5" w14:textId="77777777" w:rsidTr="001E003A">
        <w:trPr>
          <w:tblCellSpacing w:w="15" w:type="dxa"/>
        </w:trPr>
        <w:tc>
          <w:tcPr>
            <w:tcW w:w="0" w:type="auto"/>
            <w:tcMar>
              <w:top w:w="15" w:type="dxa"/>
              <w:left w:w="15" w:type="dxa"/>
              <w:bottom w:w="15" w:type="dxa"/>
              <w:right w:w="15" w:type="dxa"/>
            </w:tcMar>
            <w:hideMark/>
          </w:tcPr>
          <w:p w14:paraId="4217D36C"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5</w:t>
            </w:r>
          </w:p>
        </w:tc>
        <w:tc>
          <w:tcPr>
            <w:tcW w:w="0" w:type="auto"/>
            <w:tcMar>
              <w:top w:w="15" w:type="dxa"/>
              <w:left w:w="15" w:type="dxa"/>
              <w:bottom w:w="15" w:type="dxa"/>
              <w:right w:w="15" w:type="dxa"/>
            </w:tcMar>
            <w:hideMark/>
          </w:tcPr>
          <w:p w14:paraId="2716B791"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70</w:t>
            </w:r>
          </w:p>
        </w:tc>
      </w:tr>
      <w:tr w:rsidR="001E003A" w:rsidRPr="001E003A" w14:paraId="1565D41D" w14:textId="77777777" w:rsidTr="001E003A">
        <w:trPr>
          <w:tblCellSpacing w:w="15" w:type="dxa"/>
        </w:trPr>
        <w:tc>
          <w:tcPr>
            <w:tcW w:w="0" w:type="auto"/>
            <w:tcMar>
              <w:top w:w="15" w:type="dxa"/>
              <w:left w:w="15" w:type="dxa"/>
              <w:bottom w:w="15" w:type="dxa"/>
              <w:right w:w="15" w:type="dxa"/>
            </w:tcMar>
            <w:hideMark/>
          </w:tcPr>
          <w:p w14:paraId="17512FDC"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6</w:t>
            </w:r>
          </w:p>
        </w:tc>
        <w:tc>
          <w:tcPr>
            <w:tcW w:w="0" w:type="auto"/>
            <w:tcMar>
              <w:top w:w="15" w:type="dxa"/>
              <w:left w:w="15" w:type="dxa"/>
              <w:bottom w:w="15" w:type="dxa"/>
              <w:right w:w="15" w:type="dxa"/>
            </w:tcMar>
            <w:hideMark/>
          </w:tcPr>
          <w:p w14:paraId="20A5D840"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72</w:t>
            </w:r>
          </w:p>
        </w:tc>
      </w:tr>
      <w:tr w:rsidR="001E003A" w:rsidRPr="001E003A" w14:paraId="75C20859" w14:textId="77777777" w:rsidTr="001E003A">
        <w:trPr>
          <w:tblCellSpacing w:w="15" w:type="dxa"/>
        </w:trPr>
        <w:tc>
          <w:tcPr>
            <w:tcW w:w="0" w:type="auto"/>
            <w:tcMar>
              <w:top w:w="15" w:type="dxa"/>
              <w:left w:w="15" w:type="dxa"/>
              <w:bottom w:w="15" w:type="dxa"/>
              <w:right w:w="15" w:type="dxa"/>
            </w:tcMar>
            <w:hideMark/>
          </w:tcPr>
          <w:p w14:paraId="7E870D3C"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7</w:t>
            </w:r>
          </w:p>
        </w:tc>
        <w:tc>
          <w:tcPr>
            <w:tcW w:w="0" w:type="auto"/>
            <w:tcMar>
              <w:top w:w="15" w:type="dxa"/>
              <w:left w:w="15" w:type="dxa"/>
              <w:bottom w:w="15" w:type="dxa"/>
              <w:right w:w="15" w:type="dxa"/>
            </w:tcMar>
            <w:hideMark/>
          </w:tcPr>
          <w:p w14:paraId="1E13B98D"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76</w:t>
            </w:r>
          </w:p>
        </w:tc>
      </w:tr>
      <w:tr w:rsidR="001E003A" w:rsidRPr="001E003A" w14:paraId="61B6A072" w14:textId="77777777" w:rsidTr="001E003A">
        <w:trPr>
          <w:tblCellSpacing w:w="15" w:type="dxa"/>
        </w:trPr>
        <w:tc>
          <w:tcPr>
            <w:tcW w:w="0" w:type="auto"/>
            <w:tcBorders>
              <w:bottom w:val="single" w:sz="6" w:space="0" w:color="000000"/>
            </w:tcBorders>
            <w:tcMar>
              <w:top w:w="15" w:type="dxa"/>
              <w:left w:w="15" w:type="dxa"/>
              <w:bottom w:w="72" w:type="dxa"/>
              <w:right w:w="15" w:type="dxa"/>
            </w:tcMar>
            <w:hideMark/>
          </w:tcPr>
          <w:p w14:paraId="2FC72C07" w14:textId="77777777" w:rsidR="001E003A" w:rsidRPr="001E003A" w:rsidRDefault="001E003A" w:rsidP="001E003A">
            <w:pPr>
              <w:rPr>
                <w:rFonts w:ascii="LinLibertine" w:eastAsia="Times New Roman" w:hAnsi="LinLibertine" w:cs="Times New Roman"/>
                <w:sz w:val="17"/>
                <w:szCs w:val="17"/>
              </w:rPr>
            </w:pPr>
            <w:r w:rsidRPr="001E003A">
              <w:rPr>
                <w:rFonts w:ascii="LinLibertine" w:eastAsia="Times New Roman" w:hAnsi="LinLibertine" w:cs="Times New Roman"/>
                <w:sz w:val="17"/>
                <w:szCs w:val="17"/>
              </w:rPr>
              <w:t>8</w:t>
            </w:r>
          </w:p>
        </w:tc>
        <w:tc>
          <w:tcPr>
            <w:tcW w:w="0" w:type="auto"/>
            <w:tcBorders>
              <w:bottom w:val="single" w:sz="6" w:space="0" w:color="000000"/>
            </w:tcBorders>
            <w:tcMar>
              <w:top w:w="15" w:type="dxa"/>
              <w:left w:w="15" w:type="dxa"/>
              <w:bottom w:w="72" w:type="dxa"/>
              <w:right w:w="15" w:type="dxa"/>
            </w:tcMar>
            <w:hideMark/>
          </w:tcPr>
          <w:p w14:paraId="06F0DF63" w14:textId="77777777" w:rsidR="001E003A" w:rsidRPr="001E003A" w:rsidRDefault="001E003A" w:rsidP="001E003A">
            <w:pPr>
              <w:jc w:val="center"/>
              <w:rPr>
                <w:rFonts w:ascii="LinLibertine" w:eastAsia="Times New Roman" w:hAnsi="LinLibertine" w:cs="Times New Roman"/>
                <w:sz w:val="17"/>
                <w:szCs w:val="17"/>
              </w:rPr>
            </w:pPr>
            <w:r w:rsidRPr="001E003A">
              <w:rPr>
                <w:rFonts w:ascii="LinLibertine" w:eastAsia="Times New Roman" w:hAnsi="LinLibertine" w:cs="Times New Roman"/>
                <w:sz w:val="17"/>
                <w:szCs w:val="17"/>
              </w:rPr>
              <w:t>80</w:t>
            </w:r>
          </w:p>
        </w:tc>
      </w:tr>
    </w:tbl>
    <w:p w14:paraId="414160CD" w14:textId="4E19EC25" w:rsidR="001E003A" w:rsidRPr="001E003A" w:rsidRDefault="001E003A" w:rsidP="001E003A">
      <w:pPr>
        <w:spacing w:before="240"/>
        <w:ind w:left="528"/>
        <w:jc w:val="both"/>
        <w:rPr>
          <w:rFonts w:ascii="LinLibertine" w:eastAsia="Times New Roman" w:hAnsi="LinLibertine" w:cs="Times New Roman"/>
          <w:color w:val="000000"/>
          <w:sz w:val="17"/>
          <w:szCs w:val="17"/>
        </w:rPr>
      </w:pPr>
      <w:r w:rsidRPr="001E003A">
        <w:rPr>
          <w:rFonts w:ascii="LinLibertine" w:eastAsia="Times New Roman" w:hAnsi="LinLibertine" w:cs="Times New Roman"/>
          <w:color w:val="000000"/>
          <w:sz w:val="17"/>
          <w:szCs w:val="17"/>
        </w:rPr>
        <w:t>Compute by hand (i.e., calculator) the estimates </w:t>
      </w:r>
      <w:r w:rsidRPr="001E003A">
        <w:rPr>
          <w:rFonts w:ascii="LinLibertine" w:eastAsia="Times New Roman" w:hAnsi="LinLibertine" w:cs="Times New Roman"/>
          <w:noProof/>
          <w:color w:val="000000"/>
          <w:sz w:val="17"/>
          <w:szCs w:val="17"/>
        </w:rPr>
        <mc:AlternateContent>
          <mc:Choice Requires="wps">
            <w:drawing>
              <wp:inline distT="0" distB="0" distL="0" distR="0" wp14:anchorId="5A30E7F2" wp14:editId="213F0D7A">
                <wp:extent cx="304800" cy="304800"/>
                <wp:effectExtent l="0" t="0" r="0" b="0"/>
                <wp:docPr id="6" name="AutoShape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B0141" id="AutoShape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MyQuw8gEAANI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1E003A">
        <w:rPr>
          <w:rFonts w:ascii="LinLibertine" w:eastAsia="Times New Roman" w:hAnsi="LinLibertine" w:cs="Times New Roman"/>
          <w:color w:val="000000"/>
          <w:sz w:val="17"/>
          <w:szCs w:val="17"/>
        </w:rPr>
        <w:t>.</w:t>
      </w:r>
    </w:p>
    <w:p w14:paraId="2FB984EC" w14:textId="6D9953C7" w:rsidR="00C32551" w:rsidRDefault="00AF1AD7" w:rsidP="00C32551">
      <w:r>
        <w:rPr>
          <w:rStyle w:val="flt3"/>
          <w:rFonts w:ascii="LinLibertine" w:hAnsi="LinLibertine"/>
          <w:color w:val="000000"/>
        </w:rPr>
        <w:t>1.2</w:t>
      </w:r>
      <w:hyperlink r:id="rId4" w:history="1">
        <w:r>
          <w:rPr>
            <w:rStyle w:val="Hyperlink"/>
            <w:rFonts w:ascii="LinLibertine" w:hAnsi="LinLibertine"/>
          </w:rPr>
          <w:t>Figure 1.1a</w:t>
        </w:r>
      </w:hyperlink>
      <w:r>
        <w:rPr>
          <w:rFonts w:ascii="LinLibertine" w:hAnsi="LinLibertine"/>
          <w:color w:val="000000"/>
        </w:rPr>
        <w:t> shows a plot of West Texas intermediate crude oil prices from January 2000 to October, 2009, and </w:t>
      </w:r>
      <w:hyperlink r:id="rId5" w:history="1">
        <w:r>
          <w:rPr>
            <w:rStyle w:val="Hyperlink"/>
            <w:rFonts w:ascii="LinLibertine" w:hAnsi="LinLibertine"/>
          </w:rPr>
          <w:t>Figure 1.19b</w:t>
        </w:r>
      </w:hyperlink>
      <w:r>
        <w:rPr>
          <w:rFonts w:ascii="LinLibertine" w:hAnsi="LinLibertine"/>
          <w:color w:val="000000"/>
        </w:rPr>
        <w:t> shows monthly average temperatures for Pennsylvania for January, 1990 to December, 2009. These two data set</w:t>
      </w:r>
      <w:bookmarkStart w:id="0" w:name="_GoBack"/>
      <w:bookmarkEnd w:id="0"/>
      <w:r>
        <w:rPr>
          <w:rFonts w:ascii="LinLibertine" w:hAnsi="LinLibertine"/>
          <w:color w:val="000000"/>
        </w:rPr>
        <w:t>s in </w:t>
      </w:r>
      <w:r>
        <w:rPr>
          <w:rStyle w:val="HTMLCode"/>
          <w:rFonts w:eastAsiaTheme="minorHAnsi"/>
          <w:color w:val="000000"/>
        </w:rPr>
        <w:t>tswge</w:t>
      </w:r>
      <w:r>
        <w:rPr>
          <w:rFonts w:ascii="LinLibertine" w:hAnsi="LinLibertine"/>
          <w:color w:val="000000"/>
        </w:rPr>
        <w:t> are </w:t>
      </w:r>
      <w:r>
        <w:rPr>
          <w:rStyle w:val="HTMLCode"/>
          <w:rFonts w:eastAsiaTheme="minorHAnsi"/>
          <w:color w:val="000000"/>
        </w:rPr>
        <w:t>wtcrude</w:t>
      </w:r>
      <w:r>
        <w:rPr>
          <w:rFonts w:ascii="LinLibertine" w:hAnsi="LinLibertine"/>
          <w:color w:val="000000"/>
        </w:rPr>
        <w:t> and </w:t>
      </w:r>
      <w:r>
        <w:rPr>
          <w:rStyle w:val="HTMLCode"/>
          <w:rFonts w:eastAsiaTheme="minorHAnsi"/>
          <w:color w:val="000000"/>
        </w:rPr>
        <w:t>patemp</w:t>
      </w:r>
      <w:r>
        <w:rPr>
          <w:rFonts w:ascii="LinLibertine" w:hAnsi="LinLibertine"/>
          <w:color w:val="000000"/>
        </w:rPr>
        <w:t>, respectively. For each of these realizations, plot the sample autocorrelations, periodogram, and a Parzen window-based spectral density estimate at the truncation point </w:t>
      </w:r>
      <w:r>
        <w:rPr>
          <w:noProof/>
        </w:rPr>
        <mc:AlternateContent>
          <mc:Choice Requires="wps">
            <w:drawing>
              <wp:inline distT="0" distB="0" distL="0" distR="0" wp14:anchorId="2E2FEB2F" wp14:editId="7F5E4782">
                <wp:extent cx="304800" cy="304800"/>
                <wp:effectExtent l="0" t="0" r="0" b="0"/>
                <wp:docPr id="4" name="AutoShape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E121B" id="AutoShape 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u2c0nbkCAADFBQAA&#10;DgAAAAAAAAAAAAAAAAAuAgAAZHJzL2Uyb0RvYy54bWxQSwECLQAUAAYACAAAACEATKDpLNgAAAAD&#10;AQAADwAAAAAAAAAAAAAAAAATBQAAZHJzL2Rvd25yZXYueG1sUEsFBgAAAAAEAAQA8wAAABgGAAAA&#10;AA==&#10;" filled="f" stroked="f">
                <o:lock v:ext="edit" aspectratio="t"/>
                <w10:anchorlock/>
              </v:rect>
            </w:pict>
          </mc:Fallback>
        </mc:AlternateContent>
      </w:r>
      <w:r>
        <w:rPr>
          <w:rFonts w:ascii="LinLibertine" w:hAnsi="LinLibertine"/>
          <w:color w:val="000000"/>
        </w:rPr>
        <w:t>. Explain how these plots describe (or fail to describe) the behavior in the data</w:t>
      </w:r>
    </w:p>
    <w:sectPr w:rsidR="00C32551"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nLiberti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1NDQwMTQ2N7I0MLFU0lEKTi0uzszPAykwqgUAndPePSwAAAA="/>
  </w:docVars>
  <w:rsids>
    <w:rsidRoot w:val="00C32551"/>
    <w:rsid w:val="001E003A"/>
    <w:rsid w:val="00460692"/>
    <w:rsid w:val="004A1190"/>
    <w:rsid w:val="00774A2A"/>
    <w:rsid w:val="00AF1AD7"/>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t3">
    <w:name w:val="flt3"/>
    <w:basedOn w:val="DefaultParagraphFont"/>
    <w:rsid w:val="00AF1AD7"/>
  </w:style>
  <w:style w:type="character" w:styleId="Hyperlink">
    <w:name w:val="Hyperlink"/>
    <w:basedOn w:val="DefaultParagraphFont"/>
    <w:uiPriority w:val="99"/>
    <w:semiHidden/>
    <w:unhideWhenUsed/>
    <w:rsid w:val="00AF1AD7"/>
    <w:rPr>
      <w:color w:val="0000FF"/>
      <w:u w:val="single"/>
    </w:rPr>
  </w:style>
  <w:style w:type="character" w:styleId="HTMLCode">
    <w:name w:val="HTML Code"/>
    <w:basedOn w:val="DefaultParagraphFont"/>
    <w:uiPriority w:val="99"/>
    <w:semiHidden/>
    <w:unhideWhenUsed/>
    <w:rsid w:val="00AF1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Madding, Chad</cp:lastModifiedBy>
  <cp:revision>7</cp:revision>
  <dcterms:created xsi:type="dcterms:W3CDTF">2019-05-09T19:12:00Z</dcterms:created>
  <dcterms:modified xsi:type="dcterms:W3CDTF">2020-02-20T02:59:00Z</dcterms:modified>
</cp:coreProperties>
</file>