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Feb. 10,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Present: Angela, Royce, Corey, Mack, Shane, Michael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Joint.js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Spike prototype - check compatibility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- how easy is it to work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How reliable is it? - online 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Help with rendering, zooming, printing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How would we test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DOM model - test with Selenium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Offline behaviour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Google docs - if open, should still be able to view, but not modify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ID2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UI best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System testing - test harnesses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Mocking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Diagram - Test coverage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- Test 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through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Reorder if some lower priority requirements are easy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Rate difficulty of each requirement scale of 1-3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Update requirements each deliverable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Keep Design Document up to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 - which features are in next deliverable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 difficulty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