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
        <w:jc w:val="center"/>
      </w:pPr>
      <w:r>
        <w:rPr>
          <w:rFonts w:ascii="Consolas" w:cs="Consolas" w:eastAsia="Consolas" w:hAnsi="Consolas"/>
          <w:color w:val="8A8A8A"/>
          <w:sz w:val="20"/>
          <w:szCs w:val="20"/>
        </w:rPr>
        <w:t xml:space="preserve">[ ORTHODOX PHRONEMA ARCHIVE ]</w:t>
      </w:r>
    </w:p>
    <w:p>
      <w:pPr>
        <w:spacing w:after="200"/>
      </w:pPr>
    </w:p>
    <w:p>
      <w:pPr>
        <w:spacing w:after="120"/>
        <w:jc w:val="center"/>
      </w:pPr>
      <w:r>
        <w:rPr>
          <w:rFonts w:ascii="Consolas" w:cs="Consolas" w:eastAsia="Consolas" w:hAnsi="Consolas"/>
          <w:b/>
          <w:bCs/>
          <w:color w:val="F5C518"/>
          <w:sz w:val="48"/>
          <w:szCs w:val="48"/>
        </w:rPr>
        <w:t xml:space="preserve">ENGINEERING RELEVANCE</w:t>
      </w:r>
    </w:p>
    <w:p>
      <w:pPr>
        <w:spacing w:after="60"/>
        <w:jc w:val="center"/>
      </w:pPr>
      <w:r>
        <w:rPr>
          <w:rFonts w:ascii="Consolas" w:cs="Consolas" w:eastAsia="Consolas" w:hAnsi="Consolas"/>
          <w:b/>
          <w:bCs/>
          <w:color w:val="F5C518"/>
          <w:sz w:val="48"/>
          <w:szCs w:val="48"/>
        </w:rPr>
        <w:t xml:space="preserve">IN THE AGE OF KNOWING</w:t>
      </w:r>
    </w:p>
    <w:p>
      <w:pPr>
        <w:pBdr>
          <w:bottom w:val="single" w:color="FF2E63" w:sz="4" w:space="16"/>
        </w:pBdr>
        <w:spacing w:after="400"/>
        <w:jc w:val="center"/>
      </w:pPr>
    </w:p>
    <w:p>
      <w:pPr>
        <w:spacing w:before="200"/>
      </w:pPr>
    </w:p>
    <w:p>
      <w:pPr>
        <w:spacing w:after="80"/>
        <w:jc w:val="center"/>
      </w:pPr>
      <w:r>
        <w:rPr>
          <w:rFonts w:ascii="Georgia" w:cs="Georgia" w:eastAsia="Georgia" w:hAnsi="Georgia"/>
          <w:i/>
          <w:iCs/>
          <w:color w:val="8A8A8A"/>
          <w:sz w:val="22"/>
          <w:szCs w:val="22"/>
        </w:rPr>
        <w:t xml:space="preserve">A synthesis of six research vectors, two embedded patristic corpora,</w:t>
      </w:r>
    </w:p>
    <w:p>
      <w:pPr>
        <w:spacing w:after="80"/>
        <w:jc w:val="center"/>
      </w:pPr>
      <w:r>
        <w:rPr>
          <w:rFonts w:ascii="Georgia" w:cs="Georgia" w:eastAsia="Georgia" w:hAnsi="Georgia"/>
          <w:i/>
          <w:iCs/>
          <w:color w:val="8A8A8A"/>
          <w:sz w:val="22"/>
          <w:szCs w:val="22"/>
        </w:rPr>
        <w:t xml:space="preserve">and a local-first architecture for the mind of the Church.</w:t>
      </w:r>
    </w:p>
    <w:p>
      <w:pPr>
        <w:spacing w:before="800"/>
      </w:pPr>
    </w:p>
    <w:p>
      <w:pPr>
        <w:spacing w:after="40"/>
        <w:jc w:val="center"/>
      </w:pPr>
      <w:r>
        <w:rPr>
          <w:rFonts w:ascii="Consolas" w:cs="Consolas" w:eastAsia="Consolas" w:hAnsi="Consolas"/>
          <w:color w:val="E8E6E3"/>
          <w:sz w:val="22"/>
          <w:szCs w:val="22"/>
        </w:rPr>
        <w:t xml:space="preserve">Shane McCusker</w:t>
      </w:r>
    </w:p>
    <w:p>
      <w:pPr>
        <w:spacing w:after="40"/>
        <w:jc w:val="center"/>
      </w:pPr>
      <w:r>
        <w:rPr>
          <w:rFonts w:ascii="Consolas" w:cs="Consolas" w:eastAsia="Consolas" w:hAnsi="Consolas"/>
          <w:color w:val="8A8A8A"/>
          <w:sz w:val="20"/>
          <w:szCs w:val="20"/>
        </w:rPr>
        <w:t xml:space="preserve">March 2026</w:t>
      </w:r>
    </w:p>
    <w:p>
      <w:pPr>
        <w:spacing w:before="1600"/>
      </w:pPr>
    </w:p>
    <w:p>
      <w:pPr>
        <w:jc w:val="center"/>
      </w:pPr>
      <w:r>
        <w:rPr>
          <w:rFonts w:ascii="Georgia" w:cs="Georgia" w:eastAsia="Georgia" w:hAnsi="Georgia"/>
          <w:i/>
          <w:iCs/>
          <w:color w:val="F5C518"/>
          <w:sz w:val="22"/>
          <w:szCs w:val="22"/>
        </w:rPr>
        <w:t xml:space="preserve">“Informing matter with meaning and expressing meaning with matter.”</w:t>
      </w:r>
    </w:p>
    <w:p>
      <w:pPr>
        <w:spacing w:after="120"/>
        <w:jc w:val="center"/>
      </w:pPr>
      <w:r>
        <w:rPr>
          <w:rFonts w:ascii="Consolas" w:cs="Consolas" w:eastAsia="Consolas" w:hAnsi="Consolas"/>
          <w:color w:val="8A8A8A"/>
          <w:sz w:val="18"/>
          <w:szCs w:val="18"/>
        </w:rPr>
        <w:t xml:space="preserve">— Matthieu Pageau</w:t>
      </w:r>
    </w:p>
    <w:p>
      <w:pPr>
        <w:sectPr>
          <w:pgSz w:w="12240" w:h="15840" w:orient="portrait"/>
          <w:pgMar w:top="1440" w:right="1440" w:bottom="1440" w:left="1440" w:header="708" w:footer="708" w:gutter="0"/>
          <w:pgNumType/>
          <w:docGrid w:linePitch="360"/>
        </w:sectPr>
      </w:pPr>
    </w:p>
    <w:p>
      <w:pPr>
        <w:pBdr>
          <w:bottom w:val="single" w:color="F5C518" w:sz="4" w:space="8"/>
        </w:pBdr>
        <w:spacing w:after="240" w:before="500"/>
      </w:pPr>
      <w:r>
        <w:rPr>
          <w:rFonts w:ascii="Consolas" w:cs="Consolas" w:eastAsia="Consolas" w:hAnsi="Consolas"/>
          <w:b/>
          <w:bCs/>
          <w:color w:val="F5C518"/>
          <w:sz w:val="30"/>
          <w:szCs w:val="30"/>
        </w:rPr>
        <w:t xml:space="preserve">THE PROBLEM NOBODY IS SOLVING</w:t>
      </w:r>
    </w:p>
    <w:p>
      <w:pPr>
        <w:spacing w:after="180" w:line="300"/>
      </w:pPr>
      <w:r>
        <w:rPr>
          <w:rFonts w:ascii="Georgia" w:cs="Georgia" w:eastAsia="Georgia" w:hAnsi="Georgia"/>
          <w:color w:val="E8E6E3"/>
          <w:sz w:val="22"/>
          <w:szCs w:val="22"/>
        </w:rPr>
        <w:t xml:space="preserve">I have been quietly assembling a work called the Orthodox Phronema Archive — a clean, local-first corpus of the Orthodox Study Bible and the theological currents that flow from it. 76 books of canonical scripture, parsed from PDF scan through a 13-gate validation pipeline, promoted into a version-controlled canon. Every verse anchored. Every footnote extracted. Every cross-reference indexed. This is not content. This is soil.</w:t>
      </w:r>
    </w:p>
    <w:p>
      <w:pPr>
        <w:spacing w:after="180" w:line="300"/>
      </w:pPr>
      <w:r>
        <w:rPr>
          <w:rFonts w:ascii="Georgia" w:cs="Georgia" w:eastAsia="Georgia" w:hAnsi="Georgia"/>
          <w:color w:val="E8E6E3"/>
          <w:sz w:val="22"/>
          <w:szCs w:val="22"/>
        </w:rPr>
        <w:t xml:space="preserve">The reason I am writing this is because something clicked — and I think it matters beyond my own project.</w:t>
      </w:r>
    </w:p>
    <w:p>
      <w:pPr>
        <w:spacing w:after="180" w:line="300"/>
      </w:pPr>
      <w:r>
        <w:rPr>
          <w:rFonts w:ascii="Georgia" w:cs="Georgia" w:eastAsia="Georgia" w:hAnsi="Georgia"/>
          <w:color w:val="E8E6E3"/>
          <w:sz w:val="22"/>
          <w:szCs w:val="22"/>
        </w:rPr>
        <w:t xml:space="preserve">The fundamental deficit in LLM architecture is not intelligence. It is relevance.</w:t>
      </w:r>
    </w:p>
    <w:p>
      <w:pPr>
        <w:spacing w:after="180" w:line="300"/>
      </w:pPr>
      <w:r>
        <w:rPr>
          <w:rFonts w:ascii="Georgia" w:cs="Georgia" w:eastAsia="Georgia" w:hAnsi="Georgia"/>
          <w:color w:val="E8E6E3"/>
          <w:sz w:val="22"/>
          <w:szCs w:val="22"/>
        </w:rPr>
        <w:t xml:space="preserve">John Vervaeke has spent decades articulating this distinction through his framework of relevance realization — the capacity of an agent to zero in on what matters amidst combinatorial explosion. His core insight is deceptively simple: relevance is not an intrinsic property of data. It is a transjective phenomenon — arising dynamically through the interaction between an agent and its arena. You cannot build a static ontology of “what matters.” You can only build the mechanisms by which mattering is realized.</w:t>
      </w:r>
    </w:p>
    <w:p>
      <w:pPr>
        <w:spacing w:after="180" w:line="300"/>
      </w:pPr>
      <w:r>
        <w:rPr>
          <w:rFonts w:ascii="Georgia" w:cs="Georgia" w:eastAsia="Georgia" w:hAnsi="Georgia"/>
          <w:color w:val="E8E6E3"/>
          <w:sz w:val="22"/>
          <w:szCs w:val="22"/>
        </w:rPr>
        <w:t xml:space="preserve">The recent iterations on LLMs have used all the data — trained on the widest and most vast datasets to become largely inclusive. But as the models increase in semantic intelligence, the gap between knowing and understanding will become less subtle. My hypothesis remains: the most likely cure for this novel deficit will not be more data — but relevant data.</w:t>
      </w:r>
    </w:p>
    <w:p>
      <w:pPr>
        <w:spacing w:after="180" w:line="300"/>
      </w:pPr>
      <w:r>
        <w:rPr>
          <w:rFonts w:ascii="Georgia" w:cs="Georgia" w:eastAsia="Georgia" w:hAnsi="Georgia"/>
          <w:color w:val="E8E6E3"/>
          <w:sz w:val="22"/>
          <w:szCs w:val="22"/>
        </w:rPr>
        <w:t xml:space="preserve">The empirical evidence is now overwhelming. Research on the “Lost in the Middle” phenomenon demonstrates that LLM accuracy follows a pronounced U-shaped curve — models exhibit strong primacy and recency bias while performance degrades 20–30 percentage points when critical evidence is buried in the middle of extended context. The Adobe NoLiMa benchmark showed 11 of 12 state-of-the-art models dropped below 50% of their baseline performance at just 32,000 tokens. Raw token volume actively suppresses reasoning. The naive assumption that virtually unlimited context windows render strategic retrieval obsolete has been disproven.</w:t>
      </w:r>
    </w:p>
    <w:p>
      <w:pPr>
        <w:spacing w:after="180" w:line="300"/>
      </w:pPr>
      <w:r>
        <w:rPr>
          <w:rFonts w:ascii="Georgia" w:cs="Georgia" w:eastAsia="Georgia" w:hAnsi="Georgia"/>
          <w:color w:val="E8E6E3"/>
          <w:sz w:val="22"/>
          <w:szCs w:val="22"/>
        </w:rPr>
        <w:t xml:space="preserve">This is not a scaling problem. This is an architectural one. And the solution looks remarkably like what the Church has always done with scripture.</w:t>
      </w:r>
    </w:p>
    <w:p>
      <w:pPr>
        <w:spacing w:after="300" w:before="300"/>
        <w:jc w:val="center"/>
      </w:pPr>
      <w:r>
        <w:rPr>
          <w:rFonts w:ascii="Consolas" w:cs="Consolas" w:eastAsia="Consolas" w:hAnsi="Consolas"/>
          <w:color w:val="F5C518"/>
          <w:sz w:val="22"/>
          <w:szCs w:val="22"/>
        </w:rPr>
        <w:t xml:space="preserve">━━━  ◉  ━━━</w:t>
      </w:r>
    </w:p>
    <w:p>
      <w:pPr>
        <w:pBdr>
          <w:bottom w:val="single" w:color="F5C518" w:sz="4" w:space="8"/>
        </w:pBdr>
        <w:spacing w:after="240" w:before="500"/>
      </w:pPr>
      <w:r>
        <w:rPr>
          <w:rFonts w:ascii="Consolas" w:cs="Consolas" w:eastAsia="Consolas" w:hAnsi="Consolas"/>
          <w:b/>
          <w:bCs/>
          <w:color w:val="F5C518"/>
          <w:sz w:val="30"/>
          <w:szCs w:val="30"/>
        </w:rPr>
        <w:t xml:space="preserve">WHY DOGMA IS AN ENGINEERING DECISION</w:t>
      </w:r>
    </w:p>
    <w:p>
      <w:pPr>
        <w:spacing w:after="180" w:line="300"/>
      </w:pPr>
      <w:r>
        <w:rPr>
          <w:rFonts w:ascii="Georgia" w:cs="Georgia" w:eastAsia="Georgia" w:hAnsi="Georgia"/>
          <w:color w:val="E8E6E3"/>
          <w:sz w:val="22"/>
          <w:szCs w:val="22"/>
        </w:rPr>
        <w:t xml:space="preserve">I have been asked — more than once — why choose to be dogmatic?</w:t>
      </w:r>
    </w:p>
    <w:p>
      <w:pPr>
        <w:spacing w:after="180" w:line="300"/>
      </w:pPr>
      <w:r>
        <w:rPr>
          <w:rFonts w:ascii="Georgia" w:cs="Georgia" w:eastAsia="Georgia" w:hAnsi="Georgia"/>
          <w:color w:val="E8E6E3"/>
          <w:sz w:val="22"/>
          <w:szCs w:val="22"/>
        </w:rPr>
        <w:t xml:space="preserve">Because dogma is distillation. The canons were forged over centuries to preserve patterns that matter — measured not by token output but by the first fruits of the Spirit. When the Church risked everything over a single iota in the Creed — homoousios versus homoiousios — that was precision engineering. The words we include and exclude map the patterns of our souls.</w:t>
      </w:r>
    </w:p>
    <w:p>
      <w:pPr>
        <w:spacing w:after="180" w:line="300"/>
      </w:pPr>
      <w:r>
        <w:rPr>
          <w:rFonts w:ascii="Georgia" w:cs="Georgia" w:eastAsia="Georgia" w:hAnsi="Georgia"/>
          <w:color w:val="E8E6E3"/>
          <w:sz w:val="22"/>
          <w:szCs w:val="22"/>
        </w:rPr>
        <w:t xml:space="preserve">The same principle applies to retrieval architecture. When your knowledge base contains 63,779+ interconnected cross-references across a canonical corpus, the problem is not finding connections — it is finding the right ones. Standard vector similarity achieves less than 60% precision on dense citation retrieval. Cosine similarity is context-blind — it retrieves passages that share linguistic patterns but contribute no novel explanatory power. The research calls this the “mere association effect.” I call it the reason corporate chatbots cannot read scripture.</w:t>
      </w:r>
    </w:p>
    <w:p>
      <w:pPr>
        <w:spacing w:after="180" w:line="300"/>
      </w:pPr>
      <w:r>
        <w:rPr>
          <w:rFonts w:ascii="Georgia" w:cs="Georgia" w:eastAsia="Georgia" w:hAnsi="Georgia"/>
          <w:color w:val="E8E6E3"/>
          <w:sz w:val="22"/>
          <w:szCs w:val="22"/>
        </w:rPr>
        <w:t xml:space="preserve">The Church solved this problem fifteen centuries ago with the pericope — the self-contained narrative unit that dictates how scripture is read in worship. Not verse-level (too granular, a 13th-century projection), not chapter-level (too coarse, a medieval addition that cuts across theological thought). The pericope is the Goldilocks unit — coherent, liturgically grounded, dictated by the lectionary and the lived rhythm of the Church.</w:t>
      </w:r>
    </w:p>
    <w:p>
      <w:pPr>
        <w:spacing w:after="180" w:line="300"/>
      </w:pPr>
      <w:r>
        <w:rPr>
          <w:rFonts w:ascii="Georgia" w:cs="Georgia" w:eastAsia="Georgia" w:hAnsi="Georgia"/>
          <w:color w:val="E8E6E3"/>
          <w:sz w:val="22"/>
          <w:szCs w:val="22"/>
        </w:rPr>
        <w:t xml:space="preserve">We are using the pericope as our fundamental retrieval unit. Reference-preserving chunking at pericope boundaries — what the research literature calls “natural unit chunking” — yields 83% improvement in generative faithfulness over fixed-size approaches and eliminates the contextual orphaning that plagues every RAG system I have encountered.</w:t>
      </w:r>
    </w:p>
    <w:p>
      <w:pPr>
        <w:spacing w:after="300" w:before="300"/>
        <w:jc w:val="center"/>
      </w:pPr>
      <w:r>
        <w:rPr>
          <w:rFonts w:ascii="Consolas" w:cs="Consolas" w:eastAsia="Consolas" w:hAnsi="Consolas"/>
          <w:color w:val="F5C518"/>
          <w:sz w:val="22"/>
          <w:szCs w:val="22"/>
        </w:rPr>
        <w:t xml:space="preserve">━━━  ◉  ━━━</w:t>
      </w:r>
    </w:p>
    <w:p>
      <w:pPr>
        <w:pBdr>
          <w:bottom w:val="single" w:color="F5C518" w:sz="4" w:space="8"/>
        </w:pBdr>
        <w:spacing w:after="240" w:before="500"/>
      </w:pPr>
      <w:r>
        <w:rPr>
          <w:rFonts w:ascii="Consolas" w:cs="Consolas" w:eastAsia="Consolas" w:hAnsi="Consolas"/>
          <w:b/>
          <w:bCs/>
          <w:color w:val="F5C518"/>
          <w:sz w:val="30"/>
          <w:szCs w:val="30"/>
        </w:rPr>
        <w:t xml:space="preserve">THE ARCHITECTURE OF PHRONEMA</w:t>
      </w:r>
    </w:p>
    <w:p>
      <w:pPr>
        <w:spacing w:after="180" w:line="300"/>
      </w:pPr>
      <w:r>
        <w:rPr>
          <w:rFonts w:ascii="Georgia" w:cs="Georgia" w:eastAsia="Georgia" w:hAnsi="Georgia"/>
          <w:color w:val="E8E6E3"/>
          <w:sz w:val="22"/>
          <w:szCs w:val="22"/>
        </w:rPr>
        <w:t xml:space="preserve">The Orthodox Phronema Archive is organized around a three-layer resolution architecture that mirrors how the tradition itself operates:</w:t>
      </w:r>
    </w:p>
    <w:p>
      <w:pPr>
        <w:spacing w:after="180" w:line="300"/>
      </w:pPr>
      <w:r>
        <w:rPr>
          <w:rFonts w:ascii="Consolas" w:cs="Consolas" w:eastAsia="Consolas" w:hAnsi="Consolas"/>
          <w:b/>
          <w:bCs/>
          <w:color w:val="F5C518"/>
          <w:sz w:val="22"/>
          <w:szCs w:val="22"/>
        </w:rPr>
        <w:t xml:space="preserve">Layer 1 — Knowledge Graph (Routing). </w:t>
      </w:r>
      <w:r>
        <w:rPr>
          <w:rFonts w:ascii="Georgia" w:cs="Georgia" w:eastAsia="Georgia" w:hAnsi="Georgia"/>
          <w:color w:val="E8E6E3"/>
          <w:sz w:val="22"/>
          <w:szCs w:val="22"/>
        </w:rPr>
        <w:t xml:space="preserve">Entity nodes, typed edges, topic threads. 280+ entities mapping 76 canonical books, study articles, footnotes, lectionary notes, governing memos, reference materials. This layer answers: what is connected to what? It is the card catalog.</w:t>
      </w:r>
    </w:p>
    <w:p>
      <w:pPr>
        <w:spacing w:after="180" w:line="300"/>
      </w:pPr>
      <w:r>
        <w:rPr>
          <w:rFonts w:ascii="Consolas" w:cs="Consolas" w:eastAsia="Consolas" w:hAnsi="Consolas"/>
          <w:b/>
          <w:bCs/>
          <w:color w:val="F5C518"/>
          <w:sz w:val="22"/>
          <w:szCs w:val="22"/>
        </w:rPr>
        <w:t xml:space="preserve">Layer 2 — Backlink Shards (Storage). </w:t>
      </w:r>
      <w:r>
        <w:rPr>
          <w:rFonts w:ascii="Georgia" w:cs="Georgia" w:eastAsia="Georgia" w:hAnsi="Georgia"/>
          <w:color w:val="E8E6E3"/>
          <w:sz w:val="22"/>
          <w:szCs w:val="22"/>
        </w:rPr>
        <w:t xml:space="preserve">Per-anchor enriched records — verse text, pericope context, footnotes, cross-references, patristic witnesses. Over 6,000 study-domain shards extracted. Every discoverable connection gets an edge at build time. The graph is maximal. This is the warehouse.</w:t>
      </w:r>
    </w:p>
    <w:p>
      <w:pPr>
        <w:spacing w:after="180" w:line="300"/>
      </w:pPr>
      <w:r>
        <w:rPr>
          <w:rFonts w:ascii="Consolas" w:cs="Consolas" w:eastAsia="Consolas" w:hAnsi="Consolas"/>
          <w:b/>
          <w:bCs/>
          <w:color w:val="F5C518"/>
          <w:sz w:val="22"/>
          <w:szCs w:val="22"/>
        </w:rPr>
        <w:t xml:space="preserve">Layer 3 — Pericope Bundles (Delivery). </w:t>
      </w:r>
      <w:r>
        <w:rPr>
          <w:rFonts w:ascii="Georgia" w:cs="Georgia" w:eastAsia="Georgia" w:hAnsi="Georgia"/>
          <w:color w:val="E8E6E3"/>
          <w:sz w:val="22"/>
          <w:szCs w:val="22"/>
        </w:rPr>
        <w:t xml:space="preserve">The actual context payload assembled at query time — not static, but dynamically composed from Layers 1 and 2, filtered by what Vervaeke would call the agent’s current epistemic state. This is the prepared meal.</w:t>
      </w:r>
    </w:p>
    <w:p>
      <w:pPr>
        <w:pBdr>
          <w:left w:val="single" w:color="FF2E63" w:sz="8" w:space="12"/>
        </w:pBdr>
        <w:spacing w:after="80" w:before="300"/>
        <w:ind w:left="600" w:right="600"/>
      </w:pPr>
      <w:r>
        <w:rPr>
          <w:rFonts w:ascii="Georgia" w:cs="Georgia" w:eastAsia="Georgia" w:hAnsi="Georgia"/>
          <w:i/>
          <w:iCs/>
          <w:color w:val="F0EDE6"/>
          <w:sz w:val="24"/>
          <w:szCs w:val="24"/>
        </w:rPr>
        <w:t xml:space="preserve">“Build maximally, filter at query time.”</w:t>
      </w:r>
    </w:p>
    <w:p>
      <w:pPr>
        <w:spacing w:after="300"/>
        <w:ind w:left="600"/>
      </w:pPr>
      <w:r>
        <w:rPr>
          <w:rFonts w:ascii="Consolas" w:cs="Consolas" w:eastAsia="Consolas" w:hAnsi="Consolas"/>
          <w:color w:val="8A8A8A"/>
          <w:sz w:val="18"/>
          <w:szCs w:val="18"/>
        </w:rPr>
        <w:t xml:space="preserve">— Governing design principle</w:t>
      </w:r>
    </w:p>
    <w:p>
      <w:pPr>
        <w:spacing w:after="180" w:line="300"/>
      </w:pPr>
      <w:r>
        <w:rPr>
          <w:rFonts w:ascii="Georgia" w:cs="Georgia" w:eastAsia="Georgia" w:hAnsi="Georgia"/>
          <w:color w:val="E8E6E3"/>
          <w:sz w:val="22"/>
          <w:szCs w:val="22"/>
        </w:rPr>
        <w:t xml:space="preserve">Every wikilink in every footnote, every article cross-reference, every patristic citation, every liturgical connection — all captured as graph edges. The density is the feature. What makes it navigable is the filtering.</w:t>
      </w:r>
    </w:p>
    <w:p>
      <w:pPr>
        <w:spacing w:after="300" w:before="300"/>
        <w:jc w:val="center"/>
      </w:pPr>
      <w:r>
        <w:rPr>
          <w:rFonts w:ascii="Consolas" w:cs="Consolas" w:eastAsia="Consolas" w:hAnsi="Consolas"/>
          <w:color w:val="F5C518"/>
          <w:sz w:val="22"/>
          <w:szCs w:val="22"/>
        </w:rPr>
        <w:t xml:space="preserve">━━━  ◉  ━━━</w:t>
      </w:r>
    </w:p>
    <w:p>
      <w:pPr>
        <w:pBdr>
          <w:bottom w:val="single" w:color="F5C518" w:sz="4" w:space="8"/>
        </w:pBdr>
        <w:spacing w:after="240" w:before="500"/>
      </w:pPr>
      <w:r>
        <w:rPr>
          <w:rFonts w:ascii="Consolas" w:cs="Consolas" w:eastAsia="Consolas" w:hAnsi="Consolas"/>
          <w:b/>
          <w:bCs/>
          <w:color w:val="F5C518"/>
          <w:sz w:val="30"/>
          <w:szCs w:val="30"/>
        </w:rPr>
        <w:t xml:space="preserve">OPPONENT PROCESSING AND THE FOUR MODES</w:t>
      </w:r>
    </w:p>
    <w:p>
      <w:pPr>
        <w:spacing w:after="180" w:line="300"/>
      </w:pPr>
      <w:r>
        <w:rPr>
          <w:rFonts w:ascii="Georgia" w:cs="Georgia" w:eastAsia="Georgia" w:hAnsi="Georgia"/>
          <w:color w:val="E8E6E3"/>
          <w:sz w:val="22"/>
          <w:szCs w:val="22"/>
        </w:rPr>
        <w:t xml:space="preserve">Here is where Vervaeke’s cognitive science meets Orthodox praxis in a way I did not expect.</w:t>
      </w:r>
    </w:p>
    <w:p>
      <w:pPr>
        <w:spacing w:after="180" w:line="300"/>
      </w:pPr>
      <w:r>
        <w:rPr>
          <w:rFonts w:ascii="Georgia" w:cs="Georgia" w:eastAsia="Georgia" w:hAnsi="Georgia"/>
          <w:color w:val="E8E6E3"/>
          <w:sz w:val="22"/>
          <w:szCs w:val="22"/>
        </w:rPr>
        <w:t xml:space="preserve">Vervaeke’s relevance realization framework posits that organisms do not zero in on relevance through linear logic but through opponent processing — self-organizing dynamics where competing subsystems work in continuous opposition. Efficiency versus resiliency. Exploitation versus exploration. The system achieves a continuously updated adaptive fit — what Vervaeke describes as a fundamentally meliorative process that keeps a grip on the arena.</w:t>
      </w:r>
    </w:p>
    <w:p>
      <w:pPr>
        <w:spacing w:after="180" w:line="300"/>
      </w:pPr>
      <w:r>
        <w:rPr>
          <w:rFonts w:ascii="Georgia" w:cs="Georgia" w:eastAsia="Georgia" w:hAnsi="Georgia"/>
          <w:color w:val="E8E6E3"/>
          <w:sz w:val="22"/>
          <w:szCs w:val="22"/>
        </w:rPr>
        <w:t xml:space="preserve">In retrieval architecture, this maps to what I am calling the topical-liturgical dialectic:</w:t>
      </w:r>
    </w:p>
    <w:p>
      <w:pPr>
        <w:spacing w:after="180" w:line="300"/>
      </w:pPr>
      <w:r>
        <w:rPr>
          <w:rFonts w:ascii="Consolas" w:cs="Consolas" w:eastAsia="Consolas" w:hAnsi="Consolas"/>
          <w:b/>
          <w:bCs/>
          <w:color w:val="F5C518"/>
          <w:sz w:val="22"/>
          <w:szCs w:val="22"/>
        </w:rPr>
        <w:t xml:space="preserve">Topical relevance </w:t>
      </w:r>
      <w:r>
        <w:rPr>
          <w:rFonts w:ascii="Georgia" w:cs="Georgia" w:eastAsia="Georgia" w:hAnsi="Georgia"/>
          <w:color w:val="E8E6E3"/>
          <w:sz w:val="22"/>
          <w:szCs w:val="22"/>
        </w:rPr>
        <w:t xml:space="preserve">is the efficiency pole — exact thematic keywords, direct historical correlations, precise exegetical detail. This is the Antiochene school. Chrysostom’s literal sense before allegory. It is fast, precise, and brittle. Over-reliance strips the text to a database of facts.</w:t>
      </w:r>
    </w:p>
    <w:p>
      <w:pPr>
        <w:spacing w:after="180" w:line="300"/>
      </w:pPr>
      <w:r>
        <w:rPr>
          <w:rFonts w:ascii="Consolas" w:cs="Consolas" w:eastAsia="Consolas" w:hAnsi="Consolas"/>
          <w:b/>
          <w:bCs/>
          <w:color w:val="F5C518"/>
          <w:sz w:val="22"/>
          <w:szCs w:val="22"/>
        </w:rPr>
        <w:t xml:space="preserve">Liturgical relevance </w:t>
      </w:r>
      <w:r>
        <w:rPr>
          <w:rFonts w:ascii="Georgia" w:cs="Georgia" w:eastAsia="Georgia" w:hAnsi="Georgia"/>
          <w:color w:val="E8E6E3"/>
          <w:sz w:val="22"/>
          <w:szCs w:val="22"/>
        </w:rPr>
        <w:t xml:space="preserve">is the resiliency pole — ritualistic, experiential, canonical connections. A cross-reference that shares no immediate keywords but is liturgically intertwined because both passages are read during the same festal cycle, evoke shared theological awe, or operate within the same hermeneutical spiral. This is Schmemann’s liturgical theology — the Church is first of all a worshipping community. It captures deep resonance but taken alone becomes computationally expensive and tangentially noisy.</w:t>
      </w:r>
    </w:p>
    <w:p>
      <w:pPr>
        <w:spacing w:after="180" w:line="300"/>
      </w:pPr>
      <w:r>
        <w:rPr>
          <w:rFonts w:ascii="Georgia" w:cs="Georgia" w:eastAsia="Georgia" w:hAnsi="Georgia"/>
          <w:color w:val="E8E6E3"/>
          <w:sz w:val="22"/>
          <w:szCs w:val="22"/>
        </w:rPr>
        <w:t xml:space="preserve">You cannot simply average these signals. That dilutes both. Instead we implement four phronema mode presets — named configurations that position the system along this dialectic: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60"/>
        <w:gridCol w:w="1200"/>
        <w:gridCol w:w="1600"/>
        <w:gridCol w:w="1600"/>
      </w:tblGrid>
      <w:tr>
        <w:tc>
          <w:tcPr>
            <w:tcW w:type="dxa" w:w="1600"/>
            <w:tcBorders>
              <w:top w:val="single" w:color="333333" w:sz="1"/>
              <w:left w:val="single" w:color="333333" w:sz="1"/>
              <w:bottom w:val="single" w:color="333333" w:sz="1"/>
              <w:right w:val="single" w:color="333333" w:sz="1"/>
            </w:tcBorders>
            <w:shd w:fill="1A1A2E" w:val="clear"/>
            <w:tcMar>
              <w:top w:type="dxa" w:w="100"/>
              <w:left w:type="dxa" w:w="140"/>
              <w:bottom w:type="dxa" w:w="100"/>
              <w:right w:type="dxa" w:w="140"/>
            </w:tcMar>
          </w:tcPr>
          <w:p>
            <w:pPr>
              <w:jc w:val="left"/>
            </w:pPr>
            <w:r>
              <w:rPr>
                <w:rFonts w:ascii="Consolas" w:cs="Consolas" w:eastAsia="Consolas" w:hAnsi="Consolas"/>
                <w:b/>
                <w:bCs/>
                <w:color w:val="F5C518"/>
                <w:sz w:val="16"/>
                <w:szCs w:val="16"/>
              </w:rPr>
              <w:t xml:space="preserve">MODE</w:t>
            </w:r>
          </w:p>
        </w:tc>
        <w:tc>
          <w:tcPr>
            <w:tcW w:type="dxa" w:w="3360"/>
            <w:tcBorders>
              <w:top w:val="single" w:color="333333" w:sz="1"/>
              <w:left w:val="single" w:color="333333" w:sz="1"/>
              <w:bottom w:val="single" w:color="333333" w:sz="1"/>
              <w:right w:val="single" w:color="333333" w:sz="1"/>
            </w:tcBorders>
            <w:shd w:fill="1A1A2E" w:val="clear"/>
            <w:tcMar>
              <w:top w:type="dxa" w:w="100"/>
              <w:left w:type="dxa" w:w="140"/>
              <w:bottom w:type="dxa" w:w="100"/>
              <w:right w:type="dxa" w:w="140"/>
            </w:tcMar>
          </w:tcPr>
          <w:p>
            <w:pPr>
              <w:jc w:val="left"/>
            </w:pPr>
            <w:r>
              <w:rPr>
                <w:rFonts w:ascii="Consolas" w:cs="Consolas" w:eastAsia="Consolas" w:hAnsi="Consolas"/>
                <w:b/>
                <w:bCs/>
                <w:color w:val="F5C518"/>
                <w:sz w:val="16"/>
                <w:szCs w:val="16"/>
              </w:rPr>
              <w:t xml:space="preserve">POSTURE</w:t>
            </w:r>
          </w:p>
        </w:tc>
        <w:tc>
          <w:tcPr>
            <w:tcW w:type="dxa" w:w="1200"/>
            <w:tcBorders>
              <w:top w:val="single" w:color="333333" w:sz="1"/>
              <w:left w:val="single" w:color="333333" w:sz="1"/>
              <w:bottom w:val="single" w:color="333333" w:sz="1"/>
              <w:right w:val="single" w:color="333333" w:sz="1"/>
            </w:tcBorders>
            <w:shd w:fill="1A1A2E" w:val="clear"/>
            <w:tcMar>
              <w:top w:type="dxa" w:w="100"/>
              <w:left w:type="dxa" w:w="140"/>
              <w:bottom w:type="dxa" w:w="100"/>
              <w:right w:type="dxa" w:w="140"/>
            </w:tcMar>
          </w:tcPr>
          <w:p>
            <w:pPr>
              <w:jc w:val="center"/>
            </w:pPr>
            <w:r>
              <w:rPr>
                <w:rFonts w:ascii="Consolas" w:cs="Consolas" w:eastAsia="Consolas" w:hAnsi="Consolas"/>
                <w:b/>
                <w:bCs/>
                <w:color w:val="F5C518"/>
                <w:sz w:val="16"/>
                <w:szCs w:val="16"/>
              </w:rPr>
              <w:t xml:space="preserve">DEPTH</w:t>
            </w:r>
          </w:p>
        </w:tc>
        <w:tc>
          <w:tcPr>
            <w:tcW w:type="dxa" w:w="1600"/>
            <w:tcBorders>
              <w:top w:val="single" w:color="333333" w:sz="1"/>
              <w:left w:val="single" w:color="333333" w:sz="1"/>
              <w:bottom w:val="single" w:color="333333" w:sz="1"/>
              <w:right w:val="single" w:color="333333" w:sz="1"/>
            </w:tcBorders>
            <w:shd w:fill="1A1A2E" w:val="clear"/>
            <w:tcMar>
              <w:top w:type="dxa" w:w="100"/>
              <w:left w:type="dxa" w:w="140"/>
              <w:bottom w:type="dxa" w:w="100"/>
              <w:right w:type="dxa" w:w="140"/>
            </w:tcMar>
          </w:tcPr>
          <w:p>
            <w:pPr>
              <w:jc w:val="center"/>
            </w:pPr>
            <w:r>
              <w:rPr>
                <w:rFonts w:ascii="Consolas" w:cs="Consolas" w:eastAsia="Consolas" w:hAnsi="Consolas"/>
                <w:b/>
                <w:bCs/>
                <w:color w:val="F5C518"/>
                <w:sz w:val="16"/>
                <w:szCs w:val="16"/>
              </w:rPr>
              <w:t xml:space="preserve">TOKENS</w:t>
            </w:r>
          </w:p>
        </w:tc>
        <w:tc>
          <w:tcPr>
            <w:tcW w:type="dxa" w:w="1600"/>
            <w:tcBorders>
              <w:top w:val="single" w:color="333333" w:sz="1"/>
              <w:left w:val="single" w:color="333333" w:sz="1"/>
              <w:bottom w:val="single" w:color="333333" w:sz="1"/>
              <w:right w:val="single" w:color="333333" w:sz="1"/>
            </w:tcBorders>
            <w:shd w:fill="1A1A2E" w:val="clear"/>
            <w:tcMar>
              <w:top w:type="dxa" w:w="100"/>
              <w:left w:type="dxa" w:w="140"/>
              <w:bottom w:type="dxa" w:w="100"/>
              <w:right w:type="dxa" w:w="140"/>
            </w:tcMar>
          </w:tcPr>
          <w:p>
            <w:pPr>
              <w:jc w:val="center"/>
            </w:pPr>
            <w:r>
              <w:rPr>
                <w:rFonts w:ascii="Consolas" w:cs="Consolas" w:eastAsia="Consolas" w:hAnsi="Consolas"/>
                <w:b/>
                <w:bCs/>
                <w:color w:val="F5C518"/>
                <w:sz w:val="16"/>
                <w:szCs w:val="16"/>
              </w:rPr>
              <w:t xml:space="preserve">HOPS</w:t>
            </w:r>
          </w:p>
        </w:tc>
      </w:tr>
      <w:tr>
        <w:tc>
          <w:tcPr>
            <w:tcW w:type="dxa" w:w="1600"/>
            <w:tcBorders>
              <w:top w:val="single" w:color="333333" w:sz="1"/>
              <w:left w:val="single" w:color="333333" w:sz="1"/>
              <w:bottom w:val="single" w:color="333333" w:sz="1"/>
              <w:right w:val="single" w:color="333333" w:sz="1"/>
            </w:tcBorders>
            <w:shd w:fill="444444" w:val="clear"/>
            <w:tcMar>
              <w:top w:type="dxa" w:w="100"/>
              <w:left w:type="dxa" w:w="140"/>
              <w:bottom w:type="dxa" w:w="100"/>
              <w:right w:type="dxa" w:w="140"/>
            </w:tcMar>
          </w:tcPr>
          <w:p>
            <w:r>
              <w:rPr>
                <w:rFonts w:ascii="Consolas" w:cs="Consolas" w:eastAsia="Consolas" w:hAnsi="Consolas"/>
                <w:b/>
                <w:bCs/>
                <w:color w:val="0A0A0A"/>
                <w:sz w:val="18"/>
                <w:szCs w:val="18"/>
              </w:rPr>
              <w:t xml:space="preserve">QUICK</w:t>
            </w:r>
          </w:p>
        </w:tc>
        <w:tc>
          <w:tcPr>
            <w:tcW w:type="dxa" w:w="3360"/>
            <w:tcBorders>
              <w:top w:val="single" w:color="333333" w:sz="1"/>
              <w:left w:val="single" w:color="333333" w:sz="1"/>
              <w:bottom w:val="single" w:color="333333" w:sz="1"/>
              <w:right w:val="single" w:color="333333" w:sz="1"/>
            </w:tcBorders>
            <w:tcMar>
              <w:top w:type="dxa" w:w="100"/>
              <w:left w:type="dxa" w:w="140"/>
              <w:bottom w:type="dxa" w:w="100"/>
              <w:right w:type="dxa" w:w="140"/>
            </w:tcMar>
          </w:tcPr>
          <w:p>
            <w:r>
              <w:rPr>
                <w:rFonts w:ascii="Georgia" w:cs="Georgia" w:eastAsia="Georgia" w:hAnsi="Georgia"/>
                <w:color w:val="E8E6E3"/>
                <w:sz w:val="18"/>
                <w:szCs w:val="18"/>
              </w:rPr>
              <w:t xml:space="preserve">Pure topical efficiency. Fast lookup.</w:t>
            </w:r>
          </w:p>
        </w:tc>
        <w:tc>
          <w:tcPr>
            <w:tcW w:type="dxa" w:w="1200"/>
            <w:tcBorders>
              <w:top w:val="single" w:color="333333" w:sz="1"/>
              <w:left w:val="single" w:color="333333" w:sz="1"/>
              <w:bottom w:val="single" w:color="333333" w:sz="1"/>
              <w:right w:val="single" w:color="333333" w:sz="1"/>
            </w:tcBorders>
            <w:tcMar>
              <w:top w:type="dxa" w:w="100"/>
              <w:left w:type="dxa" w:w="140"/>
              <w:bottom w:type="dxa" w:w="100"/>
              <w:right w:type="dxa" w:w="140"/>
            </w:tcMar>
          </w:tcPr>
          <w:p>
            <w:pPr>
              <w:jc w:val="center"/>
            </w:pPr>
            <w:r>
              <w:rPr>
                <w:rFonts w:ascii="Consolas" w:cs="Consolas" w:eastAsia="Consolas" w:hAnsi="Consolas"/>
                <w:color w:val="00E5FF"/>
                <w:sz w:val="18"/>
                <w:szCs w:val="18"/>
              </w:rPr>
              <w:t xml:space="preserve">1</w:t>
            </w:r>
          </w:p>
        </w:tc>
        <w:tc>
          <w:tcPr>
            <w:tcW w:type="dxa" w:w="1600"/>
            <w:tcBorders>
              <w:top w:val="single" w:color="333333" w:sz="1"/>
              <w:left w:val="single" w:color="333333" w:sz="1"/>
              <w:bottom w:val="single" w:color="333333" w:sz="1"/>
              <w:right w:val="single" w:color="333333" w:sz="1"/>
            </w:tcBorders>
            <w:tcMar>
              <w:top w:type="dxa" w:w="100"/>
              <w:left w:type="dxa" w:w="140"/>
              <w:bottom w:type="dxa" w:w="100"/>
              <w:right w:type="dxa" w:w="140"/>
            </w:tcMar>
          </w:tcPr>
          <w:p>
            <w:pPr>
              <w:jc w:val="center"/>
            </w:pPr>
            <w:r>
              <w:rPr>
                <w:rFonts w:ascii="Consolas" w:cs="Consolas" w:eastAsia="Consolas" w:hAnsi="Consolas"/>
                <w:color w:val="F5C518"/>
                <w:sz w:val="18"/>
                <w:szCs w:val="18"/>
              </w:rPr>
              <w:t xml:space="preserve">1,000</w:t>
            </w:r>
          </w:p>
        </w:tc>
        <w:tc>
          <w:tcPr>
            <w:tcW w:type="dxa" w:w="1600"/>
            <w:tcBorders>
              <w:top w:val="single" w:color="333333" w:sz="1"/>
              <w:left w:val="single" w:color="333333" w:sz="1"/>
              <w:bottom w:val="single" w:color="333333" w:sz="1"/>
              <w:right w:val="single" w:color="333333" w:sz="1"/>
            </w:tcBorders>
            <w:tcMar>
              <w:top w:type="dxa" w:w="100"/>
              <w:left w:type="dxa" w:w="140"/>
              <w:bottom w:type="dxa" w:w="100"/>
              <w:right w:type="dxa" w:w="140"/>
            </w:tcMar>
          </w:tcPr>
          <w:p>
            <w:pPr>
              <w:jc w:val="center"/>
            </w:pPr>
            <w:r>
              <w:rPr>
                <w:rFonts w:ascii="Consolas" w:cs="Consolas" w:eastAsia="Consolas" w:hAnsi="Consolas"/>
                <w:color w:val="FF2E63"/>
                <w:sz w:val="18"/>
                <w:szCs w:val="18"/>
              </w:rPr>
              <w:t xml:space="preserve">0</w:t>
            </w:r>
          </w:p>
        </w:tc>
      </w:tr>
      <w:tr>
        <w:tc>
          <w:tcPr>
            <w:tcW w:type="dxa" w:w="1600"/>
            <w:tcBorders>
              <w:top w:val="single" w:color="333333" w:sz="1"/>
              <w:left w:val="single" w:color="333333" w:sz="1"/>
              <w:bottom w:val="single" w:color="333333" w:sz="1"/>
              <w:right w:val="single" w:color="333333" w:sz="1"/>
            </w:tcBorders>
            <w:shd w:fill="555555" w:val="clear"/>
            <w:tcMar>
              <w:top w:type="dxa" w:w="100"/>
              <w:left w:type="dxa" w:w="140"/>
              <w:bottom w:type="dxa" w:w="100"/>
              <w:right w:type="dxa" w:w="140"/>
            </w:tcMar>
          </w:tcPr>
          <w:p>
            <w:r>
              <w:rPr>
                <w:rFonts w:ascii="Consolas" w:cs="Consolas" w:eastAsia="Consolas" w:hAnsi="Consolas"/>
                <w:b/>
                <w:bCs/>
                <w:color w:val="0A0A0A"/>
                <w:sz w:val="18"/>
                <w:szCs w:val="18"/>
              </w:rPr>
              <w:t xml:space="preserve">DEVOTIONAL</w:t>
            </w:r>
          </w:p>
        </w:tc>
        <w:tc>
          <w:tcPr>
            <w:tcW w:type="dxa" w:w="3360"/>
            <w:tcBorders>
              <w:top w:val="single" w:color="333333" w:sz="1"/>
              <w:left w:val="single" w:color="333333" w:sz="1"/>
              <w:bottom w:val="single" w:color="333333" w:sz="1"/>
              <w:right w:val="single" w:color="333333" w:sz="1"/>
            </w:tcBorders>
            <w:shd w:fill="1A1A1A" w:val="clear"/>
            <w:tcMar>
              <w:top w:type="dxa" w:w="100"/>
              <w:left w:type="dxa" w:w="140"/>
              <w:bottom w:type="dxa" w:w="100"/>
              <w:right w:type="dxa" w:w="140"/>
            </w:tcMar>
          </w:tcPr>
          <w:p>
            <w:r>
              <w:rPr>
                <w:rFonts w:ascii="Georgia" w:cs="Georgia" w:eastAsia="Georgia" w:hAnsi="Georgia"/>
                <w:color w:val="E8E6E3"/>
                <w:sz w:val="18"/>
                <w:szCs w:val="18"/>
              </w:rPr>
              <w:t xml:space="preserve">Balanced. Daily reading. The default.</w:t>
            </w:r>
          </w:p>
        </w:tc>
        <w:tc>
          <w:tcPr>
            <w:tcW w:type="dxa" w:w="1200"/>
            <w:tcBorders>
              <w:top w:val="single" w:color="333333" w:sz="1"/>
              <w:left w:val="single" w:color="333333" w:sz="1"/>
              <w:bottom w:val="single" w:color="333333" w:sz="1"/>
              <w:right w:val="single" w:color="333333" w:sz="1"/>
            </w:tcBorders>
            <w:shd w:fill="1A1A1A" w:val="clear"/>
            <w:tcMar>
              <w:top w:type="dxa" w:w="100"/>
              <w:left w:type="dxa" w:w="140"/>
              <w:bottom w:type="dxa" w:w="100"/>
              <w:right w:type="dxa" w:w="140"/>
            </w:tcMar>
          </w:tcPr>
          <w:p>
            <w:pPr>
              <w:jc w:val="center"/>
            </w:pPr>
            <w:r>
              <w:rPr>
                <w:rFonts w:ascii="Consolas" w:cs="Consolas" w:eastAsia="Consolas" w:hAnsi="Consolas"/>
                <w:color w:val="00E5FF"/>
                <w:sz w:val="18"/>
                <w:szCs w:val="18"/>
              </w:rPr>
              <w:t xml:space="preserve">2</w:t>
            </w:r>
          </w:p>
        </w:tc>
        <w:tc>
          <w:tcPr>
            <w:tcW w:type="dxa" w:w="1600"/>
            <w:tcBorders>
              <w:top w:val="single" w:color="333333" w:sz="1"/>
              <w:left w:val="single" w:color="333333" w:sz="1"/>
              <w:bottom w:val="single" w:color="333333" w:sz="1"/>
              <w:right w:val="single" w:color="333333" w:sz="1"/>
            </w:tcBorders>
            <w:shd w:fill="1A1A1A" w:val="clear"/>
            <w:tcMar>
              <w:top w:type="dxa" w:w="100"/>
              <w:left w:type="dxa" w:w="140"/>
              <w:bottom w:type="dxa" w:w="100"/>
              <w:right w:type="dxa" w:w="140"/>
            </w:tcMar>
          </w:tcPr>
          <w:p>
            <w:pPr>
              <w:jc w:val="center"/>
            </w:pPr>
            <w:r>
              <w:rPr>
                <w:rFonts w:ascii="Consolas" w:cs="Consolas" w:eastAsia="Consolas" w:hAnsi="Consolas"/>
                <w:color w:val="F5C518"/>
                <w:sz w:val="18"/>
                <w:szCs w:val="18"/>
              </w:rPr>
              <w:t xml:space="preserve">4,000</w:t>
            </w:r>
          </w:p>
        </w:tc>
        <w:tc>
          <w:tcPr>
            <w:tcW w:type="dxa" w:w="1600"/>
            <w:tcBorders>
              <w:top w:val="single" w:color="333333" w:sz="1"/>
              <w:left w:val="single" w:color="333333" w:sz="1"/>
              <w:bottom w:val="single" w:color="333333" w:sz="1"/>
              <w:right w:val="single" w:color="333333" w:sz="1"/>
            </w:tcBorders>
            <w:shd w:fill="1A1A1A" w:val="clear"/>
            <w:tcMar>
              <w:top w:type="dxa" w:w="100"/>
              <w:left w:type="dxa" w:w="140"/>
              <w:bottom w:type="dxa" w:w="100"/>
              <w:right w:type="dxa" w:w="140"/>
            </w:tcMar>
          </w:tcPr>
          <w:p>
            <w:pPr>
              <w:jc w:val="center"/>
            </w:pPr>
            <w:r>
              <w:rPr>
                <w:rFonts w:ascii="Consolas" w:cs="Consolas" w:eastAsia="Consolas" w:hAnsi="Consolas"/>
                <w:color w:val="FF2E63"/>
                <w:sz w:val="18"/>
                <w:szCs w:val="18"/>
              </w:rPr>
              <w:t xml:space="preserve">1</w:t>
            </w:r>
          </w:p>
        </w:tc>
      </w:tr>
      <w:tr>
        <w:tc>
          <w:tcPr>
            <w:tcW w:type="dxa" w:w="1600"/>
            <w:tcBorders>
              <w:top w:val="single" w:color="333333" w:sz="1"/>
              <w:left w:val="single" w:color="333333" w:sz="1"/>
              <w:bottom w:val="single" w:color="333333" w:sz="1"/>
              <w:right w:val="single" w:color="333333" w:sz="1"/>
            </w:tcBorders>
            <w:shd w:fill="666666" w:val="clear"/>
            <w:tcMar>
              <w:top w:type="dxa" w:w="100"/>
              <w:left w:type="dxa" w:w="140"/>
              <w:bottom w:type="dxa" w:w="100"/>
              <w:right w:type="dxa" w:w="140"/>
            </w:tcMar>
          </w:tcPr>
          <w:p>
            <w:r>
              <w:rPr>
                <w:rFonts w:ascii="Consolas" w:cs="Consolas" w:eastAsia="Consolas" w:hAnsi="Consolas"/>
                <w:b/>
                <w:bCs/>
                <w:color w:val="0A0A0A"/>
                <w:sz w:val="18"/>
                <w:szCs w:val="18"/>
              </w:rPr>
              <w:t xml:space="preserve">STUDY</w:t>
            </w:r>
          </w:p>
        </w:tc>
        <w:tc>
          <w:tcPr>
            <w:tcW w:type="dxa" w:w="3360"/>
            <w:tcBorders>
              <w:top w:val="single" w:color="333333" w:sz="1"/>
              <w:left w:val="single" w:color="333333" w:sz="1"/>
              <w:bottom w:val="single" w:color="333333" w:sz="1"/>
              <w:right w:val="single" w:color="333333" w:sz="1"/>
            </w:tcBorders>
            <w:tcMar>
              <w:top w:type="dxa" w:w="100"/>
              <w:left w:type="dxa" w:w="140"/>
              <w:bottom w:type="dxa" w:w="100"/>
              <w:right w:type="dxa" w:w="140"/>
            </w:tcMar>
          </w:tcPr>
          <w:p>
            <w:r>
              <w:rPr>
                <w:rFonts w:ascii="Georgia" w:cs="Georgia" w:eastAsia="Georgia" w:hAnsi="Georgia"/>
                <w:color w:val="E8E6E3"/>
                <w:sz w:val="18"/>
                <w:szCs w:val="18"/>
              </w:rPr>
              <w:t xml:space="preserve">Weighted toward exploration. Deep session.</w:t>
            </w:r>
          </w:p>
        </w:tc>
        <w:tc>
          <w:tcPr>
            <w:tcW w:type="dxa" w:w="1200"/>
            <w:tcBorders>
              <w:top w:val="single" w:color="333333" w:sz="1"/>
              <w:left w:val="single" w:color="333333" w:sz="1"/>
              <w:bottom w:val="single" w:color="333333" w:sz="1"/>
              <w:right w:val="single" w:color="333333" w:sz="1"/>
            </w:tcBorders>
            <w:tcMar>
              <w:top w:type="dxa" w:w="100"/>
              <w:left w:type="dxa" w:w="140"/>
              <w:bottom w:type="dxa" w:w="100"/>
              <w:right w:type="dxa" w:w="140"/>
            </w:tcMar>
          </w:tcPr>
          <w:p>
            <w:pPr>
              <w:jc w:val="center"/>
            </w:pPr>
            <w:r>
              <w:rPr>
                <w:rFonts w:ascii="Consolas" w:cs="Consolas" w:eastAsia="Consolas" w:hAnsi="Consolas"/>
                <w:color w:val="00E5FF"/>
                <w:sz w:val="18"/>
                <w:szCs w:val="18"/>
              </w:rPr>
              <w:t xml:space="preserve">3</w:t>
            </w:r>
          </w:p>
        </w:tc>
        <w:tc>
          <w:tcPr>
            <w:tcW w:type="dxa" w:w="1600"/>
            <w:tcBorders>
              <w:top w:val="single" w:color="333333" w:sz="1"/>
              <w:left w:val="single" w:color="333333" w:sz="1"/>
              <w:bottom w:val="single" w:color="333333" w:sz="1"/>
              <w:right w:val="single" w:color="333333" w:sz="1"/>
            </w:tcBorders>
            <w:tcMar>
              <w:top w:type="dxa" w:w="100"/>
              <w:left w:type="dxa" w:w="140"/>
              <w:bottom w:type="dxa" w:w="100"/>
              <w:right w:type="dxa" w:w="140"/>
            </w:tcMar>
          </w:tcPr>
          <w:p>
            <w:pPr>
              <w:jc w:val="center"/>
            </w:pPr>
            <w:r>
              <w:rPr>
                <w:rFonts w:ascii="Consolas" w:cs="Consolas" w:eastAsia="Consolas" w:hAnsi="Consolas"/>
                <w:color w:val="F5C518"/>
                <w:sz w:val="18"/>
                <w:szCs w:val="18"/>
              </w:rPr>
              <w:t xml:space="preserve">8,000</w:t>
            </w:r>
          </w:p>
        </w:tc>
        <w:tc>
          <w:tcPr>
            <w:tcW w:type="dxa" w:w="1600"/>
            <w:tcBorders>
              <w:top w:val="single" w:color="333333" w:sz="1"/>
              <w:left w:val="single" w:color="333333" w:sz="1"/>
              <w:bottom w:val="single" w:color="333333" w:sz="1"/>
              <w:right w:val="single" w:color="333333" w:sz="1"/>
            </w:tcBorders>
            <w:tcMar>
              <w:top w:type="dxa" w:w="100"/>
              <w:left w:type="dxa" w:w="140"/>
              <w:bottom w:type="dxa" w:w="100"/>
              <w:right w:type="dxa" w:w="140"/>
            </w:tcMar>
          </w:tcPr>
          <w:p>
            <w:pPr>
              <w:jc w:val="center"/>
            </w:pPr>
            <w:r>
              <w:rPr>
                <w:rFonts w:ascii="Consolas" w:cs="Consolas" w:eastAsia="Consolas" w:hAnsi="Consolas"/>
                <w:color w:val="FF2E63"/>
                <w:sz w:val="18"/>
                <w:szCs w:val="18"/>
              </w:rPr>
              <w:t xml:space="preserve">2</w:t>
            </w:r>
          </w:p>
        </w:tc>
      </w:tr>
      <w:tr>
        <w:tc>
          <w:tcPr>
            <w:tcW w:type="dxa" w:w="1600"/>
            <w:tcBorders>
              <w:top w:val="single" w:color="333333" w:sz="1"/>
              <w:left w:val="single" w:color="333333" w:sz="1"/>
              <w:bottom w:val="single" w:color="333333" w:sz="1"/>
              <w:right w:val="single" w:color="333333" w:sz="1"/>
            </w:tcBorders>
            <w:shd w:fill="F5C518" w:val="clear"/>
            <w:tcMar>
              <w:top w:type="dxa" w:w="100"/>
              <w:left w:type="dxa" w:w="140"/>
              <w:bottom w:type="dxa" w:w="100"/>
              <w:right w:type="dxa" w:w="140"/>
            </w:tcMar>
          </w:tcPr>
          <w:p>
            <w:r>
              <w:rPr>
                <w:rFonts w:ascii="Consolas" w:cs="Consolas" w:eastAsia="Consolas" w:hAnsi="Consolas"/>
                <w:b/>
                <w:bCs/>
                <w:color w:val="0A0A0A"/>
                <w:sz w:val="18"/>
                <w:szCs w:val="18"/>
              </w:rPr>
              <w:t xml:space="preserve">PHRONEMA</w:t>
            </w:r>
          </w:p>
        </w:tc>
        <w:tc>
          <w:tcPr>
            <w:tcW w:type="dxa" w:w="3360"/>
            <w:tcBorders>
              <w:top w:val="single" w:color="333333" w:sz="1"/>
              <w:left w:val="single" w:color="333333" w:sz="1"/>
              <w:bottom w:val="single" w:color="333333" w:sz="1"/>
              <w:right w:val="single" w:color="333333" w:sz="1"/>
            </w:tcBorders>
            <w:shd w:fill="1A1A1A" w:val="clear"/>
            <w:tcMar>
              <w:top w:type="dxa" w:w="100"/>
              <w:left w:type="dxa" w:w="140"/>
              <w:bottom w:type="dxa" w:w="100"/>
              <w:right w:type="dxa" w:w="140"/>
            </w:tcMar>
          </w:tcPr>
          <w:p>
            <w:r>
              <w:rPr>
                <w:rFonts w:ascii="Georgia" w:cs="Georgia" w:eastAsia="Georgia" w:hAnsi="Georgia"/>
                <w:color w:val="E8E6E3"/>
                <w:sz w:val="18"/>
                <w:szCs w:val="18"/>
              </w:rPr>
              <w:t xml:space="preserve">Maximum resiliency. Full tradition weight.</w:t>
            </w:r>
          </w:p>
        </w:tc>
        <w:tc>
          <w:tcPr>
            <w:tcW w:type="dxa" w:w="1200"/>
            <w:tcBorders>
              <w:top w:val="single" w:color="333333" w:sz="1"/>
              <w:left w:val="single" w:color="333333" w:sz="1"/>
              <w:bottom w:val="single" w:color="333333" w:sz="1"/>
              <w:right w:val="single" w:color="333333" w:sz="1"/>
            </w:tcBorders>
            <w:shd w:fill="1A1A1A" w:val="clear"/>
            <w:tcMar>
              <w:top w:type="dxa" w:w="100"/>
              <w:left w:type="dxa" w:w="140"/>
              <w:bottom w:type="dxa" w:w="100"/>
              <w:right w:type="dxa" w:w="140"/>
            </w:tcMar>
          </w:tcPr>
          <w:p>
            <w:pPr>
              <w:jc w:val="center"/>
            </w:pPr>
            <w:r>
              <w:rPr>
                <w:rFonts w:ascii="Consolas" w:cs="Consolas" w:eastAsia="Consolas" w:hAnsi="Consolas"/>
                <w:color w:val="00E5FF"/>
                <w:sz w:val="18"/>
                <w:szCs w:val="18"/>
              </w:rPr>
              <w:t xml:space="preserve">4</w:t>
            </w:r>
          </w:p>
        </w:tc>
        <w:tc>
          <w:tcPr>
            <w:tcW w:type="dxa" w:w="1600"/>
            <w:tcBorders>
              <w:top w:val="single" w:color="333333" w:sz="1"/>
              <w:left w:val="single" w:color="333333" w:sz="1"/>
              <w:bottom w:val="single" w:color="333333" w:sz="1"/>
              <w:right w:val="single" w:color="333333" w:sz="1"/>
            </w:tcBorders>
            <w:shd w:fill="1A1A1A" w:val="clear"/>
            <w:tcMar>
              <w:top w:type="dxa" w:w="100"/>
              <w:left w:type="dxa" w:w="140"/>
              <w:bottom w:type="dxa" w:w="100"/>
              <w:right w:type="dxa" w:w="140"/>
            </w:tcMar>
          </w:tcPr>
          <w:p>
            <w:pPr>
              <w:jc w:val="center"/>
            </w:pPr>
            <w:r>
              <w:rPr>
                <w:rFonts w:ascii="Consolas" w:cs="Consolas" w:eastAsia="Consolas" w:hAnsi="Consolas"/>
                <w:color w:val="F5C518"/>
                <w:sz w:val="18"/>
                <w:szCs w:val="18"/>
              </w:rPr>
              <w:t xml:space="preserve">16,000</w:t>
            </w:r>
          </w:p>
        </w:tc>
        <w:tc>
          <w:tcPr>
            <w:tcW w:type="dxa" w:w="1600"/>
            <w:tcBorders>
              <w:top w:val="single" w:color="333333" w:sz="1"/>
              <w:left w:val="single" w:color="333333" w:sz="1"/>
              <w:bottom w:val="single" w:color="333333" w:sz="1"/>
              <w:right w:val="single" w:color="333333" w:sz="1"/>
            </w:tcBorders>
            <w:shd w:fill="1A1A1A" w:val="clear"/>
            <w:tcMar>
              <w:top w:type="dxa" w:w="100"/>
              <w:left w:type="dxa" w:w="140"/>
              <w:bottom w:type="dxa" w:w="100"/>
              <w:right w:type="dxa" w:w="140"/>
            </w:tcMar>
          </w:tcPr>
          <w:p>
            <w:pPr>
              <w:jc w:val="center"/>
            </w:pPr>
            <w:r>
              <w:rPr>
                <w:rFonts w:ascii="Consolas" w:cs="Consolas" w:eastAsia="Consolas" w:hAnsi="Consolas"/>
                <w:color w:val="FF2E63"/>
                <w:sz w:val="18"/>
                <w:szCs w:val="18"/>
              </w:rPr>
              <w:t xml:space="preserve">3</w:t>
            </w:r>
          </w:p>
        </w:tc>
      </w:tr>
    </w:tbl>
    <w:p>
      <w:pPr>
        <w:spacing w:after="80"/>
      </w:pPr>
    </w:p>
    <w:p>
      <w:pPr>
        <w:spacing w:after="180" w:line="300"/>
      </w:pPr>
      <w:r>
        <w:rPr>
          <w:rFonts w:ascii="Georgia" w:cs="Georgia" w:eastAsia="Georgia" w:hAnsi="Georgia"/>
          <w:color w:val="E8E6E3"/>
          <w:sz w:val="22"/>
          <w:szCs w:val="22"/>
        </w:rPr>
        <w:t xml:space="preserve">Each mode tunes a set of retrieval hyperparameters — topic thread weight, liturgical significance, graph centrality, pericope proximity, liturgical calendar boost — inspired by the autoresearch pattern where the system autonomously explores by following references, retrieving context, reasoning, and deciding whether to go deeper.</w:t>
      </w:r>
    </w:p>
    <w:p>
      <w:pPr>
        <w:spacing w:after="180" w:line="300"/>
      </w:pPr>
      <w:r>
        <w:rPr>
          <w:rFonts w:ascii="Georgia" w:cs="Georgia" w:eastAsia="Georgia" w:hAnsi="Georgia"/>
          <w:color w:val="E8E6E3"/>
          <w:sz w:val="22"/>
          <w:szCs w:val="22"/>
        </w:rPr>
        <w:t xml:space="preserve">The liturgical calendar integration is not decorative. During Pascha, the system up-weights Paschal cross-references. During Holy Week, the Passion narratives rise. During Theophany, the baptismal typology across the entire corpus becomes more accessible. The Church’s liturgical rhythm becomes the system’s temporal attention mechanism. This is not prompt engineering — it is ecological rationality.</w:t>
      </w:r>
    </w:p>
    <w:p>
      <w:pPr>
        <w:spacing w:after="300" w:before="300"/>
        <w:jc w:val="center"/>
      </w:pPr>
      <w:r>
        <w:rPr>
          <w:rFonts w:ascii="Consolas" w:cs="Consolas" w:eastAsia="Consolas" w:hAnsi="Consolas"/>
          <w:color w:val="F5C518"/>
          <w:sz w:val="22"/>
          <w:szCs w:val="22"/>
        </w:rPr>
        <w:t xml:space="preserve">━━━  ◉  ━━━</w:t>
      </w:r>
    </w:p>
    <w:p>
      <w:pPr>
        <w:pBdr>
          <w:bottom w:val="single" w:color="F5C518" w:sz="4" w:space="8"/>
        </w:pBdr>
        <w:spacing w:after="240" w:before="500"/>
      </w:pPr>
      <w:r>
        <w:rPr>
          <w:rFonts w:ascii="Consolas" w:cs="Consolas" w:eastAsia="Consolas" w:hAnsi="Consolas"/>
          <w:b/>
          <w:bCs/>
          <w:color w:val="F5C518"/>
          <w:sz w:val="30"/>
          <w:szCs w:val="30"/>
        </w:rPr>
        <w:t xml:space="preserve">THE SYMBOLIC LANGUAGE BENEATH THE VERSES</w:t>
      </w:r>
    </w:p>
    <w:p>
      <w:pPr>
        <w:spacing w:after="180" w:line="300"/>
      </w:pPr>
      <w:r>
        <w:rPr>
          <w:rFonts w:ascii="Georgia" w:cs="Georgia" w:eastAsia="Georgia" w:hAnsi="Georgia"/>
          <w:color w:val="E8E6E3"/>
          <w:sz w:val="22"/>
          <w:szCs w:val="22"/>
        </w:rPr>
        <w:t xml:space="preserve">The deepest layer of this project — the one that is still emerging — comes from an unlikely convergence between Matthieu Pageau’s Language of Creation and St. Gregory of Nyssa’s Life of Moses.</w:t>
      </w:r>
    </w:p>
    <w:p>
      <w:pPr>
        <w:spacing w:after="180" w:line="300"/>
      </w:pPr>
      <w:r>
        <w:rPr>
          <w:rFonts w:ascii="Georgia" w:cs="Georgia" w:eastAsia="Georgia" w:hAnsi="Georgia"/>
          <w:color w:val="E8E6E3"/>
          <w:sz w:val="22"/>
          <w:szCs w:val="22"/>
        </w:rPr>
        <w:t xml:space="preserve">Pageau reveals that biblical symbols operate as a language with a complete type system: an alphabet of polarities (heaven/earth, light/dark, seed/flesh), a vocabulary of specific symbols formed by those polarities, and a grammar of operations (inform/express, name/eat, descend/ascend). Every symbol operates across four scales simultaneously — cosmic, individual, communal, intercommunal. The microcosm principle: every part reflects the whole.</w:t>
      </w:r>
    </w:p>
    <w:p>
      <w:pPr>
        <w:spacing w:after="180" w:line="300"/>
      </w:pPr>
      <w:r>
        <w:rPr>
          <w:rFonts w:ascii="Georgia" w:cs="Georgia" w:eastAsia="Georgia" w:hAnsi="Georgia"/>
          <w:color w:val="E8E6E3"/>
          <w:sz w:val="22"/>
          <w:szCs w:val="22"/>
        </w:rPr>
        <w:t xml:space="preserve">Gregory provides the syntax — how symbols compose into narrative chains. His threefold ascent (Light at the burning bush, Cloud in the pillar, Darkness on Sinai) traces how divine knowledge deepens through sequential theophanic encounters. This is not allegory imposed on the text. It is the grammar the Fathers were reading in all along. What modern philology dismissed as “allusion” was fluent reading in a symbolic language we had forgotten.</w:t>
      </w:r>
    </w:p>
    <w:p>
      <w:pPr>
        <w:pBdr>
          <w:left w:val="single" w:color="FF2E63" w:sz="8" w:space="12"/>
        </w:pBdr>
        <w:spacing w:after="80" w:before="300"/>
        <w:ind w:left="600" w:right="600"/>
      </w:pPr>
      <w:r>
        <w:rPr>
          <w:rFonts w:ascii="Georgia" w:cs="Georgia" w:eastAsia="Georgia" w:hAnsi="Georgia"/>
          <w:i/>
          <w:iCs/>
          <w:color w:val="F0EDE6"/>
          <w:sz w:val="24"/>
          <w:szCs w:val="24"/>
        </w:rPr>
        <w:t xml:space="preserve">“The condescension of contemporary scholarship toward patristic exegesis reflects a failure to recognize the grammar — not a deficiency in the Fathers.”</w:t>
      </w:r>
    </w:p>
    <w:p>
      <w:pPr>
        <w:spacing w:after="300"/>
        <w:ind w:left="600"/>
      </w:pPr>
      <w:r>
        <w:rPr>
          <w:rFonts w:ascii="Consolas" w:cs="Consolas" w:eastAsia="Consolas" w:hAnsi="Consolas"/>
          <w:color w:val="8A8A8A"/>
          <w:sz w:val="18"/>
          <w:szCs w:val="18"/>
        </w:rPr>
        <w:t xml:space="preserve">— </w:t>
      </w:r>
    </w:p>
    <w:p>
      <w:pPr>
        <w:spacing w:after="180" w:line="300"/>
      </w:pPr>
      <w:r>
        <w:rPr>
          <w:rFonts w:ascii="Georgia" w:cs="Georgia" w:eastAsia="Georgia" w:hAnsi="Georgia"/>
          <w:color w:val="E8E6E3"/>
          <w:sz w:val="22"/>
          <w:szCs w:val="22"/>
        </w:rPr>
        <w:t xml:space="preserve">We have embedded both texts into vector stores using multimodal embeddings — 85 chapters of Pageau (57,810 words, preserving his diagrams alongside text) and 33 sections of Gregory (approximately 56,000 words) — all queryable for semantic retrieval. But embeddings alone are insufficient. They give proximity — discovery. What we need additionally are typed structural edges — wikilinks that encode the discourse relation, not just the association. The edge type (instantiates, opposes, scales_to, descends_from, ascends_to) carries the symbolic grammar.</w:t>
      </w:r>
    </w:p>
    <w:p>
      <w:pPr>
        <w:spacing w:after="180" w:line="300"/>
      </w:pPr>
      <w:r>
        <w:rPr>
          <w:rFonts w:ascii="Georgia" w:cs="Georgia" w:eastAsia="Georgia" w:hAnsi="Georgia"/>
          <w:color w:val="E8E6E3"/>
          <w:sz w:val="22"/>
          <w:szCs w:val="22"/>
        </w:rPr>
        <w:t xml:space="preserve">This is the symbolic anchor layer — a graph layer above verse-level anchors where each symbolic anchor carries a polarity, an operation, four-scale interpretations, verse ranges, related instances and opposites, and patristic witnesses. The pericope groups by theological image, not by verse number. The burning bush is not Exodus 3:2 — it is the first theophanic encounter in the Light → Cloud → Darkness sequence that structures Moses’ entire relationship with God.</w:t>
      </w:r>
    </w:p>
    <w:p>
      <w:pPr>
        <w:spacing w:after="300" w:before="300"/>
        <w:jc w:val="center"/>
      </w:pPr>
      <w:r>
        <w:rPr>
          <w:rFonts w:ascii="Consolas" w:cs="Consolas" w:eastAsia="Consolas" w:hAnsi="Consolas"/>
          <w:color w:val="F5C518"/>
          <w:sz w:val="22"/>
          <w:szCs w:val="22"/>
        </w:rPr>
        <w:t xml:space="preserve">━━━  ◉  ━━━</w:t>
      </w:r>
    </w:p>
    <w:p>
      <w:pPr>
        <w:pBdr>
          <w:bottom w:val="single" w:color="F5C518" w:sz="4" w:space="8"/>
        </w:pBdr>
        <w:spacing w:after="240" w:before="500"/>
      </w:pPr>
      <w:r>
        <w:rPr>
          <w:rFonts w:ascii="Consolas" w:cs="Consolas" w:eastAsia="Consolas" w:hAnsi="Consolas"/>
          <w:b/>
          <w:bCs/>
          <w:color w:val="F5C518"/>
          <w:sz w:val="30"/>
          <w:szCs w:val="30"/>
        </w:rPr>
        <w:t xml:space="preserve">JETHRO’S COUNCIL: CONCILIAR EVALUATION</w:t>
      </w:r>
    </w:p>
    <w:p>
      <w:pPr>
        <w:spacing w:after="180" w:line="300"/>
      </w:pPr>
      <w:r>
        <w:rPr>
          <w:rFonts w:ascii="Georgia" w:cs="Georgia" w:eastAsia="Georgia" w:hAnsi="Georgia"/>
          <w:color w:val="E8E6E3"/>
          <w:sz w:val="22"/>
          <w:szCs w:val="22"/>
        </w:rPr>
        <w:t xml:space="preserve">How do you evaluate whether a machine is reading scripture well?</w:t>
      </w:r>
    </w:p>
    <w:p>
      <w:pPr>
        <w:spacing w:after="180" w:line="300"/>
      </w:pPr>
      <w:r>
        <w:rPr>
          <w:rFonts w:ascii="Georgia" w:cs="Georgia" w:eastAsia="Georgia" w:hAnsi="Georgia"/>
          <w:color w:val="E8E6E3"/>
          <w:sz w:val="22"/>
          <w:szCs w:val="22"/>
        </w:rPr>
        <w:t xml:space="preserve">You cannot collapse theological reasoning quality to a scalar metric. Output can be textually accurate but patristically shallow. Doctrinally precise but pastorally dead. Liturgically aware but exegetically loose.</w:t>
      </w:r>
    </w:p>
    <w:p>
      <w:pPr>
        <w:spacing w:after="180" w:line="300"/>
      </w:pPr>
      <w:r>
        <w:rPr>
          <w:rFonts w:ascii="Georgia" w:cs="Georgia" w:eastAsia="Georgia" w:hAnsi="Georgia"/>
          <w:color w:val="E8E6E3"/>
          <w:sz w:val="22"/>
          <w:szCs w:val="22"/>
        </w:rPr>
        <w:t xml:space="preserve">The answer — fitting both architecturally and typologically — is conciliar judgment. Jethro’s Council is named for Exodus 18, where Jethro counsels Moses to distribute judgment across a council. Five evaluative agents, each bringing a distinct posture:</w:t>
      </w:r>
    </w:p>
    <w:p>
      <w:pPr>
        <w:spacing w:after="180" w:line="300"/>
      </w:pPr>
      <w:r>
        <w:rPr>
          <w:rFonts w:ascii="Consolas" w:cs="Consolas" w:eastAsia="Consolas" w:hAnsi="Consolas"/>
          <w:b/>
          <w:bCs/>
          <w:color w:val="F5C518"/>
          <w:sz w:val="22"/>
          <w:szCs w:val="22"/>
        </w:rPr>
        <w:t xml:space="preserve">The Exegete </w:t>
      </w:r>
      <w:r>
        <w:rPr>
          <w:rFonts w:ascii="Georgia" w:cs="Georgia" w:eastAsia="Georgia" w:hAnsi="Georgia"/>
          <w:color w:val="E8E6E3"/>
          <w:sz w:val="22"/>
          <w:szCs w:val="22"/>
        </w:rPr>
        <w:t xml:space="preserve">watches textual fidelity — anchored in the Antiochene tradition of Chrysostom and Theodore of Mopsuestia.</w:t>
      </w:r>
    </w:p>
    <w:p>
      <w:pPr>
        <w:spacing w:after="180" w:line="300"/>
      </w:pPr>
      <w:r>
        <w:rPr>
          <w:rFonts w:ascii="Consolas" w:cs="Consolas" w:eastAsia="Consolas" w:hAnsi="Consolas"/>
          <w:b/>
          <w:bCs/>
          <w:color w:val="F5C518"/>
          <w:sz w:val="22"/>
          <w:szCs w:val="22"/>
        </w:rPr>
        <w:t xml:space="preserve">The Patristic Witness </w:t>
      </w:r>
      <w:r>
        <w:rPr>
          <w:rFonts w:ascii="Georgia" w:cs="Georgia" w:eastAsia="Georgia" w:hAnsi="Georgia"/>
          <w:color w:val="E8E6E3"/>
          <w:sz w:val="22"/>
          <w:szCs w:val="22"/>
        </w:rPr>
        <w:t xml:space="preserve">checks alignment with the consensus of the Fathers — grounded in the Philokalia and florilegia tradition.</w:t>
      </w:r>
    </w:p>
    <w:p>
      <w:pPr>
        <w:spacing w:after="180" w:line="300"/>
      </w:pPr>
      <w:r>
        <w:rPr>
          <w:rFonts w:ascii="Consolas" w:cs="Consolas" w:eastAsia="Consolas" w:hAnsi="Consolas"/>
          <w:b/>
          <w:bCs/>
          <w:color w:val="F5C518"/>
          <w:sz w:val="22"/>
          <w:szCs w:val="22"/>
        </w:rPr>
        <w:t xml:space="preserve">The Liturgist </w:t>
      </w:r>
      <w:r>
        <w:rPr>
          <w:rFonts w:ascii="Georgia" w:cs="Georgia" w:eastAsia="Georgia" w:hAnsi="Georgia"/>
          <w:color w:val="E8E6E3"/>
          <w:sz w:val="22"/>
          <w:szCs w:val="22"/>
        </w:rPr>
        <w:t xml:space="preserve">evaluates ecclesial coherence — shaped by Schmemann’s insistence that the Church is first a worshipping community.</w:t>
      </w:r>
    </w:p>
    <w:p>
      <w:pPr>
        <w:spacing w:after="180" w:line="300"/>
      </w:pPr>
      <w:r>
        <w:rPr>
          <w:rFonts w:ascii="Consolas" w:cs="Consolas" w:eastAsia="Consolas" w:hAnsi="Consolas"/>
          <w:b/>
          <w:bCs/>
          <w:color w:val="F5C518"/>
          <w:sz w:val="22"/>
          <w:szCs w:val="22"/>
        </w:rPr>
        <w:t xml:space="preserve">The Theologian </w:t>
      </w:r>
      <w:r>
        <w:rPr>
          <w:rFonts w:ascii="Georgia" w:cs="Georgia" w:eastAsia="Georgia" w:hAnsi="Georgia"/>
          <w:color w:val="E8E6E3"/>
          <w:sz w:val="22"/>
          <w:szCs w:val="22"/>
        </w:rPr>
        <w:t xml:space="preserve">guards doctrinal precision — bounded by the Seven Ecumenical Councils and the Palamite essence-energies distinction.</w:t>
      </w:r>
    </w:p>
    <w:p>
      <w:pPr>
        <w:spacing w:after="180" w:line="300"/>
      </w:pPr>
      <w:r>
        <w:rPr>
          <w:rFonts w:ascii="Consolas" w:cs="Consolas" w:eastAsia="Consolas" w:hAnsi="Consolas"/>
          <w:b/>
          <w:bCs/>
          <w:color w:val="F5C518"/>
          <w:sz w:val="22"/>
          <w:szCs w:val="22"/>
        </w:rPr>
        <w:t xml:space="preserve">The Shepherd </w:t>
      </w:r>
      <w:r>
        <w:rPr>
          <w:rFonts w:ascii="Georgia" w:cs="Georgia" w:eastAsia="Georgia" w:hAnsi="Georgia"/>
          <w:color w:val="E8E6E3"/>
          <w:sz w:val="22"/>
          <w:szCs w:val="22"/>
        </w:rPr>
        <w:t xml:space="preserve">assesses pastoral warmth — formed by the hesychast tradition, the desert fathers, Elder Paisios, Elder Sophrony.</w:t>
      </w:r>
    </w:p>
    <w:p>
      <w:pPr>
        <w:spacing w:after="180" w:line="300"/>
      </w:pPr>
      <w:r>
        <w:rPr>
          <w:rFonts w:ascii="Georgia" w:cs="Georgia" w:eastAsia="Georgia" w:hAnsi="Georgia"/>
          <w:color w:val="E8E6E3"/>
          <w:sz w:val="22"/>
          <w:szCs w:val="22"/>
        </w:rPr>
        <w:t xml:space="preserve">Moses — the orchestrator — synthesizes weighted consensus. Not all voices equal on all questions. The Theologian holds veto power over defined dogma — the Creed is non-negotiable. The composite score closes the autoresearch loop — telling the system what to change, not just that something is wrong.</w:t>
      </w:r>
    </w:p>
    <w:p>
      <w:pPr>
        <w:spacing w:after="300" w:before="300"/>
        <w:jc w:val="center"/>
      </w:pPr>
      <w:r>
        <w:rPr>
          <w:rFonts w:ascii="Consolas" w:cs="Consolas" w:eastAsia="Consolas" w:hAnsi="Consolas"/>
          <w:color w:val="F5C518"/>
          <w:sz w:val="22"/>
          <w:szCs w:val="22"/>
        </w:rPr>
        <w:t xml:space="preserve">━━━  ◉  ━━━</w:t>
      </w:r>
    </w:p>
    <w:p>
      <w:pPr>
        <w:pBdr>
          <w:bottom w:val="single" w:color="F5C518" w:sz="4" w:space="8"/>
        </w:pBdr>
        <w:spacing w:after="240" w:before="500"/>
      </w:pPr>
      <w:r>
        <w:rPr>
          <w:rFonts w:ascii="Consolas" w:cs="Consolas" w:eastAsia="Consolas" w:hAnsi="Consolas"/>
          <w:b/>
          <w:bCs/>
          <w:color w:val="F5C518"/>
          <w:sz w:val="30"/>
          <w:szCs w:val="30"/>
        </w:rPr>
        <w:t xml:space="preserve">TOKEN BUDGET AS ASCETIC DISCIPLINE</w:t>
      </w:r>
    </w:p>
    <w:p>
      <w:pPr>
        <w:spacing w:after="180" w:line="300"/>
      </w:pPr>
      <w:r>
        <w:rPr>
          <w:rFonts w:ascii="Georgia" w:cs="Georgia" w:eastAsia="Georgia" w:hAnsi="Georgia"/>
          <w:color w:val="E8E6E3"/>
          <w:sz w:val="22"/>
          <w:szCs w:val="22"/>
        </w:rPr>
        <w:t xml:space="preserve">The research on token budget management has confirmed something I suspected but could not prove: more context is not better context. It is worse.</w:t>
      </w:r>
    </w:p>
    <w:p>
      <w:pPr>
        <w:spacing w:after="180" w:line="300"/>
      </w:pPr>
      <w:r>
        <w:rPr>
          <w:rFonts w:ascii="Georgia" w:cs="Georgia" w:eastAsia="Georgia" w:hAnsi="Georgia"/>
          <w:color w:val="E8E6E3"/>
          <w:sz w:val="22"/>
          <w:szCs w:val="22"/>
        </w:rPr>
        <w:t xml:space="preserve">Context rot — the gradual degradation of performance as signal-to-noise ratio plummets — occurs even when retrieval is 100% perfect and only relevant information is supplied. The effective context length of a model is far shorter than its theoretical maximum. When you exceed it, the model hallucinates, refuses to answer, or defaults to broad summarization instead of precise extraction.</w:t>
      </w:r>
    </w:p>
    <w:p>
      <w:pPr>
        <w:spacing w:after="180" w:line="300"/>
      </w:pPr>
      <w:r>
        <w:rPr>
          <w:rFonts w:ascii="Georgia" w:cs="Georgia" w:eastAsia="Georgia" w:hAnsi="Georgia"/>
          <w:color w:val="E8E6E3"/>
          <w:sz w:val="22"/>
          <w:szCs w:val="22"/>
        </w:rPr>
        <w:t xml:space="preserve">The solution is synthesis checkpoints — the Plan-Act-Review protocol where the system deliberately pauses retrieval to evaluate and synthesize before continuing. Ablation studies show that removing the review step drops accuracy by 5–6 points on multi-hop benchmarks. The PRISM architecture reduces context by 73% while outperforming full-context baselines.</w:t>
      </w:r>
    </w:p>
    <w:p>
      <w:pPr>
        <w:spacing w:after="180" w:line="300"/>
      </w:pPr>
      <w:r>
        <w:rPr>
          <w:rFonts w:ascii="Georgia" w:cs="Georgia" w:eastAsia="Georgia" w:hAnsi="Georgia"/>
          <w:color w:val="E8E6E3"/>
          <w:sz w:val="22"/>
          <w:szCs w:val="22"/>
        </w:rPr>
        <w:t xml:space="preserve">This is computationally rigorous confirmation of an ascetic principle: restraint produces clarity. The fast before the feast. The silence before the prayer. The system that builds maximally but delivers judiciously — that has the discipline to stop retrieving and start synthesizing — outperforms the system that gorges on data.</w:t>
      </w:r>
    </w:p>
    <w:p>
      <w:pPr>
        <w:spacing w:after="180" w:line="300"/>
      </w:pPr>
      <w:r>
        <w:rPr>
          <w:rFonts w:ascii="Georgia" w:cs="Georgia" w:eastAsia="Georgia" w:hAnsi="Georgia"/>
          <w:color w:val="E8E6E3"/>
          <w:sz w:val="22"/>
          <w:szCs w:val="22"/>
        </w:rPr>
        <w:t xml:space="preserve">FrugalRAG’s reinforcement learning approach reduces search steps by 53% while increasing accuracy — by learning when to stop. Not by retrieving more efficiently, but by retrieving less. The agent learns that the third hop into the cross-reference graph is usually noise — and has the wisdom to halt.</w:t>
      </w:r>
    </w:p>
    <w:p>
      <w:pPr>
        <w:spacing w:after="180" w:line="300"/>
      </w:pPr>
      <w:r>
        <w:rPr>
          <w:rFonts w:ascii="Georgia" w:cs="Georgia" w:eastAsia="Georgia" w:hAnsi="Georgia"/>
          <w:color w:val="E8E6E3"/>
          <w:sz w:val="22"/>
          <w:szCs w:val="22"/>
        </w:rPr>
        <w:t xml:space="preserve">Adaptive budget allocation via Approximated Mutual Information and knapsack optimization ensures that a highly relevant 4,000-token patristic commentary gets 80% of the budget while a tangentially related 50-token metadata entry gets compressed to its essential signal. This is not uniform distribution. This is precision weighting — the same mechanism Vervaeke identifies as the computational proxy for attention and relevance in biological cognition.</w:t>
      </w:r>
    </w:p>
    <w:p>
      <w:pPr>
        <w:spacing w:after="300" w:before="300"/>
        <w:jc w:val="center"/>
      </w:pPr>
      <w:r>
        <w:rPr>
          <w:rFonts w:ascii="Consolas" w:cs="Consolas" w:eastAsia="Consolas" w:hAnsi="Consolas"/>
          <w:color w:val="F5C518"/>
          <w:sz w:val="22"/>
          <w:szCs w:val="22"/>
        </w:rPr>
        <w:t xml:space="preserve">━━━  ◉  ━━━</w:t>
      </w:r>
    </w:p>
    <w:p>
      <w:pPr>
        <w:pBdr>
          <w:bottom w:val="single" w:color="F5C518" w:sz="4" w:space="8"/>
        </w:pBdr>
        <w:spacing w:after="240" w:before="500"/>
      </w:pPr>
      <w:r>
        <w:rPr>
          <w:rFonts w:ascii="Consolas" w:cs="Consolas" w:eastAsia="Consolas" w:hAnsi="Consolas"/>
          <w:b/>
          <w:bCs/>
          <w:color w:val="F5C518"/>
          <w:sz w:val="30"/>
          <w:szCs w:val="30"/>
        </w:rPr>
        <w:t xml:space="preserve">THE READING HABIT THAT DOES NOT FORGET</w:t>
      </w:r>
    </w:p>
    <w:p>
      <w:pPr>
        <w:spacing w:after="180" w:line="300"/>
      </w:pPr>
      <w:r>
        <w:rPr>
          <w:rFonts w:ascii="Georgia" w:cs="Georgia" w:eastAsia="Georgia" w:hAnsi="Georgia"/>
          <w:color w:val="E8E6E3"/>
          <w:sz w:val="22"/>
          <w:szCs w:val="22"/>
        </w:rPr>
        <w:t xml:space="preserve">The final architectural piece addresses a question that has haunted me: can a machine develop reading habits without losing its mind?</w:t>
      </w:r>
    </w:p>
    <w:p>
      <w:pPr>
        <w:spacing w:after="180" w:line="300"/>
      </w:pPr>
      <w:r>
        <w:rPr>
          <w:rFonts w:ascii="Georgia" w:cs="Georgia" w:eastAsia="Georgia" w:hAnsi="Georgia"/>
          <w:color w:val="E8E6E3"/>
          <w:sz w:val="22"/>
          <w:szCs w:val="22"/>
        </w:rPr>
        <w:t xml:space="preserve">Traditional fine-tuning suffers from catastrophic forgetting — the model overwrites previously learned knowledge when adapting to new patterns. The emerging paradigm of LLM-driven Context-aware Computing solves this by moving all “learning” into external episodic memory and in-context retrieval. The model’s weights stay frozen. The personalization lives in a dynamically updated vector store that captures behavioral patterns — which cross-references the user consistently selects, which theological register they prefer, which Fathers they gravitate toward.</w:t>
      </w:r>
    </w:p>
    <w:p>
      <w:pPr>
        <w:spacing w:after="180" w:line="300"/>
      </w:pPr>
      <w:r>
        <w:rPr>
          <w:rFonts w:ascii="Georgia" w:cs="Georgia" w:eastAsia="Georgia" w:hAnsi="Georgia"/>
          <w:color w:val="E8E6E3"/>
          <w:sz w:val="22"/>
          <w:szCs w:val="22"/>
        </w:rPr>
        <w:t xml:space="preserve">Every interaction is an episode logged and embedded. When a new session begins, the system retrieves historical patterns as few-shot examples — not training data, but reading habits. The SELF-REFINE methodology adds iterative self-correction: the agent generates preliminary cross-references, then checks them against the accumulated profile. Does this match the user’s established preference for liturgical resiliency over topical efficiency?</w:t>
      </w:r>
    </w:p>
    <w:p>
      <w:pPr>
        <w:spacing w:after="180" w:line="300"/>
      </w:pPr>
      <w:r>
        <w:rPr>
          <w:rFonts w:ascii="Georgia" w:cs="Georgia" w:eastAsia="Georgia" w:hAnsi="Georgia"/>
          <w:color w:val="E8E6E3"/>
          <w:sz w:val="22"/>
          <w:szCs w:val="22"/>
        </w:rPr>
        <w:t xml:space="preserve">No parameter updates. No catastrophic forgetting. No fine-tuning cost. The learning occurs entirely within the restructuring of the context window and the shifting composition of the external memory. A personalized hermeneutic stance that knows which connections matter to this specific reader in this specific context — the seasoned scholar’s intuition, approximated in silicon.</w:t>
      </w:r>
    </w:p>
    <w:p>
      <w:pPr>
        <w:spacing w:after="300" w:before="300"/>
        <w:jc w:val="center"/>
      </w:pPr>
      <w:r>
        <w:rPr>
          <w:rFonts w:ascii="Consolas" w:cs="Consolas" w:eastAsia="Consolas" w:hAnsi="Consolas"/>
          <w:color w:val="F5C518"/>
          <w:sz w:val="22"/>
          <w:szCs w:val="22"/>
        </w:rPr>
        <w:t xml:space="preserve">━━━  ◉  ━━━</w:t>
      </w:r>
    </w:p>
    <w:p>
      <w:pPr>
        <w:pBdr>
          <w:bottom w:val="single" w:color="F5C518" w:sz="4" w:space="8"/>
        </w:pBdr>
        <w:spacing w:after="240" w:before="500"/>
      </w:pPr>
      <w:r>
        <w:rPr>
          <w:rFonts w:ascii="Consolas" w:cs="Consolas" w:eastAsia="Consolas" w:hAnsi="Consolas"/>
          <w:b/>
          <w:bCs/>
          <w:color w:val="F5C518"/>
          <w:sz w:val="30"/>
          <w:szCs w:val="30"/>
        </w:rPr>
        <w:t xml:space="preserve">WHAT THIS IS NOT</w:t>
      </w:r>
    </w:p>
    <w:p>
      <w:pPr>
        <w:spacing w:after="180" w:line="300"/>
      </w:pPr>
      <w:r>
        <w:rPr>
          <w:rFonts w:ascii="Georgia" w:cs="Georgia" w:eastAsia="Georgia" w:hAnsi="Georgia"/>
          <w:color w:val="E8E6E3"/>
          <w:sz w:val="22"/>
          <w:szCs w:val="22"/>
        </w:rPr>
        <w:t xml:space="preserve">This is not spiritual formation by algorithm. True cognitive power — the Orthodox nous, the eye of the soul designed not to map the world but to behold God — cannot be instantiated in bits and bytes. The participatory truth of the Christian life, exemplified by Christ, is irreplaceable. I am the chief among those who have failed in this pursuit.</w:t>
      </w:r>
    </w:p>
    <w:p>
      <w:pPr>
        <w:spacing w:after="180" w:line="300"/>
      </w:pPr>
      <w:r>
        <w:rPr>
          <w:rFonts w:ascii="Georgia" w:cs="Georgia" w:eastAsia="Georgia" w:hAnsi="Georgia"/>
          <w:color w:val="E8E6E3"/>
          <w:sz w:val="22"/>
          <w:szCs w:val="22"/>
        </w:rPr>
        <w:t xml:space="preserve">But the coming age will need an ark of distillation before meaning is merely lost in the flood of knowing. While broad corporate chatbots join the thunderous battle to build Prometheus, a more genuine application of these silicon tools can be engineered — not as a replacement for lived experience but as a mirror large enough to reflect the tradition back to itself.</w:t>
      </w:r>
    </w:p>
    <w:p>
      <w:pPr>
        <w:pBdr>
          <w:left w:val="single" w:color="FF2E63" w:sz="8" w:space="12"/>
        </w:pBdr>
        <w:spacing w:after="80" w:before="300"/>
        <w:ind w:left="600" w:right="600"/>
      </w:pPr>
      <w:r>
        <w:rPr>
          <w:rFonts w:ascii="Georgia" w:cs="Georgia" w:eastAsia="Georgia" w:hAnsi="Georgia"/>
          <w:i/>
          <w:iCs/>
          <w:color w:val="F0EDE6"/>
          <w:sz w:val="24"/>
          <w:szCs w:val="24"/>
        </w:rPr>
        <w:t xml:space="preserve">“My final vision remains: a man with a photographic memory plugged into a library of only phronema. I wonder what patterns he might see.”</w:t>
      </w:r>
    </w:p>
    <w:p>
      <w:pPr>
        <w:spacing w:after="300"/>
        <w:ind w:left="600"/>
      </w:pPr>
      <w:r>
        <w:rPr>
          <w:rFonts w:ascii="Consolas" w:cs="Consolas" w:eastAsia="Consolas" w:hAnsi="Consolas"/>
          <w:color w:val="8A8A8A"/>
          <w:sz w:val="18"/>
          <w:szCs w:val="18"/>
        </w:rPr>
        <w:t xml:space="preserve">— </w:t>
      </w:r>
    </w:p>
    <w:p>
      <w:pPr>
        <w:spacing w:after="300" w:before="300"/>
        <w:jc w:val="center"/>
      </w:pPr>
      <w:r>
        <w:rPr>
          <w:rFonts w:ascii="Consolas" w:cs="Consolas" w:eastAsia="Consolas" w:hAnsi="Consolas"/>
          <w:color w:val="F5C518"/>
          <w:sz w:val="22"/>
          <w:szCs w:val="22"/>
        </w:rPr>
        <w:t xml:space="preserve">━━━  ◉  ━━━</w:t>
      </w:r>
    </w:p>
    <w:p>
      <w:pPr>
        <w:pBdr>
          <w:bottom w:val="single" w:color="F5C518" w:sz="4" w:space="8"/>
        </w:pBdr>
        <w:spacing w:after="240" w:before="500"/>
      </w:pPr>
      <w:r>
        <w:rPr>
          <w:rFonts w:ascii="Consolas" w:cs="Consolas" w:eastAsia="Consolas" w:hAnsi="Consolas"/>
          <w:b/>
          <w:bCs/>
          <w:color w:val="F5C518"/>
          <w:sz w:val="30"/>
          <w:szCs w:val="30"/>
        </w:rPr>
        <w:t xml:space="preserve">TECHNICAL REFERENCES</w:t>
      </w:r>
    </w:p>
    <w:p>
      <w:pPr>
        <w:spacing w:after="180" w:line="300"/>
      </w:pPr>
      <w:r>
        <w:rPr>
          <w:rFonts w:ascii="Georgia" w:cs="Georgia" w:eastAsia="Georgia" w:hAnsi="Georgia"/>
          <w:color w:val="E8E6E3"/>
          <w:sz w:val="22"/>
          <w:szCs w:val="22"/>
        </w:rPr>
        <w:t xml:space="preserve">The architecture described above draws from six deep research syntheses and two embedded patristic/symbolic corpora:</w:t>
      </w:r>
    </w:p>
    <w:p>
      <w:pPr>
        <w:spacing w:after="120" w:before="240"/>
      </w:pPr>
      <w:r>
        <w:rPr>
          <w:rFonts w:ascii="Consolas" w:cs="Consolas" w:eastAsia="Consolas" w:hAnsi="Consolas"/>
          <w:color w:val="FF2E63"/>
          <w:sz w:val="22"/>
          <w:szCs w:val="22"/>
        </w:rPr>
        <w:t xml:space="preserve">&gt; </w:t>
      </w:r>
      <w:r>
        <w:rPr>
          <w:rFonts w:ascii="Consolas" w:cs="Consolas" w:eastAsia="Consolas" w:hAnsi="Consolas"/>
          <w:b/>
          <w:bCs/>
          <w:color w:val="E8E6E3"/>
          <w:sz w:val="22"/>
          <w:szCs w:val="22"/>
        </w:rPr>
        <w:t xml:space="preserve">Retrieval Architecture</w:t>
      </w:r>
    </w:p>
    <w:p>
      <w:pPr>
        <w:spacing w:after="180" w:line="300"/>
      </w:pPr>
      <w:r>
        <w:rPr>
          <w:rFonts w:ascii="Georgia" w:cs="Georgia" w:eastAsia="Georgia" w:hAnsi="Georgia"/>
          <w:color w:val="E8E6E3"/>
          <w:sz w:val="22"/>
          <w:szCs w:val="22"/>
        </w:rPr>
        <w:t xml:space="preserve">Microsoft GraphRAG (Leiden clustering, community summaries); PCST algorithm for subgraph pruning (G-Retriever: 32.27% Hits@1, double baseline); Anthropic Contextual Retrieval (49% reduction in top-20 failure rate); CARGO reference-preserving chunking (83% faithfulness improvement); LAD-RAG layout-aware extraction via Vision-Language Models.</w:t>
      </w:r>
    </w:p>
    <w:p>
      <w:pPr>
        <w:spacing w:after="120" w:before="240"/>
      </w:pPr>
      <w:r>
        <w:rPr>
          <w:rFonts w:ascii="Consolas" w:cs="Consolas" w:eastAsia="Consolas" w:hAnsi="Consolas"/>
          <w:color w:val="FF2E63"/>
          <w:sz w:val="22"/>
          <w:szCs w:val="22"/>
        </w:rPr>
        <w:t xml:space="preserve">&gt; </w:t>
      </w:r>
      <w:r>
        <w:rPr>
          <w:rFonts w:ascii="Consolas" w:cs="Consolas" w:eastAsia="Consolas" w:hAnsi="Consolas"/>
          <w:b/>
          <w:bCs/>
          <w:color w:val="E8E6E3"/>
          <w:sz w:val="22"/>
          <w:szCs w:val="22"/>
        </w:rPr>
        <w:t xml:space="preserve">Token Management</w:t>
      </w:r>
    </w:p>
    <w:p>
      <w:pPr>
        <w:spacing w:after="180" w:line="300"/>
      </w:pPr>
      <w:r>
        <w:rPr>
          <w:rFonts w:ascii="Georgia" w:cs="Georgia" w:eastAsia="Georgia" w:hAnsi="Georgia"/>
          <w:color w:val="E8E6E3"/>
          <w:sz w:val="22"/>
          <w:szCs w:val="22"/>
        </w:rPr>
        <w:t xml:space="preserve">“Lost in the Middle” positional bias research (arXiv:2307.03172); LLMLingua/LongLLMLingua compression (10–20x ratios maintaining accuracy parity); FrugalRAG RL-based depth pruning (53% search reduction); PRISM filtering (73.3% context reduction, 16s→8.6s latency); LongCodeZip AMI + knapsack optimization; CAKE/Ada-SnapKV dynamic KV cache allocation.</w:t>
      </w:r>
    </w:p>
    <w:p>
      <w:pPr>
        <w:spacing w:after="120" w:before="240"/>
      </w:pPr>
      <w:r>
        <w:rPr>
          <w:rFonts w:ascii="Consolas" w:cs="Consolas" w:eastAsia="Consolas" w:hAnsi="Consolas"/>
          <w:color w:val="FF2E63"/>
          <w:sz w:val="22"/>
          <w:szCs w:val="22"/>
        </w:rPr>
        <w:t xml:space="preserve">&gt; </w:t>
      </w:r>
      <w:r>
        <w:rPr>
          <w:rFonts w:ascii="Consolas" w:cs="Consolas" w:eastAsia="Consolas" w:hAnsi="Consolas"/>
          <w:b/>
          <w:bCs/>
          <w:color w:val="E8E6E3"/>
          <w:sz w:val="22"/>
          <w:szCs w:val="22"/>
        </w:rPr>
        <w:t xml:space="preserve">Relevance Realization</w:t>
      </w:r>
    </w:p>
    <w:p>
      <w:pPr>
        <w:spacing w:after="180" w:line="300"/>
      </w:pPr>
      <w:r>
        <w:rPr>
          <w:rFonts w:ascii="Georgia" w:cs="Georgia" w:eastAsia="Georgia" w:hAnsi="Georgia"/>
          <w:color w:val="E8E6E3"/>
          <w:sz w:val="22"/>
          <w:szCs w:val="22"/>
        </w:rPr>
        <w:t xml:space="preserve">Vervaeke &amp; Walsh’s trialectic of metabolic-ecological-evolutionary dynamics; Predictive Processing precision weighting as computational proxy for attention; Question Under Discussion (QUD) framework for discourse salience; CARMO dynamic criteria generation; ACQO logarithmic precision weighting; Context-Picker RL architecture for minimal sufficient evidence sets.</w:t>
      </w:r>
    </w:p>
    <w:p>
      <w:pPr>
        <w:spacing w:after="120" w:before="240"/>
      </w:pPr>
      <w:r>
        <w:rPr>
          <w:rFonts w:ascii="Consolas" w:cs="Consolas" w:eastAsia="Consolas" w:hAnsi="Consolas"/>
          <w:color w:val="FF2E63"/>
          <w:sz w:val="22"/>
          <w:szCs w:val="22"/>
        </w:rPr>
        <w:t xml:space="preserve">&gt; </w:t>
      </w:r>
      <w:r>
        <w:rPr>
          <w:rFonts w:ascii="Consolas" w:cs="Consolas" w:eastAsia="Consolas" w:hAnsi="Consolas"/>
          <w:b/>
          <w:bCs/>
          <w:color w:val="E8E6E3"/>
          <w:sz w:val="22"/>
          <w:szCs w:val="22"/>
        </w:rPr>
        <w:t xml:space="preserve">Synthesis Checkpoints</w:t>
      </w:r>
    </w:p>
    <w:p>
      <w:pPr>
        <w:spacing w:after="180" w:line="300"/>
      </w:pPr>
      <w:r>
        <w:rPr>
          <w:rFonts w:ascii="Georgia" w:cs="Georgia" w:eastAsia="Georgia" w:hAnsi="Georgia"/>
          <w:color w:val="E8E6E3"/>
          <w:sz w:val="22"/>
          <w:szCs w:val="22"/>
        </w:rPr>
        <w:t xml:space="preserve">PAR-RAG Plan-Act-Review protocol (5–6 point accuracy gain on multi-hop benchmarks); Self-RAG reflection/critique tokens; Corrective RAG (CRAG) evaluator checkpoints.</w:t>
      </w:r>
    </w:p>
    <w:p>
      <w:pPr>
        <w:spacing w:after="120" w:before="240"/>
      </w:pPr>
      <w:r>
        <w:rPr>
          <w:rFonts w:ascii="Consolas" w:cs="Consolas" w:eastAsia="Consolas" w:hAnsi="Consolas"/>
          <w:color w:val="FF2E63"/>
          <w:sz w:val="22"/>
          <w:szCs w:val="22"/>
        </w:rPr>
        <w:t xml:space="preserve">&gt; </w:t>
      </w:r>
      <w:r>
        <w:rPr>
          <w:rFonts w:ascii="Consolas" w:cs="Consolas" w:eastAsia="Consolas" w:hAnsi="Consolas"/>
          <w:b/>
          <w:bCs/>
          <w:color w:val="E8E6E3"/>
          <w:sz w:val="22"/>
          <w:szCs w:val="22"/>
        </w:rPr>
        <w:t xml:space="preserve">Autoresearch &amp; Evaluation</w:t>
      </w:r>
    </w:p>
    <w:p>
      <w:pPr>
        <w:spacing w:after="180" w:line="300"/>
      </w:pPr>
      <w:r>
        <w:rPr>
          <w:rFonts w:ascii="Georgia" w:cs="Georgia" w:eastAsia="Georgia" w:hAnsi="Georgia"/>
          <w:color w:val="E8E6E3"/>
          <w:sz w:val="22"/>
          <w:szCs w:val="22"/>
        </w:rPr>
        <w:t xml:space="preserve">Karpathy’s autoresearch pattern; Actor-Critic deep reinforcement learning for dynamic weight optimization; Mixture-of-Experts gated routing; Biblia Patristica citation network (31,102+ nodes, 270+ patristic authors).</w:t>
      </w:r>
    </w:p>
    <w:p>
      <w:pPr>
        <w:spacing w:after="120" w:before="240"/>
      </w:pPr>
      <w:r>
        <w:rPr>
          <w:rFonts w:ascii="Consolas" w:cs="Consolas" w:eastAsia="Consolas" w:hAnsi="Consolas"/>
          <w:color w:val="FF2E63"/>
          <w:sz w:val="22"/>
          <w:szCs w:val="22"/>
        </w:rPr>
        <w:t xml:space="preserve">&gt; </w:t>
      </w:r>
      <w:r>
        <w:rPr>
          <w:rFonts w:ascii="Consolas" w:cs="Consolas" w:eastAsia="Consolas" w:hAnsi="Consolas"/>
          <w:b/>
          <w:bCs/>
          <w:color w:val="E8E6E3"/>
          <w:sz w:val="22"/>
          <w:szCs w:val="22"/>
        </w:rPr>
        <w:t xml:space="preserve">Liturgical &amp; Patristic</w:t>
      </w:r>
    </w:p>
    <w:p>
      <w:pPr>
        <w:spacing w:after="180" w:line="300"/>
      </w:pPr>
      <w:r>
        <w:rPr>
          <w:rFonts w:ascii="Georgia" w:cs="Georgia" w:eastAsia="Georgia" w:hAnsi="Georgia"/>
          <w:color w:val="E8E6E3"/>
          <w:sz w:val="22"/>
          <w:szCs w:val="22"/>
        </w:rPr>
        <w:t xml:space="preserve">OWL-Time ontology for liturgical calendar computation; orthocal.info API for Orthodox festal calendar integration; Patristic Text Archive (PTA) for machine-extractable citations.</w:t>
      </w:r>
    </w:p>
    <w:p>
      <w:pPr>
        <w:spacing w:after="120" w:before="240"/>
      </w:pPr>
      <w:r>
        <w:rPr>
          <w:rFonts w:ascii="Consolas" w:cs="Consolas" w:eastAsia="Consolas" w:hAnsi="Consolas"/>
          <w:color w:val="FF2E63"/>
          <w:sz w:val="22"/>
          <w:szCs w:val="22"/>
        </w:rPr>
        <w:t xml:space="preserve">&gt; </w:t>
      </w:r>
      <w:r>
        <w:rPr>
          <w:rFonts w:ascii="Consolas" w:cs="Consolas" w:eastAsia="Consolas" w:hAnsi="Consolas"/>
          <w:b/>
          <w:bCs/>
          <w:color w:val="E8E6E3"/>
          <w:sz w:val="22"/>
          <w:szCs w:val="22"/>
        </w:rPr>
        <w:t xml:space="preserve">Symbolic Corpus</w:t>
      </w:r>
    </w:p>
    <w:p>
      <w:pPr>
        <w:spacing w:after="180" w:line="300"/>
      </w:pPr>
      <w:r>
        <w:rPr>
          <w:rFonts w:ascii="Georgia" w:cs="Georgia" w:eastAsia="Georgia" w:hAnsi="Georgia"/>
          <w:color w:val="E8E6E3"/>
          <w:sz w:val="22"/>
          <w:szCs w:val="22"/>
        </w:rPr>
        <w:t xml:space="preserve">Matthieu Pageau, The Language of Creation (85 chapters embedded, 768-dim multimodal vectors); St. Gregory of Nyssa, The Life of Moses (33 sections embedded, 768-dim text vectors). Both via Gemini embedding-2-preview.</w:t>
      </w:r>
    </w:p>
    <w:p>
      <w:pPr>
        <w:spacing w:after="400"/>
      </w:pPr>
    </w:p>
    <w:p>
      <w:pPr>
        <w:pBdr>
          <w:top w:val="single" w:color="F5C518" w:sz="2" w:space="12"/>
        </w:pBdr>
        <w:spacing w:before="200"/>
        <w:jc w:val="center"/>
      </w:pPr>
      <w:r>
        <w:rPr>
          <w:rFonts w:ascii="Georgia" w:cs="Georgia" w:eastAsia="Georgia" w:hAnsi="Georgia"/>
          <w:i/>
          <w:iCs/>
          <w:color w:val="F5C518"/>
          <w:sz w:val="24"/>
          <w:szCs w:val="24"/>
        </w:rPr>
        <w:t xml:space="preserve">Glory to God for all things.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3333" w:sz="1" w:space="4"/>
      </w:pBdr>
      <w:jc w:val="center"/>
    </w:pPr>
    <w:r>
      <w:rPr>
        <w:rFonts w:ascii="Consolas" w:cs="Consolas" w:eastAsia="Consolas" w:hAnsi="Consolas"/>
        <w:color w:val="333333"/>
        <w:sz w:val="14"/>
        <w:szCs w:val="14"/>
      </w:rPr>
      <w:t xml:space="preserve">[ </w:t>
    </w:r>
    <w:r>
      <w:rPr>
        <w:rFonts w:ascii="Consolas" w:cs="Consolas" w:eastAsia="Consolas" w:hAnsi="Consolas"/>
        <w:color w:val="8A8A8A"/>
        <w:sz w:val="14"/>
        <w:szCs w:val="14"/>
      </w:rPr>
      <w:fldChar w:fldCharType="begin"/>
      <w:instrText xml:space="preserve">PAGE</w:instrText>
      <w:fldChar w:fldCharType="separate"/>
      <w:fldChar w:fldCharType="end"/>
    </w:r>
    <w:r>
      <w:rPr>
        <w:rFonts w:ascii="Consolas" w:cs="Consolas" w:eastAsia="Consolas" w:hAnsi="Consolas"/>
        <w:color w:val="333333"/>
        <w:sz w:val="14"/>
        <w:szCs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1" w:space="4"/>
      </w:pBdr>
      <w:tabs>
        <w:tab w:val="right" w:pos="9026"/>
      </w:tabs>
    </w:pPr>
    <w:r>
      <w:rPr>
        <w:rFonts w:ascii="Consolas" w:cs="Consolas" w:eastAsia="Consolas" w:hAnsi="Consolas"/>
        <w:color w:val="8A8A8A"/>
        <w:sz w:val="14"/>
        <w:szCs w:val="14"/>
      </w:rPr>
      <w:t xml:space="preserve">ORTHODOX PHRONEMA ARCHIVE</w:t>
    </w:r>
    <w:r>
      <w:rPr>
        <w:rFonts w:ascii="Consolas" w:cs="Consolas" w:eastAsia="Consolas" w:hAnsi="Consolas"/>
        <w:color w:val="444444"/>
        <w:sz w:val="14"/>
        <w:szCs w:val="14"/>
      </w:rPr>
      <w:t xml:space="preserve">	// engineering relevance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E8E6E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00"/>
      <w:outlineLvl w:val="0"/>
    </w:pPr>
    <w:rPr>
      <w:rFonts w:ascii="Consolas" w:cs="Consolas" w:eastAsia="Consolas" w:hAnsi="Consolas"/>
      <w:b/>
      <w:bCs/>
      <w:color w:val="F5C518"/>
      <w:sz w:val="30"/>
      <w:szCs w:val="30"/>
    </w:rPr>
  </w:style>
  <w:style w:type="paragraph" w:styleId="Heading2">
    <w:name w:val="Heading 2"/>
    <w:basedOn w:val="Normal"/>
    <w:next w:val="Normal"/>
    <w:qFormat/>
    <w:pPr>
      <w:spacing w:after="180" w:before="360"/>
      <w:outlineLvl w:val="1"/>
    </w:pPr>
    <w:rPr>
      <w:rFonts w:ascii="Consolas" w:cs="Consolas" w:eastAsia="Consolas" w:hAnsi="Consolas"/>
      <w:b/>
      <w:bCs/>
      <w:color w:val="00E5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2026-03-16T02:10:19.707Z</dcterms:created>
  <dcterms:modified xsi:type="dcterms:W3CDTF">2026-03-16T02:10:19.708Z</dcterms:modified>
</cp:coreProperties>
</file>

<file path=docProps/custom.xml><?xml version="1.0" encoding="utf-8"?>
<Properties xmlns="http://schemas.openxmlformats.org/officeDocument/2006/custom-properties" xmlns:vt="http://schemas.openxmlformats.org/officeDocument/2006/docPropsVTypes"/>
</file>