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B1329F" w14:textId="75EFD307" w:rsidR="007B73DF" w:rsidRPr="007B73DF" w:rsidRDefault="00E21D88" w:rsidP="007B73DF">
      <w:pPr>
        <w:pStyle w:val="1"/>
        <w:rPr>
          <w:rFonts w:hint="eastAsia"/>
        </w:rPr>
      </w:pPr>
      <w:r>
        <w:rPr>
          <w:rFonts w:hint="eastAsia"/>
        </w:rPr>
        <w:t xml:space="preserve">Figure 1: </w:t>
      </w:r>
      <w:r w:rsidR="00030631">
        <w:rPr>
          <w:rFonts w:hint="eastAsia"/>
        </w:rPr>
        <w:t>Delayed t</w:t>
      </w:r>
      <w:r>
        <w:rPr>
          <w:rFonts w:hint="eastAsia"/>
        </w:rPr>
        <w:t>ransfer behavior: first-block advantage and later growth faster</w:t>
      </w:r>
      <w:r w:rsidR="00030631">
        <w:rPr>
          <w:rFonts w:hint="eastAsia"/>
        </w:rPr>
        <w:t xml:space="preserve"> &amp; basic imaging 2/5</w:t>
      </w:r>
    </w:p>
    <w:p w14:paraId="2A14108E" w14:textId="554A3B02" w:rsidR="00AC596B" w:rsidRPr="00030631" w:rsidRDefault="00AC596B" w:rsidP="00AC596B">
      <w:pPr>
        <w:pStyle w:val="1"/>
        <w:rPr>
          <w:rFonts w:hint="eastAsia"/>
        </w:rPr>
      </w:pPr>
      <w:r>
        <w:rPr>
          <w:rFonts w:hint="eastAsia"/>
        </w:rPr>
        <w:t xml:space="preserve">Figure S1: </w:t>
      </w:r>
      <w:r w:rsidR="00030631">
        <w:rPr>
          <w:rFonts w:hint="eastAsia"/>
        </w:rPr>
        <w:t xml:space="preserve">Behavior detail, delayed </w:t>
      </w:r>
      <w:r w:rsidR="00030631">
        <w:t>–</w:t>
      </w:r>
      <w:r w:rsidR="00030631">
        <w:rPr>
          <w:rFonts w:hint="eastAsia"/>
        </w:rPr>
        <w:t xml:space="preserve"> undelayed paradigm</w:t>
      </w:r>
    </w:p>
    <w:p w14:paraId="4B7C338F" w14:textId="24625CE3" w:rsidR="00E21D88" w:rsidRDefault="00E21D88" w:rsidP="00E21D88">
      <w:pPr>
        <w:pStyle w:val="1"/>
      </w:pPr>
      <w:r>
        <w:rPr>
          <w:rFonts w:hint="eastAsia"/>
        </w:rPr>
        <w:t>Figure 2: Reactivation</w:t>
      </w:r>
      <w:r w:rsidR="00AC596B">
        <w:rPr>
          <w:rFonts w:hint="eastAsia"/>
        </w:rPr>
        <w:t>,</w:t>
      </w:r>
      <w:r>
        <w:rPr>
          <w:rFonts w:hint="eastAsia"/>
        </w:rPr>
        <w:t xml:space="preserve"> divergence</w:t>
      </w:r>
      <w:r w:rsidR="00030631">
        <w:rPr>
          <w:rFonts w:hint="eastAsia"/>
        </w:rPr>
        <w:t>, model</w:t>
      </w:r>
      <w:r w:rsidR="00AC596B">
        <w:rPr>
          <w:rFonts w:hint="eastAsia"/>
        </w:rPr>
        <w:t xml:space="preserve"> </w:t>
      </w:r>
      <w:r w:rsidR="00AC596B">
        <w:rPr>
          <w:rFonts w:hint="eastAsia"/>
        </w:rPr>
        <w:t>→</w:t>
      </w:r>
      <w:r w:rsidR="00AC596B">
        <w:rPr>
          <w:rFonts w:hint="eastAsia"/>
        </w:rPr>
        <w:t xml:space="preserve"> first-block</w:t>
      </w:r>
    </w:p>
    <w:p w14:paraId="75157CFB" w14:textId="0ADDA8D7" w:rsidR="00AC596B" w:rsidRPr="00AC596B" w:rsidRDefault="00AC596B" w:rsidP="00AC596B">
      <w:pPr>
        <w:pStyle w:val="1"/>
        <w:rPr>
          <w:rFonts w:hint="eastAsia"/>
        </w:rPr>
      </w:pPr>
      <w:r>
        <w:rPr>
          <w:rFonts w:hint="eastAsia"/>
        </w:rPr>
        <w:t>Figure S2: Information encoding</w:t>
      </w:r>
    </w:p>
    <w:p w14:paraId="77D82513" w14:textId="1B32E609" w:rsidR="00E21D88" w:rsidRDefault="00E21D88" w:rsidP="00E21D88">
      <w:pPr>
        <w:pStyle w:val="1"/>
      </w:pPr>
      <w:r>
        <w:rPr>
          <w:rFonts w:hint="eastAsia"/>
        </w:rPr>
        <w:t>Figure 3: cFos and 7-day</w:t>
      </w:r>
    </w:p>
    <w:p w14:paraId="118AB820" w14:textId="60462EC0" w:rsidR="00E21D88" w:rsidRDefault="00E21D88" w:rsidP="00E21D88">
      <w:pPr>
        <w:pStyle w:val="1"/>
      </w:pPr>
      <w:r>
        <w:rPr>
          <w:rFonts w:hint="eastAsia"/>
        </w:rPr>
        <w:t>Figure S3: Non-specific inhibition</w:t>
      </w:r>
    </w:p>
    <w:p w14:paraId="65169809" w14:textId="1BB2F7BD" w:rsidR="00E21D88" w:rsidRDefault="00E21D88" w:rsidP="00E21D88">
      <w:pPr>
        <w:pStyle w:val="1"/>
      </w:pPr>
      <w:r>
        <w:rPr>
          <w:rFonts w:hint="eastAsia"/>
        </w:rPr>
        <w:t xml:space="preserve">Figure 4: Response </w:t>
      </w:r>
      <w:r w:rsidR="00AC596B">
        <w:t>heterogeneity</w:t>
      </w:r>
      <w:r w:rsidR="00AC596B">
        <w:rPr>
          <w:rFonts w:hint="eastAsia"/>
        </w:rPr>
        <w:t xml:space="preserve"> </w:t>
      </w:r>
      <w:r w:rsidR="00AC596B">
        <w:rPr>
          <w:rFonts w:hint="eastAsia"/>
        </w:rPr>
        <w:t>→</w:t>
      </w:r>
      <w:r w:rsidR="00AC596B">
        <w:rPr>
          <w:rFonts w:hint="eastAsia"/>
        </w:rPr>
        <w:t xml:space="preserve"> later growth</w:t>
      </w:r>
    </w:p>
    <w:p w14:paraId="18704B89" w14:textId="62D8056A" w:rsidR="007B73DF" w:rsidRPr="007B73DF" w:rsidRDefault="007B73DF" w:rsidP="007B73DF">
      <w:pPr>
        <w:pStyle w:val="a9"/>
        <w:numPr>
          <w:ilvl w:val="0"/>
          <w:numId w:val="10"/>
        </w:numPr>
        <w:ind w:firstLineChars="0"/>
        <w:rPr>
          <w:rFonts w:hint="eastAsia"/>
        </w:rPr>
      </w:pPr>
      <w:r>
        <w:rPr>
          <w:rFonts w:hint="eastAsia"/>
        </w:rPr>
        <w:t>Baseline</w:t>
      </w:r>
    </w:p>
    <w:p w14:paraId="3946272E" w14:textId="724B0B74" w:rsidR="00AC596B" w:rsidRDefault="00AC596B" w:rsidP="00AC596B">
      <w:pPr>
        <w:pStyle w:val="1"/>
      </w:pPr>
      <w:r>
        <w:rPr>
          <w:rFonts w:hint="eastAsia"/>
        </w:rPr>
        <w:t>Figure 5: RNN simulation</w:t>
      </w:r>
    </w:p>
    <w:p w14:paraId="4E92578C" w14:textId="32FCEA1E" w:rsidR="00AC596B" w:rsidRDefault="00AC596B" w:rsidP="00AC596B">
      <w:pPr>
        <w:pStyle w:val="1"/>
      </w:pPr>
      <w:r>
        <w:rPr>
          <w:rFonts w:hint="eastAsia"/>
        </w:rPr>
        <w:t>Figure 6: TH inhibition &amp; RNN</w:t>
      </w:r>
    </w:p>
    <w:p w14:paraId="69C5179A" w14:textId="10C8DA24" w:rsidR="005C6D43" w:rsidRDefault="00786E9F" w:rsidP="00786E9F">
      <w:pPr>
        <w:pStyle w:val="1"/>
      </w:pPr>
      <w:r>
        <w:rPr>
          <w:rFonts w:hint="eastAsia"/>
        </w:rPr>
        <w:t>Figure 1</w:t>
      </w:r>
      <w:r w:rsidR="00261B12">
        <w:rPr>
          <w:rFonts w:hint="eastAsia"/>
        </w:rPr>
        <w:t>:</w:t>
      </w:r>
      <w:r w:rsidR="00E44918">
        <w:rPr>
          <w:rFonts w:hint="eastAsia"/>
        </w:rPr>
        <w:t xml:space="preserve"> </w:t>
      </w:r>
      <w:r w:rsidR="00E44918" w:rsidRPr="00E44918">
        <w:t>Continual learning better because it reactivates cells from the pre-training task</w:t>
      </w:r>
    </w:p>
    <w:p w14:paraId="704D09E2" w14:textId="3E369444" w:rsidR="00786E9F" w:rsidRDefault="008022A0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Training process diagram</w:t>
      </w:r>
    </w:p>
    <w:p w14:paraId="1094D09A" w14:textId="04489E01" w:rsidR="004214C8" w:rsidRDefault="004214C8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 xml:space="preserve">#Delayed# learning curve: </w:t>
      </w:r>
      <w:r>
        <w:t>Naïve</w:t>
      </w:r>
      <w:r>
        <w:rPr>
          <w:rFonts w:hint="eastAsia"/>
        </w:rPr>
        <w:t xml:space="preserve"> audio &amp; transfer light</w:t>
      </w:r>
    </w:p>
    <w:p w14:paraId="340C8D74" w14:textId="7D5E6A03" w:rsidR="004214C8" w:rsidRDefault="004214C8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 xml:space="preserve">#Delayed# 2 sample mice, transfer light &amp; </w:t>
      </w:r>
      <w:r>
        <w:t>naïve</w:t>
      </w:r>
      <w:r>
        <w:rPr>
          <w:rFonts w:hint="eastAsia"/>
        </w:rPr>
        <w:t xml:space="preserve"> light; learning curve: all mice, sigmoid fit</w:t>
      </w:r>
    </w:p>
    <w:p w14:paraId="2462332C" w14:textId="24585F5F" w:rsidR="004214C8" w:rsidRDefault="004214C8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 xml:space="preserve">#Delayed# Lick events and distribution of all mice, </w:t>
      </w:r>
      <w:r>
        <w:t>naïve</w:t>
      </w:r>
      <w:r>
        <w:rPr>
          <w:rFonts w:hint="eastAsia"/>
        </w:rPr>
        <w:t xml:space="preserve"> vs. transfer</w:t>
      </w:r>
    </w:p>
    <w:p w14:paraId="6FC3E906" w14:textId="2EA9A56F" w:rsidR="008022A0" w:rsidRDefault="00F97BF2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Light-water</w:t>
      </w:r>
      <w:r w:rsidR="00A2685F">
        <w:rPr>
          <w:rFonts w:hint="eastAsia"/>
        </w:rPr>
        <w:t xml:space="preserve"> n</w:t>
      </w:r>
      <w:r w:rsidR="008022A0">
        <w:t>aïve</w:t>
      </w:r>
      <w:r w:rsidR="008022A0">
        <w:rPr>
          <w:rFonts w:hint="eastAsia"/>
        </w:rPr>
        <w:t xml:space="preserve"> vs. continual learning curve (no lick no water)</w:t>
      </w:r>
    </w:p>
    <w:p w14:paraId="4FE234BA" w14:textId="2BBB59A0" w:rsidR="008022A0" w:rsidRDefault="00F97BF2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Light-water</w:t>
      </w:r>
      <w:r w:rsidR="00A2685F">
        <w:rPr>
          <w:rFonts w:hint="eastAsia"/>
        </w:rPr>
        <w:t xml:space="preserve"> n</w:t>
      </w:r>
      <w:r w:rsidR="008022A0">
        <w:t>aïve</w:t>
      </w:r>
      <w:r w:rsidR="008022A0">
        <w:rPr>
          <w:rFonts w:hint="eastAsia"/>
        </w:rPr>
        <w:t xml:space="preserve"> vs. continual sigmoid fit</w:t>
      </w:r>
      <w:r w:rsidR="00A2685F">
        <w:rPr>
          <w:rFonts w:hint="eastAsia"/>
        </w:rPr>
        <w:t xml:space="preserve"> &amp; blocks to 50% hit inset</w:t>
      </w:r>
      <w:r w:rsidR="008022A0">
        <w:rPr>
          <w:rFonts w:hint="eastAsia"/>
        </w:rPr>
        <w:t xml:space="preserve"> (no lick no water)</w:t>
      </w:r>
    </w:p>
    <w:p w14:paraId="0F5AFCE5" w14:textId="7320FCE4" w:rsidR="008022A0" w:rsidRDefault="008022A0" w:rsidP="00E44918">
      <w:pPr>
        <w:pStyle w:val="a9"/>
        <w:numPr>
          <w:ilvl w:val="0"/>
          <w:numId w:val="1"/>
        </w:numPr>
        <w:ind w:firstLineChars="0"/>
      </w:pPr>
      <w:r w:rsidRPr="008022A0">
        <w:t>Top-down view of the injected brain area</w:t>
      </w:r>
    </w:p>
    <w:p w14:paraId="3C179B97" w14:textId="0ABBE51F" w:rsidR="008022A0" w:rsidRDefault="008022A0" w:rsidP="00E44918">
      <w:pPr>
        <w:pStyle w:val="a9"/>
        <w:numPr>
          <w:ilvl w:val="0"/>
          <w:numId w:val="1"/>
        </w:numPr>
        <w:ind w:firstLineChars="0"/>
      </w:pPr>
      <w:r w:rsidRPr="008022A0">
        <w:t>MOp-GCaMP6f imaging &amp; cell circle</w:t>
      </w:r>
      <w:r>
        <w:rPr>
          <w:rFonts w:hint="eastAsia"/>
        </w:rPr>
        <w:t xml:space="preserve"> example</w:t>
      </w:r>
    </w:p>
    <w:p w14:paraId="0221203A" w14:textId="247DA042" w:rsidR="008022A0" w:rsidRDefault="008022A0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Heatmap:</w:t>
      </w:r>
      <w:r w:rsidR="00F97BF2">
        <w:rPr>
          <w:rFonts w:hint="eastAsia"/>
        </w:rPr>
        <w:t xml:space="preserve"> audio-only</w:t>
      </w:r>
      <w:r>
        <w:rPr>
          <w:rFonts w:hint="eastAsia"/>
        </w:rPr>
        <w:t xml:space="preserve">, </w:t>
      </w:r>
      <w:r w:rsidR="00F97BF2">
        <w:rPr>
          <w:rFonts w:hint="eastAsia"/>
        </w:rPr>
        <w:t>light-only</w:t>
      </w:r>
      <w:r>
        <w:rPr>
          <w:rFonts w:hint="eastAsia"/>
        </w:rPr>
        <w:t xml:space="preserve">, </w:t>
      </w:r>
      <w:r w:rsidR="00F97BF2">
        <w:rPr>
          <w:rFonts w:hint="eastAsia"/>
        </w:rPr>
        <w:t>audio-water</w:t>
      </w:r>
      <w:r>
        <w:rPr>
          <w:rFonts w:hint="eastAsia"/>
        </w:rPr>
        <w:t xml:space="preserve"> learned, </w:t>
      </w:r>
      <w:r w:rsidR="00F97BF2">
        <w:rPr>
          <w:rFonts w:hint="eastAsia"/>
        </w:rPr>
        <w:t>light-water</w:t>
      </w:r>
      <w:r>
        <w:rPr>
          <w:rFonts w:hint="eastAsia"/>
        </w:rPr>
        <w:t xml:space="preserve"> continual</w:t>
      </w:r>
    </w:p>
    <w:p w14:paraId="6D70E609" w14:textId="11AD1284" w:rsidR="008022A0" w:rsidRDefault="008022A0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lastRenderedPageBreak/>
        <w:t>Single-cell example calcium curve:</w:t>
      </w:r>
      <w:r w:rsidR="00F97BF2">
        <w:rPr>
          <w:rFonts w:hint="eastAsia"/>
        </w:rPr>
        <w:t xml:space="preserve"> audio-only</w:t>
      </w:r>
      <w:r>
        <w:rPr>
          <w:rFonts w:hint="eastAsia"/>
        </w:rPr>
        <w:t xml:space="preserve"> trial (irresponsive), </w:t>
      </w:r>
      <w:r w:rsidR="00F97BF2">
        <w:rPr>
          <w:rFonts w:hint="eastAsia"/>
        </w:rPr>
        <w:t>light-only</w:t>
      </w:r>
      <w:r>
        <w:rPr>
          <w:rFonts w:hint="eastAsia"/>
        </w:rPr>
        <w:t xml:space="preserve"> trial (irresponsive),</w:t>
      </w:r>
      <w:r w:rsidR="00F97BF2">
        <w:rPr>
          <w:rFonts w:hint="eastAsia"/>
        </w:rPr>
        <w:t xml:space="preserve"> audio-water </w:t>
      </w:r>
      <w:r>
        <w:rPr>
          <w:rFonts w:hint="eastAsia"/>
        </w:rPr>
        <w:t xml:space="preserve">learned trial (highly responsive), </w:t>
      </w:r>
      <w:r w:rsidR="00F97BF2">
        <w:rPr>
          <w:rFonts w:hint="eastAsia"/>
        </w:rPr>
        <w:t>light-water</w:t>
      </w:r>
      <w:r>
        <w:rPr>
          <w:rFonts w:hint="eastAsia"/>
        </w:rPr>
        <w:t xml:space="preserve"> continual trial (moderately responsive)</w:t>
      </w:r>
    </w:p>
    <w:p w14:paraId="34C76B09" w14:textId="4DC80902" w:rsidR="008022A0" w:rsidRDefault="008022A0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>Mean</w:t>
      </w:r>
      <w:r>
        <w:rPr>
          <w:rFonts w:hint="eastAsia"/>
        </w:rPr>
        <w:t>±</w:t>
      </w:r>
      <w:r>
        <w:rPr>
          <w:rFonts w:hint="eastAsia"/>
        </w:rPr>
        <w:t xml:space="preserve">SEM curve: </w:t>
      </w:r>
      <w:r w:rsidR="00F97BF2">
        <w:rPr>
          <w:rFonts w:hint="eastAsia"/>
        </w:rPr>
        <w:t>audio-only</w:t>
      </w:r>
      <w:r>
        <w:rPr>
          <w:rFonts w:hint="eastAsia"/>
        </w:rPr>
        <w:t xml:space="preserve">, </w:t>
      </w:r>
      <w:r w:rsidR="00F97BF2">
        <w:rPr>
          <w:rFonts w:hint="eastAsia"/>
        </w:rPr>
        <w:t>light-only</w:t>
      </w:r>
      <w:r>
        <w:rPr>
          <w:rFonts w:hint="eastAsia"/>
        </w:rPr>
        <w:t xml:space="preserve">, </w:t>
      </w:r>
      <w:r w:rsidR="00F97BF2">
        <w:rPr>
          <w:rFonts w:hint="eastAsia"/>
        </w:rPr>
        <w:t>audio-water</w:t>
      </w:r>
      <w:r>
        <w:rPr>
          <w:rFonts w:hint="eastAsia"/>
        </w:rPr>
        <w:t xml:space="preserve"> learned, </w:t>
      </w:r>
      <w:r w:rsidR="00F97BF2">
        <w:rPr>
          <w:rFonts w:hint="eastAsia"/>
        </w:rPr>
        <w:t>light-water</w:t>
      </w:r>
      <w:r>
        <w:rPr>
          <w:rFonts w:hint="eastAsia"/>
        </w:rPr>
        <w:t xml:space="preserve"> continual</w:t>
      </w:r>
    </w:p>
    <w:p w14:paraId="34FD75D8" w14:textId="2E84ADAD" w:rsidR="008022A0" w:rsidRDefault="008022A0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 xml:space="preserve">Pie chart: </w:t>
      </w:r>
      <w:r w:rsidR="00F97BF2">
        <w:rPr>
          <w:rFonts w:hint="eastAsia"/>
        </w:rPr>
        <w:t xml:space="preserve">audio &amp; light </w:t>
      </w:r>
      <w:r>
        <w:rPr>
          <w:rFonts w:hint="eastAsia"/>
        </w:rPr>
        <w:t>reactive</w:t>
      </w:r>
      <w:r w:rsidR="00A2685F">
        <w:rPr>
          <w:rFonts w:hint="eastAsia"/>
        </w:rPr>
        <w:t xml:space="preserve"> cells</w:t>
      </w:r>
      <w:r>
        <w:rPr>
          <w:rFonts w:hint="eastAsia"/>
        </w:rPr>
        <w:t xml:space="preserve"> /</w:t>
      </w:r>
      <w:r w:rsidR="00F97BF2">
        <w:rPr>
          <w:rFonts w:hint="eastAsia"/>
        </w:rPr>
        <w:t xml:space="preserve"> audio-waer </w:t>
      </w:r>
      <w:r>
        <w:rPr>
          <w:rFonts w:hint="eastAsia"/>
        </w:rPr>
        <w:t>learned active</w:t>
      </w:r>
      <w:r w:rsidR="00A2685F">
        <w:rPr>
          <w:rFonts w:hint="eastAsia"/>
        </w:rPr>
        <w:t xml:space="preserve"> cells</w:t>
      </w:r>
    </w:p>
    <w:p w14:paraId="0AFAB458" w14:textId="7FFBD77F" w:rsidR="00A2685F" w:rsidRDefault="00A2685F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 xml:space="preserve">Paired compare: reactivation of </w:t>
      </w:r>
      <w:r w:rsidR="00F97BF2">
        <w:rPr>
          <w:rFonts w:hint="eastAsia"/>
        </w:rPr>
        <w:t xml:space="preserve">light-water </w:t>
      </w:r>
      <w:r>
        <w:rPr>
          <w:rFonts w:hint="eastAsia"/>
        </w:rPr>
        <w:t>continual hit/miss</w:t>
      </w:r>
    </w:p>
    <w:p w14:paraId="558952EB" w14:textId="47345A0A" w:rsidR="00A2685F" w:rsidRDefault="00A2685F" w:rsidP="00E44918">
      <w:pPr>
        <w:pStyle w:val="a9"/>
        <w:numPr>
          <w:ilvl w:val="0"/>
          <w:numId w:val="1"/>
        </w:numPr>
        <w:ind w:firstLineChars="0"/>
      </w:pPr>
      <w:r>
        <w:rPr>
          <w:rFonts w:hint="eastAsia"/>
        </w:rPr>
        <w:t xml:space="preserve">Correlation of hit rate </w:t>
      </w:r>
      <w:r>
        <w:t>–</w:t>
      </w:r>
      <w:r>
        <w:rPr>
          <w:rFonts w:hint="eastAsia"/>
        </w:rPr>
        <w:t xml:space="preserve"> reactivation</w:t>
      </w:r>
    </w:p>
    <w:p w14:paraId="223C5026" w14:textId="7C8B8D36" w:rsidR="00A2685F" w:rsidRDefault="00A2685F" w:rsidP="00A2685F">
      <w:pPr>
        <w:pStyle w:val="1"/>
      </w:pPr>
      <w:r>
        <w:rPr>
          <w:rFonts w:hint="eastAsia"/>
        </w:rPr>
        <w:t>Figure S1</w:t>
      </w:r>
    </w:p>
    <w:p w14:paraId="22225B0C" w14:textId="2C148512" w:rsidR="00A2685F" w:rsidRPr="00A2685F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Light-water</w:t>
      </w:r>
      <w:r w:rsidRPr="00F97BF2">
        <w:rPr>
          <w:rFonts w:hint="eastAsia"/>
        </w:rPr>
        <w:t xml:space="preserve"> </w:t>
      </w:r>
      <w:r>
        <w:rPr>
          <w:rFonts w:hint="eastAsia"/>
        </w:rPr>
        <w:t xml:space="preserve">learning curve sigmoid fit (no lick no water): </w:t>
      </w:r>
      <w:r>
        <w:t>naïve</w:t>
      </w:r>
      <w:r>
        <w:rPr>
          <w:rFonts w:hint="eastAsia"/>
        </w:rPr>
        <w:t xml:space="preserve"> &amp; continual each, one-mouse example</w:t>
      </w:r>
    </w:p>
    <w:p w14:paraId="740F7CC0" w14:textId="6367585F" w:rsidR="00A2685F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 xml:space="preserve">Audio-water </w:t>
      </w:r>
      <w:r w:rsidR="00A2685F">
        <w:t>naïve</w:t>
      </w:r>
      <w:r w:rsidR="00A2685F">
        <w:rPr>
          <w:rFonts w:hint="eastAsia"/>
        </w:rPr>
        <w:t xml:space="preserve"> vs. continual learning curve sigmoid fit (no lick no water)</w:t>
      </w:r>
    </w:p>
    <w:p w14:paraId="2E12F5B7" w14:textId="3112A325" w:rsidR="00A2685F" w:rsidRPr="00A2685F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 xml:space="preserve">Audio-water </w:t>
      </w:r>
      <w:r w:rsidR="00A2685F">
        <w:rPr>
          <w:rFonts w:hint="eastAsia"/>
        </w:rPr>
        <w:t>n</w:t>
      </w:r>
      <w:r w:rsidR="00A2685F" w:rsidRPr="00A2685F">
        <w:t>aïve vs. continual learning curve</w:t>
      </w:r>
      <w:r w:rsidR="00A2685F">
        <w:rPr>
          <w:rFonts w:hint="eastAsia"/>
        </w:rPr>
        <w:t xml:space="preserve"> sigmoid fit</w:t>
      </w:r>
      <w:r w:rsidR="00A2685F" w:rsidRPr="00A2685F">
        <w:t xml:space="preserve"> (</w:t>
      </w:r>
      <w:r w:rsidR="00A2685F">
        <w:rPr>
          <w:rFonts w:hint="eastAsia"/>
        </w:rPr>
        <w:t>always</w:t>
      </w:r>
      <w:r w:rsidR="00A2685F" w:rsidRPr="00A2685F">
        <w:t xml:space="preserve"> water)</w:t>
      </w:r>
    </w:p>
    <w:p w14:paraId="536760F2" w14:textId="3B17DD70" w:rsidR="00A2685F" w:rsidRPr="00A2685F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 xml:space="preserve">Light-water </w:t>
      </w:r>
      <w:r>
        <w:t>naïve</w:t>
      </w:r>
      <w:r w:rsidR="00A2685F" w:rsidRPr="00A2685F">
        <w:t xml:space="preserve"> vs. continual learning curve </w:t>
      </w:r>
      <w:r w:rsidR="00A2685F">
        <w:rPr>
          <w:rFonts w:hint="eastAsia"/>
        </w:rPr>
        <w:t xml:space="preserve">sigmoid fit </w:t>
      </w:r>
      <w:r w:rsidR="00A2685F" w:rsidRPr="00A2685F">
        <w:t>(</w:t>
      </w:r>
      <w:r w:rsidR="00A2685F">
        <w:rPr>
          <w:rFonts w:hint="eastAsia"/>
        </w:rPr>
        <w:t>always</w:t>
      </w:r>
      <w:r w:rsidR="00A2685F" w:rsidRPr="00A2685F">
        <w:t xml:space="preserve"> water)</w:t>
      </w:r>
    </w:p>
    <w:p w14:paraId="14C8329C" w14:textId="467A3B70" w:rsidR="00A2685F" w:rsidRDefault="00A2685F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 xml:space="preserve">Lick trace of an example block: </w:t>
      </w:r>
      <w:r>
        <w:t>naïve</w:t>
      </w:r>
      <w:r>
        <w:rPr>
          <w:rFonts w:hint="eastAsia"/>
        </w:rPr>
        <w:t xml:space="preserve"> &amp; continual each</w:t>
      </w:r>
    </w:p>
    <w:p w14:paraId="7122549D" w14:textId="2D765483" w:rsidR="00A2685F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Light-water</w:t>
      </w:r>
      <w:r w:rsidR="00A2685F">
        <w:rPr>
          <w:rFonts w:hint="eastAsia"/>
        </w:rPr>
        <w:t xml:space="preserve"> continual trial-wise hit rate of the first block</w:t>
      </w:r>
    </w:p>
    <w:p w14:paraId="5B20C72B" w14:textId="0986C588" w:rsidR="00F97BF2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Bar comparison of audio-water learned active cells in light-water continual z-score in hit/miss trials</w:t>
      </w:r>
    </w:p>
    <w:p w14:paraId="27368529" w14:textId="48F0C30B" w:rsidR="00F97BF2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Pie: audio-water learned active cells / all cells</w:t>
      </w:r>
    </w:p>
    <w:p w14:paraId="173A0DB4" w14:textId="1FE9EEB5" w:rsidR="00F97BF2" w:rsidRDefault="00F97BF2" w:rsidP="00A2685F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Pie: light-water continual active cells / all cells</w:t>
      </w:r>
    </w:p>
    <w:p w14:paraId="669855C0" w14:textId="60D5E152" w:rsidR="00F97BF2" w:rsidRDefault="00F97BF2" w:rsidP="00F97BF2">
      <w:pPr>
        <w:pStyle w:val="1"/>
      </w:pPr>
      <w:r>
        <w:rPr>
          <w:rFonts w:hint="eastAsia"/>
        </w:rPr>
        <w:t>Figure 2</w:t>
      </w:r>
      <w:r w:rsidR="00261B12">
        <w:rPr>
          <w:rFonts w:hint="eastAsia"/>
        </w:rPr>
        <w:t>:</w:t>
      </w:r>
      <w:r>
        <w:rPr>
          <w:rFonts w:hint="eastAsia"/>
        </w:rPr>
        <w:t xml:space="preserve"> </w:t>
      </w:r>
      <w:r w:rsidRPr="00F97BF2">
        <w:t xml:space="preserve">Inherited cells compress inter-trial divergence and are selectively required for cross-modal </w:t>
      </w:r>
      <w:r w:rsidR="004F62D5">
        <w:rPr>
          <w:rFonts w:hint="eastAsia"/>
        </w:rPr>
        <w:t>continual learning</w:t>
      </w:r>
    </w:p>
    <w:p w14:paraId="28B4B925" w14:textId="260F7307" w:rsidR="004F62D5" w:rsidRDefault="004F62D5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Representative calcium curve of 3 cells </w:t>
      </w:r>
      <w:r>
        <w:rPr>
          <w:rFonts w:hint="eastAsia"/>
        </w:rPr>
        <w:t>×</w:t>
      </w:r>
      <w:r>
        <w:rPr>
          <w:rFonts w:hint="eastAsia"/>
        </w:rPr>
        <w:t xml:space="preserve"> 3 trials of </w:t>
      </w:r>
      <w:r>
        <w:t>naïve</w:t>
      </w:r>
      <w:r>
        <w:rPr>
          <w:rFonts w:hint="eastAsia"/>
        </w:rPr>
        <w:t xml:space="preserve"> audio-water (divergent), learned audio-water (convergent) and continual light-water (convergent)</w:t>
      </w:r>
    </w:p>
    <w:p w14:paraId="4EC2119A" w14:textId="0CC2B24E" w:rsidR="004F62D5" w:rsidRDefault="004F62D5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Heatmap: learned audio-water, continual light-water hit, continual light-water miss</w:t>
      </w:r>
    </w:p>
    <w:p w14:paraId="235AA6B8" w14:textId="501A98F8" w:rsidR="004F62D5" w:rsidRDefault="004F62D5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PCA, showing inter-trial divergence, normalized to 0s, </w:t>
      </w:r>
      <w:r>
        <w:t>naïve</w:t>
      </w:r>
      <w:r>
        <w:rPr>
          <w:rFonts w:hint="eastAsia"/>
        </w:rPr>
        <w:t xml:space="preserve"> audio-only vs. learned audio-water</w:t>
      </w:r>
    </w:p>
    <w:p w14:paraId="56D31DE9" w14:textId="594CF8F6" w:rsidR="004F62D5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Bar compare. Top: divergence of audio-only and learned audio-water. Bottom: divergence of learned audio-water active/inactive cells in continual light-water</w:t>
      </w:r>
    </w:p>
    <w:p w14:paraId="56A10CBE" w14:textId="6A0CC3F6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Bar compare: divergence of audio-water active/inactive cells in continual light-water. Top/bottom </w:t>
      </w:r>
      <w:r>
        <w:t>–</w:t>
      </w:r>
      <w:r>
        <w:rPr>
          <w:rFonts w:hint="eastAsia"/>
        </w:rPr>
        <w:t xml:space="preserve"> MOp 2/5</w:t>
      </w:r>
    </w:p>
    <w:p w14:paraId="3B178E87" w14:textId="5DC0AA66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Bar compare: divergence of </w:t>
      </w:r>
      <w:r>
        <w:t>naïve</w:t>
      </w:r>
      <w:r>
        <w:rPr>
          <w:rFonts w:hint="eastAsia"/>
        </w:rPr>
        <w:t xml:space="preserve">/continual light-water. Top/bottom </w:t>
      </w:r>
      <w:r>
        <w:t>–</w:t>
      </w:r>
      <w:r>
        <w:rPr>
          <w:rFonts w:hint="eastAsia"/>
        </w:rPr>
        <w:t xml:space="preserve"> MOp 2/5</w:t>
      </w:r>
    </w:p>
    <w:p w14:paraId="2030CDAA" w14:textId="789D9777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Correlation of first-block hit rate vs. divergence. </w:t>
      </w:r>
      <w:r>
        <w:t>Naïve</w:t>
      </w:r>
      <w:r>
        <w:rPr>
          <w:rFonts w:hint="eastAsia"/>
        </w:rPr>
        <w:t xml:space="preserve"> &amp; continual light-water.</w:t>
      </w:r>
    </w:p>
    <w:p w14:paraId="3A626F52" w14:textId="5F92A65D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TRAP diagram</w:t>
      </w:r>
    </w:p>
    <w:p w14:paraId="173FBD1A" w14:textId="03F23A9D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Fos-labeled mCherry fluorescent photo showing expression</w:t>
      </w:r>
    </w:p>
    <w:p w14:paraId="0CB32615" w14:textId="5F4DB2C1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Learning curve of fos/control</w:t>
      </w:r>
    </w:p>
    <w:p w14:paraId="2B06B550" w14:textId="030E2576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Sigmoid fit of fos/control</w:t>
      </w:r>
    </w:p>
    <w:p w14:paraId="6991AED9" w14:textId="74B3D363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7-day gap traning process diagram</w:t>
      </w:r>
    </w:p>
    <w:p w14:paraId="648A47C8" w14:textId="457BAE6F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Learning curve of 7-day gap vs. control</w:t>
      </w:r>
    </w:p>
    <w:p w14:paraId="05835E45" w14:textId="08CC616A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Bar compare: 7-day gap vs. control. Top: reactivation. Bottom: divergence</w:t>
      </w:r>
    </w:p>
    <w:p w14:paraId="5F320EEC" w14:textId="31055E34" w:rsidR="00C56D19" w:rsidRDefault="00C56D19" w:rsidP="004F62D5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 xml:space="preserve">Working model of reactivation </w:t>
      </w:r>
      <w:r>
        <w:t>–</w:t>
      </w:r>
      <w:r>
        <w:rPr>
          <w:rFonts w:hint="eastAsia"/>
        </w:rPr>
        <w:t xml:space="preserve"> divergence </w:t>
      </w:r>
      <w:r>
        <w:t>–</w:t>
      </w:r>
      <w:r>
        <w:rPr>
          <w:rFonts w:hint="eastAsia"/>
        </w:rPr>
        <w:t xml:space="preserve"> hit rate.</w:t>
      </w:r>
    </w:p>
    <w:p w14:paraId="189D0E19" w14:textId="7448DE98" w:rsidR="00C56D19" w:rsidRDefault="00C56D19" w:rsidP="00C56D19">
      <w:pPr>
        <w:pStyle w:val="1"/>
      </w:pPr>
      <w:r>
        <w:rPr>
          <w:rFonts w:hint="eastAsia"/>
        </w:rPr>
        <w:t>Figure S2</w:t>
      </w:r>
    </w:p>
    <w:p w14:paraId="7D8F8A58" w14:textId="691779A0" w:rsidR="00C56D19" w:rsidRDefault="00C56D19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 xml:space="preserve">Heatmap: </w:t>
      </w:r>
      <w:r>
        <w:t>naïve</w:t>
      </w:r>
      <w:r>
        <w:rPr>
          <w:rFonts w:hint="eastAsia"/>
        </w:rPr>
        <w:t>/continual light-water</w:t>
      </w:r>
    </w:p>
    <w:p w14:paraId="0EC130BB" w14:textId="23F0B17A" w:rsidR="00C56D19" w:rsidRDefault="00C56D19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 xml:space="preserve">All-cells </w:t>
      </w:r>
      <w:r w:rsidR="00261B12">
        <w:rPr>
          <w:rFonts w:hint="eastAsia"/>
        </w:rPr>
        <w:t xml:space="preserve">calcium curve of </w:t>
      </w:r>
      <w:r w:rsidR="00261B12">
        <w:t>naïve</w:t>
      </w:r>
      <w:r w:rsidR="00261B12">
        <w:rPr>
          <w:rFonts w:hint="eastAsia"/>
        </w:rPr>
        <w:t>/continual light-water</w:t>
      </w:r>
    </w:p>
    <w:p w14:paraId="0B086CBF" w14:textId="5E6FF675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 xml:space="preserve">Bar compare: </w:t>
      </w:r>
      <w:r>
        <w:t>naïve</w:t>
      </w:r>
      <w:r>
        <w:rPr>
          <w:rFonts w:hint="eastAsia"/>
        </w:rPr>
        <w:t>/continual light-water. Top: 1s z-score. Bottom: active fraction</w:t>
      </w:r>
    </w:p>
    <w:p w14:paraId="25AB9F42" w14:textId="75517ABB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 xml:space="preserve">Bar compare: divergence of </w:t>
      </w:r>
      <w:r>
        <w:t>naïve</w:t>
      </w:r>
      <w:r>
        <w:rPr>
          <w:rFonts w:hint="eastAsia"/>
        </w:rPr>
        <w:t xml:space="preserve">/continual light-water. Top/bottom </w:t>
      </w:r>
      <w:r>
        <w:t>–</w:t>
      </w:r>
      <w:r>
        <w:rPr>
          <w:rFonts w:hint="eastAsia"/>
        </w:rPr>
        <w:t xml:space="preserve"> MOp 2/5</w:t>
      </w:r>
    </w:p>
    <w:p w14:paraId="598EF7EF" w14:textId="01752C8B" w:rsidR="00261B12" w:rsidRDefault="00261B12" w:rsidP="00C56D19">
      <w:pPr>
        <w:pStyle w:val="a9"/>
        <w:numPr>
          <w:ilvl w:val="0"/>
          <w:numId w:val="4"/>
        </w:numPr>
        <w:ind w:firstLineChars="0"/>
      </w:pPr>
      <w:r w:rsidRPr="00261B12">
        <w:t xml:space="preserve">Schematic diagram of 2/5 layer pseudo-synchronous </w:t>
      </w:r>
      <w:r>
        <w:rPr>
          <w:rFonts w:hint="eastAsia"/>
        </w:rPr>
        <w:t>imaging</w:t>
      </w:r>
    </w:p>
    <w:p w14:paraId="6AF1389C" w14:textId="5C6BF70C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Correlation of divergence vs. reactivation</w:t>
      </w:r>
    </w:p>
    <w:p w14:paraId="39660E54" w14:textId="5E410BD3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 xml:space="preserve">Fos expression: </w:t>
      </w:r>
      <w:r w:rsidRPr="00261B12">
        <w:t xml:space="preserve">enlarged </w:t>
      </w:r>
      <w:r>
        <w:rPr>
          <w:rFonts w:hint="eastAsia"/>
        </w:rPr>
        <w:t>and</w:t>
      </w:r>
      <w:r w:rsidRPr="00261B12">
        <w:t xml:space="preserve"> whole</w:t>
      </w:r>
      <w:r>
        <w:rPr>
          <w:rFonts w:hint="eastAsia"/>
        </w:rPr>
        <w:t>-</w:t>
      </w:r>
      <w:r w:rsidRPr="00261B12">
        <w:t xml:space="preserve">brain </w:t>
      </w:r>
      <w:r>
        <w:rPr>
          <w:rFonts w:hint="eastAsia"/>
        </w:rPr>
        <w:t>photo</w:t>
      </w:r>
    </w:p>
    <w:p w14:paraId="28AC128F" w14:textId="5C294F75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Trialwise hit-rate of the first block of continual light-water of fos/control</w:t>
      </w:r>
    </w:p>
    <w:p w14:paraId="49488AE7" w14:textId="0A7FE166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 xml:space="preserve">Bar compare: divergence of learned audio-water active/inactive cells in continual light-water first block. </w:t>
      </w:r>
      <w:r w:rsidRPr="00261B12">
        <w:t>MOp2/5 is compared separately.</w:t>
      </w:r>
    </w:p>
    <w:p w14:paraId="24660EFE" w14:textId="0C9B0FBB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Non-specific MOp2/5 hM4D(Gi)-mCherry inhibition schematic diagram.</w:t>
      </w:r>
    </w:p>
    <w:p w14:paraId="09BAB3F9" w14:textId="7BED24AD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Non-specific mCherry expression fluorescent photo: whole-brain, MOp and enlarged photos</w:t>
      </w:r>
    </w:p>
    <w:p w14:paraId="7CA1BBFB" w14:textId="258EFE51" w:rsidR="00261B12" w:rsidRDefault="00261B12" w:rsidP="00C56D19">
      <w:pPr>
        <w:pStyle w:val="a9"/>
        <w:numPr>
          <w:ilvl w:val="0"/>
          <w:numId w:val="4"/>
        </w:numPr>
        <w:ind w:firstLineChars="0"/>
      </w:pPr>
      <w:r>
        <w:rPr>
          <w:rFonts w:hint="eastAsia"/>
        </w:rPr>
        <w:t>Learning curve of non-specific inhibition vs. control</w:t>
      </w:r>
    </w:p>
    <w:p w14:paraId="351AC334" w14:textId="73A85E2B" w:rsidR="00261B12" w:rsidRDefault="00261B12" w:rsidP="009545C0">
      <w:pPr>
        <w:pStyle w:val="1"/>
      </w:pPr>
      <w:r>
        <w:rPr>
          <w:rFonts w:hint="eastAsia"/>
        </w:rPr>
        <w:t xml:space="preserve">Figure 3: </w:t>
      </w:r>
      <w:r w:rsidR="009545C0">
        <w:t>Inherited cellular asymmetry from pre-training task accelerates continual learning under thalamic modulation</w:t>
      </w:r>
    </w:p>
    <w:p w14:paraId="1055A587" w14:textId="27E86AC2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Response heterogeneity of an example block. Histogram and 3D heatmap.</w:t>
      </w:r>
    </w:p>
    <w:p w14:paraId="31FF6348" w14:textId="634D46EF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Correlation of mouse-wise sigmoid slope vs. response heterogeneity. </w:t>
      </w:r>
      <w:r>
        <w:t>Naïve</w:t>
      </w:r>
      <w:r>
        <w:rPr>
          <w:rFonts w:hint="eastAsia"/>
        </w:rPr>
        <w:t xml:space="preserve">/continual light-water in different scatter colors. Left/right </w:t>
      </w:r>
      <w:r>
        <w:t>–</w:t>
      </w:r>
      <w:r>
        <w:rPr>
          <w:rFonts w:hint="eastAsia"/>
        </w:rPr>
        <w:t xml:space="preserve"> MOp 2/5.</w:t>
      </w:r>
    </w:p>
    <w:p w14:paraId="3DCDF6D8" w14:textId="689EBB97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Bar compare: response heterogeneity of </w:t>
      </w:r>
      <w:r>
        <w:t>naïve</w:t>
      </w:r>
      <w:r>
        <w:rPr>
          <w:rFonts w:hint="eastAsia"/>
        </w:rPr>
        <w:t xml:space="preserve"> light-water, continual light-water and learned audio-water. Top/bottom </w:t>
      </w:r>
      <w:r>
        <w:t>–</w:t>
      </w:r>
      <w:r>
        <w:rPr>
          <w:rFonts w:hint="eastAsia"/>
        </w:rPr>
        <w:t xml:space="preserve"> MOp2/5</w:t>
      </w:r>
    </w:p>
    <w:p w14:paraId="1AA4C07A" w14:textId="072DE4A2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Histogram &amp; 3D heatmap of a representative block for </w:t>
      </w:r>
      <w:r>
        <w:t>naïve</w:t>
      </w:r>
      <w:r>
        <w:rPr>
          <w:rFonts w:hint="eastAsia"/>
        </w:rPr>
        <w:t>/continual light water each.</w:t>
      </w:r>
    </w:p>
    <w:p w14:paraId="16AF6ACB" w14:textId="5F87ADD1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Schematic diagram of TH inhibition</w:t>
      </w:r>
    </w:p>
    <w:p w14:paraId="48A3BBB1" w14:textId="4FE1DBDB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Continual light-water learning curve and first-block hit rate inset of TH/control</w:t>
      </w:r>
    </w:p>
    <w:p w14:paraId="4D5BE138" w14:textId="48AC08A2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Continual light-water sigmoid fit of TH/control</w:t>
      </w:r>
    </w:p>
    <w:p w14:paraId="40939FD9" w14:textId="78BBDFA6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Correlation between sigmoid slope vs. response heterogeneity of continual light-water. TH/control in different scatter colors. Left/right </w:t>
      </w:r>
      <w:r>
        <w:t>–</w:t>
      </w:r>
      <w:r>
        <w:rPr>
          <w:rFonts w:hint="eastAsia"/>
        </w:rPr>
        <w:t xml:space="preserve"> MOp 2/5.</w:t>
      </w:r>
    </w:p>
    <w:p w14:paraId="5AB51F46" w14:textId="13878CB9" w:rsidR="009545C0" w:rsidRDefault="009545C0" w:rsidP="009545C0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Histogram &amp; 3D heatmap of a representative block for TH/control continual light water each.</w:t>
      </w:r>
    </w:p>
    <w:p w14:paraId="08C1731D" w14:textId="5CDE0383" w:rsidR="009545C0" w:rsidRDefault="000E7819" w:rsidP="000E7819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>A</w:t>
      </w:r>
      <w:r w:rsidR="009545C0">
        <w:rPr>
          <w:rFonts w:hint="eastAsia"/>
        </w:rPr>
        <w:t xml:space="preserve"> representative learning curve illustrating </w:t>
      </w:r>
      <w:r w:rsidR="009545C0">
        <w:rPr>
          <w:rFonts w:hint="eastAsia"/>
        </w:rPr>
        <w:t>Δ</w:t>
      </w:r>
      <w:r w:rsidR="009545C0">
        <w:rPr>
          <w:rFonts w:hint="eastAsia"/>
        </w:rPr>
        <w:t>Hit</w:t>
      </w:r>
      <w:r>
        <w:rPr>
          <w:rFonts w:hint="eastAsia"/>
        </w:rPr>
        <w:t>.</w:t>
      </w:r>
    </w:p>
    <w:p w14:paraId="58C74B37" w14:textId="2159329D" w:rsidR="000E7819" w:rsidRDefault="000E7819" w:rsidP="000E7819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Bar compare: TH/control continual light-water. Top: </w:t>
      </w:r>
      <w:r>
        <w:rPr>
          <w:rFonts w:hint="eastAsia"/>
        </w:rPr>
        <w:t>Δ</w:t>
      </w:r>
      <w:r>
        <w:rPr>
          <w:rFonts w:hint="eastAsia"/>
        </w:rPr>
        <w:t>Hit. Bottom: MOp5 response heterogeneity.</w:t>
      </w:r>
    </w:p>
    <w:p w14:paraId="33D9CD95" w14:textId="03260018" w:rsidR="000E7819" w:rsidRDefault="000E7819" w:rsidP="000E7819">
      <w:pPr>
        <w:pStyle w:val="a9"/>
        <w:numPr>
          <w:ilvl w:val="0"/>
          <w:numId w:val="5"/>
        </w:numPr>
        <w:ind w:firstLineChars="0"/>
      </w:pPr>
      <w:r>
        <w:rPr>
          <w:rFonts w:hint="eastAsia"/>
        </w:rPr>
        <w:t xml:space="preserve">Working model of response-heterogeneity </w:t>
      </w:r>
      <w:r>
        <w:t>–</w:t>
      </w:r>
      <w:r>
        <w:rPr>
          <w:rFonts w:hint="eastAsia"/>
        </w:rPr>
        <w:t xml:space="preserve"> learning speed.</w:t>
      </w:r>
    </w:p>
    <w:p w14:paraId="610FB7FE" w14:textId="1E59D8F5" w:rsidR="000E7819" w:rsidRDefault="000E7819" w:rsidP="000E7819">
      <w:pPr>
        <w:pStyle w:val="1"/>
      </w:pPr>
      <w:r>
        <w:rPr>
          <w:rFonts w:hint="eastAsia"/>
        </w:rPr>
        <w:t>Figure S3</w:t>
      </w:r>
    </w:p>
    <w:p w14:paraId="582F0183" w14:textId="42F45108" w:rsidR="000E7819" w:rsidRDefault="000E7819" w:rsidP="000E7819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 xml:space="preserve">Bar compare: baseline std of </w:t>
      </w:r>
      <w:r>
        <w:t>naïve</w:t>
      </w:r>
      <w:r>
        <w:rPr>
          <w:rFonts w:hint="eastAsia"/>
        </w:rPr>
        <w:t xml:space="preserve">/continual light-water. Top/bottom </w:t>
      </w:r>
      <w:r>
        <w:t>–</w:t>
      </w:r>
      <w:r>
        <w:rPr>
          <w:rFonts w:hint="eastAsia"/>
        </w:rPr>
        <w:t xml:space="preserve"> MOp2/5</w:t>
      </w:r>
    </w:p>
    <w:p w14:paraId="6537FB55" w14:textId="68670E10" w:rsidR="000E7819" w:rsidRDefault="000E7819" w:rsidP="000E7819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>Expression photo of TH inhibition: whole-brain, TH and enlarged photos.</w:t>
      </w:r>
    </w:p>
    <w:p w14:paraId="6824F3D1" w14:textId="764AB353" w:rsidR="000E7819" w:rsidRDefault="000E7819" w:rsidP="000E7819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 xml:space="preserve">Bar compare: reactivation of TH/control. Top/bottom </w:t>
      </w:r>
      <w:r>
        <w:t>–</w:t>
      </w:r>
      <w:r>
        <w:rPr>
          <w:rFonts w:hint="eastAsia"/>
        </w:rPr>
        <w:t xml:space="preserve"> MOp2/5</w:t>
      </w:r>
    </w:p>
    <w:p w14:paraId="4EF38227" w14:textId="053D7F24" w:rsidR="000E7819" w:rsidRDefault="000E7819" w:rsidP="000E7819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>MOp5 learned audio-water active cells calcium curve in continual light-water. TH vs. control.</w:t>
      </w:r>
    </w:p>
    <w:p w14:paraId="6153BACD" w14:textId="665C747B" w:rsidR="000E7819" w:rsidRDefault="000E7819" w:rsidP="000E7819">
      <w:pPr>
        <w:pStyle w:val="a9"/>
        <w:numPr>
          <w:ilvl w:val="0"/>
          <w:numId w:val="6"/>
        </w:numPr>
        <w:ind w:firstLineChars="0"/>
      </w:pPr>
      <w:r>
        <w:rPr>
          <w:rFonts w:hint="eastAsia"/>
        </w:rPr>
        <w:t>Bar compare of MOp5 learned audio water active cells. Top: 1~3s mean z-score</w:t>
      </w:r>
      <w:r w:rsidR="00C23110">
        <w:rPr>
          <w:rFonts w:hint="eastAsia"/>
        </w:rPr>
        <w:t>, control vs. TH. Bottom: decrease of mean z-score after TH inhibition (ctrl-TH). 0~1s vs. 1~3s</w:t>
      </w:r>
    </w:p>
    <w:p w14:paraId="4A3A7661" w14:textId="68067D0E" w:rsidR="00C23110" w:rsidRDefault="00C23110" w:rsidP="00C23110">
      <w:pPr>
        <w:pStyle w:val="1"/>
      </w:pPr>
      <w:r>
        <w:rPr>
          <w:rFonts w:hint="eastAsia"/>
        </w:rPr>
        <w:t xml:space="preserve">Figure 4: </w:t>
      </w:r>
      <w:r w:rsidRPr="00C23110">
        <w:t>Computational model validate</w:t>
      </w:r>
      <w:r>
        <w:rPr>
          <w:rFonts w:hint="eastAsia"/>
        </w:rPr>
        <w:t>s</w:t>
      </w:r>
      <w:r w:rsidRPr="00C23110">
        <w:t xml:space="preserve"> the acceleration mechanism of continu</w:t>
      </w:r>
      <w:r>
        <w:rPr>
          <w:rFonts w:hint="eastAsia"/>
        </w:rPr>
        <w:t>al</w:t>
      </w:r>
      <w:r w:rsidRPr="00C23110">
        <w:t xml:space="preserve"> learning</w:t>
      </w:r>
    </w:p>
    <w:p w14:paraId="65387EBF" w14:textId="2E31BDE8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2% sparse RNN split to L2/5 with certain predefined number of excitatory/inhibitory neurons</w:t>
      </w:r>
    </w:p>
    <w:p w14:paraId="0A1E07D4" w14:textId="7F07C670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Trial steps: calm-down, cue-response, learning</w:t>
      </w:r>
    </w:p>
    <w:p w14:paraId="12A8F538" w14:textId="1D6CE091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Connection weight update rules</w:t>
      </w:r>
    </w:p>
    <w:p w14:paraId="02D724BA" w14:textId="7C59DDBF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Connection weight histogram and update example, illustrating positive and negative weights</w:t>
      </w:r>
    </w:p>
    <w:p w14:paraId="0C28D327" w14:textId="134FAD8E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L2/5 division of labor: L2 receiving cue inputs (Cue A/B, different cells activated), L5 subgroups determining behavior output.</w:t>
      </w:r>
    </w:p>
    <w:p w14:paraId="470CA22F" w14:textId="10DAD497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 xml:space="preserve">Connection weight histogram of </w:t>
      </w:r>
      <w:r>
        <w:t>naïve</w:t>
      </w:r>
      <w:r>
        <w:rPr>
          <w:rFonts w:hint="eastAsia"/>
        </w:rPr>
        <w:t xml:space="preserve"> vs. cueA learned. Four panels for EE, EI, IE, II connections</w:t>
      </w:r>
    </w:p>
    <w:p w14:paraId="59786518" w14:textId="0DEDA8C4" w:rsidR="00C23110" w:rsidRDefault="00C23110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 xml:space="preserve">Bar compare. Top: weight SD of </w:t>
      </w:r>
      <w:r>
        <w:t>naïve</w:t>
      </w:r>
      <w:r>
        <w:rPr>
          <w:rFonts w:hint="eastAsia"/>
        </w:rPr>
        <w:t xml:space="preserve"> vs. cueA learned</w:t>
      </w:r>
      <w:r w:rsidR="00B6272A">
        <w:rPr>
          <w:rFonts w:hint="eastAsia"/>
        </w:rPr>
        <w:t xml:space="preserve">, split by connection types: EE, EI, IE, II. Bottom: response heterogeneity of </w:t>
      </w:r>
      <w:r w:rsidR="00B6272A">
        <w:t>naïve</w:t>
      </w:r>
      <w:r w:rsidR="00B6272A">
        <w:rPr>
          <w:rFonts w:hint="eastAsia"/>
        </w:rPr>
        <w:t xml:space="preserve"> vs. continual TaskB, split by layer and cell type: L2 E/I and L5 E/I</w:t>
      </w:r>
    </w:p>
    <w:p w14:paraId="7315C9E4" w14:textId="64DD9E92" w:rsidR="00B6272A" w:rsidRDefault="00B6272A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 xml:space="preserve">Sigmoid fit of </w:t>
      </w:r>
      <w:r>
        <w:t>naïve</w:t>
      </w:r>
      <w:r>
        <w:rPr>
          <w:rFonts w:hint="eastAsia"/>
        </w:rPr>
        <w:t>/continual TaskB</w:t>
      </w:r>
    </w:p>
    <w:p w14:paraId="52626448" w14:textId="499E2FC1" w:rsidR="00B6272A" w:rsidRDefault="00B6272A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 xml:space="preserve">Heatmap: first 2 iterations of the first block of </w:t>
      </w:r>
      <w:r>
        <w:t>naïve</w:t>
      </w:r>
      <w:r>
        <w:rPr>
          <w:rFonts w:hint="eastAsia"/>
        </w:rPr>
        <w:t xml:space="preserve"> cueA, </w:t>
      </w:r>
      <w:r>
        <w:t>naïve</w:t>
      </w:r>
      <w:r>
        <w:rPr>
          <w:rFonts w:hint="eastAsia"/>
        </w:rPr>
        <w:t xml:space="preserve"> cueB and continual cueB</w:t>
      </w:r>
    </w:p>
    <w:p w14:paraId="4EC2CA60" w14:textId="7E5D430D" w:rsidR="00B6272A" w:rsidRDefault="00B6272A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Schematic diagram of simulated TH inhibition</w:t>
      </w:r>
    </w:p>
    <w:p w14:paraId="3512C817" w14:textId="5C8A780B" w:rsidR="00B6272A" w:rsidRDefault="00B6272A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Sigmoid fit of TH/control TaskB simulation</w:t>
      </w:r>
    </w:p>
    <w:p w14:paraId="18A42CEF" w14:textId="21DE4671" w:rsidR="00B6272A" w:rsidRDefault="00B6272A" w:rsidP="00C23110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Bar compare of response heterogeneity of TH vs. control. Split by layer and cell type: L2 E/I and L5 E/I</w:t>
      </w:r>
    </w:p>
    <w:p w14:paraId="6220E3FF" w14:textId="2E669E15" w:rsidR="00B6272A" w:rsidRDefault="00B6272A" w:rsidP="00B6272A">
      <w:pPr>
        <w:pStyle w:val="1"/>
      </w:pPr>
      <w:r>
        <w:rPr>
          <w:rFonts w:hint="eastAsia"/>
        </w:rPr>
        <w:t>Figure S4</w:t>
      </w:r>
    </w:p>
    <w:p w14:paraId="2CB81514" w14:textId="6BB4C042" w:rsidR="00BF42D5" w:rsidRDefault="00E174DF" w:rsidP="00BF42D5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>Bar compare: weight of L2 inhibitory cue receivers to L5 non-</w:t>
      </w:r>
      <w:r>
        <w:t>behavioral</w:t>
      </w:r>
      <w:r>
        <w:rPr>
          <w:rFonts w:hint="eastAsia"/>
        </w:rPr>
        <w:t xml:space="preserve"> excitatory neurons, </w:t>
      </w:r>
      <w:r>
        <w:t>naïve</w:t>
      </w:r>
      <w:r>
        <w:rPr>
          <w:rFonts w:hint="eastAsia"/>
        </w:rPr>
        <w:t xml:space="preserve"> vs. continual</w:t>
      </w:r>
    </w:p>
    <w:p w14:paraId="1A2992FF" w14:textId="2D36C084" w:rsidR="00E174DF" w:rsidRDefault="00E174DF" w:rsidP="00BF42D5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>Bar compare: activity of L5 non-</w:t>
      </w:r>
      <w:r>
        <w:t>behavioral</w:t>
      </w:r>
      <w:r>
        <w:rPr>
          <w:rFonts w:hint="eastAsia"/>
        </w:rPr>
        <w:t xml:space="preserve"> excitatory neurons, </w:t>
      </w:r>
      <w:r>
        <w:t>naïve</w:t>
      </w:r>
      <w:r>
        <w:rPr>
          <w:rFonts w:hint="eastAsia"/>
        </w:rPr>
        <w:t xml:space="preserve"> vs. continual</w:t>
      </w:r>
    </w:p>
    <w:p w14:paraId="75784AA7" w14:textId="2942D2F3" w:rsidR="00E174DF" w:rsidRDefault="00E174DF" w:rsidP="00BF42D5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 xml:space="preserve">Plot frequency of reverse learning in block 1~3, </w:t>
      </w:r>
      <w:r>
        <w:t>naïve</w:t>
      </w:r>
      <w:r>
        <w:rPr>
          <w:rFonts w:hint="eastAsia"/>
        </w:rPr>
        <w:t xml:space="preserve"> vs. continual</w:t>
      </w:r>
    </w:p>
    <w:p w14:paraId="34DAA335" w14:textId="5978C340" w:rsidR="00E174DF" w:rsidRDefault="00E174DF" w:rsidP="00BF42D5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 xml:space="preserve">Plot </w:t>
      </w:r>
      <w:r>
        <w:rPr>
          <w:rFonts w:hint="eastAsia"/>
        </w:rPr>
        <w:t>Δ</w:t>
      </w:r>
      <w:r>
        <w:rPr>
          <w:rFonts w:hint="eastAsia"/>
        </w:rPr>
        <w:t xml:space="preserve">weight of L2 </w:t>
      </w:r>
      <w:r>
        <w:t>excitatory</w:t>
      </w:r>
      <w:r>
        <w:rPr>
          <w:rFonts w:hint="eastAsia"/>
        </w:rPr>
        <w:t xml:space="preserve"> cue receivers to L5</w:t>
      </w:r>
    </w:p>
    <w:p w14:paraId="1403ECE2" w14:textId="630EFA3A" w:rsidR="00A068BF" w:rsidRDefault="00A068BF" w:rsidP="00BF42D5">
      <w:pPr>
        <w:pStyle w:val="a9"/>
        <w:numPr>
          <w:ilvl w:val="0"/>
          <w:numId w:val="8"/>
        </w:numPr>
        <w:ind w:firstLineChars="0"/>
      </w:pPr>
      <w:r>
        <w:rPr>
          <w:rFonts w:hint="eastAsia"/>
        </w:rPr>
        <w:t>Illustration of the denoising model</w:t>
      </w:r>
    </w:p>
    <w:p w14:paraId="24E79A9E" w14:textId="0893853C" w:rsidR="00A068BF" w:rsidRDefault="00A068BF" w:rsidP="00A068BF">
      <w:pPr>
        <w:pStyle w:val="1"/>
      </w:pPr>
      <w:r>
        <w:rPr>
          <w:rFonts w:hint="eastAsia"/>
        </w:rPr>
        <w:t>Figure 5 Heterogeneity accelerates early small-sample ResNet MNIST classification task</w:t>
      </w:r>
    </w:p>
    <w:p w14:paraId="0B6B1BC9" w14:textId="7783C8B2" w:rsidR="00A068BF" w:rsidRPr="00A068BF" w:rsidRDefault="00A068BF" w:rsidP="00A068BF">
      <w:r>
        <w:rPr>
          <w:rFonts w:hint="eastAsia"/>
        </w:rPr>
        <w:t xml:space="preserve">Dry experiment still running </w:t>
      </w:r>
      <w:r>
        <w:rPr>
          <w:rFonts w:hint="eastAsia"/>
        </w:rPr>
        <w:t>…</w:t>
      </w:r>
    </w:p>
    <w:sectPr w:rsidR="00A068BF" w:rsidRPr="00A068BF" w:rsidSect="00786E9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3349C"/>
    <w:multiLevelType w:val="hybridMultilevel"/>
    <w:tmpl w:val="15966ED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B058B9"/>
    <w:multiLevelType w:val="hybridMultilevel"/>
    <w:tmpl w:val="DA62A5B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3E04FF6"/>
    <w:multiLevelType w:val="hybridMultilevel"/>
    <w:tmpl w:val="B88A219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3DA3EC6"/>
    <w:multiLevelType w:val="hybridMultilevel"/>
    <w:tmpl w:val="C630CBD0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4232839"/>
    <w:multiLevelType w:val="hybridMultilevel"/>
    <w:tmpl w:val="B5867CD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0F92CBE"/>
    <w:multiLevelType w:val="hybridMultilevel"/>
    <w:tmpl w:val="73B42D5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F3A7C52"/>
    <w:multiLevelType w:val="hybridMultilevel"/>
    <w:tmpl w:val="400A331E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E852E86"/>
    <w:multiLevelType w:val="hybridMultilevel"/>
    <w:tmpl w:val="31D2B694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63592654"/>
    <w:multiLevelType w:val="hybridMultilevel"/>
    <w:tmpl w:val="55C602B6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7A5306A9"/>
    <w:multiLevelType w:val="hybridMultilevel"/>
    <w:tmpl w:val="5A9804FC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01913649">
    <w:abstractNumId w:val="8"/>
  </w:num>
  <w:num w:numId="2" w16cid:durableId="34085215">
    <w:abstractNumId w:val="2"/>
  </w:num>
  <w:num w:numId="3" w16cid:durableId="2091853603">
    <w:abstractNumId w:val="6"/>
  </w:num>
  <w:num w:numId="4" w16cid:durableId="787966780">
    <w:abstractNumId w:val="5"/>
  </w:num>
  <w:num w:numId="5" w16cid:durableId="1092361827">
    <w:abstractNumId w:val="0"/>
  </w:num>
  <w:num w:numId="6" w16cid:durableId="206181984">
    <w:abstractNumId w:val="4"/>
  </w:num>
  <w:num w:numId="7" w16cid:durableId="1607690998">
    <w:abstractNumId w:val="7"/>
  </w:num>
  <w:num w:numId="8" w16cid:durableId="725683900">
    <w:abstractNumId w:val="9"/>
  </w:num>
  <w:num w:numId="9" w16cid:durableId="675807738">
    <w:abstractNumId w:val="3"/>
  </w:num>
  <w:num w:numId="10" w16cid:durableId="12282971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789"/>
    <w:rsid w:val="00030631"/>
    <w:rsid w:val="000E7819"/>
    <w:rsid w:val="00260789"/>
    <w:rsid w:val="00261B12"/>
    <w:rsid w:val="00267C78"/>
    <w:rsid w:val="00370F7E"/>
    <w:rsid w:val="003818BD"/>
    <w:rsid w:val="004214C8"/>
    <w:rsid w:val="00494760"/>
    <w:rsid w:val="004F62D5"/>
    <w:rsid w:val="0050597E"/>
    <w:rsid w:val="00535B40"/>
    <w:rsid w:val="005C6D43"/>
    <w:rsid w:val="006F0347"/>
    <w:rsid w:val="0074441A"/>
    <w:rsid w:val="00786E9F"/>
    <w:rsid w:val="007B73DF"/>
    <w:rsid w:val="008022A0"/>
    <w:rsid w:val="00936771"/>
    <w:rsid w:val="009545C0"/>
    <w:rsid w:val="009604FA"/>
    <w:rsid w:val="00A068BF"/>
    <w:rsid w:val="00A2685F"/>
    <w:rsid w:val="00AB17F9"/>
    <w:rsid w:val="00AC596B"/>
    <w:rsid w:val="00B6272A"/>
    <w:rsid w:val="00BF42D5"/>
    <w:rsid w:val="00C23110"/>
    <w:rsid w:val="00C56D19"/>
    <w:rsid w:val="00D14477"/>
    <w:rsid w:val="00D519A1"/>
    <w:rsid w:val="00E174DF"/>
    <w:rsid w:val="00E21D88"/>
    <w:rsid w:val="00E44918"/>
    <w:rsid w:val="00F9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5BFB16"/>
  <w15:chartTrackingRefBased/>
  <w15:docId w15:val="{A63507F4-3F92-4BB2-AC2D-4B8A7AE30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6E9F"/>
  </w:style>
  <w:style w:type="paragraph" w:styleId="1">
    <w:name w:val="heading 1"/>
    <w:basedOn w:val="a"/>
    <w:next w:val="a"/>
    <w:link w:val="10"/>
    <w:uiPriority w:val="9"/>
    <w:qFormat/>
    <w:rsid w:val="00786E9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6E9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6E9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24242" w:themeColor="text2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6E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6E9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24242" w:themeColor="text2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6E9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24242" w:themeColor="text2"/>
      <w:sz w:val="21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6E9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5C0707" w:themeColor="accent1" w:themeShade="80"/>
      <w:sz w:val="21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6E9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24242" w:themeColor="text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6E9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24242" w:themeColor="text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86E9F"/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character" w:customStyle="1" w:styleId="20">
    <w:name w:val="标题 2 字符"/>
    <w:basedOn w:val="a0"/>
    <w:link w:val="2"/>
    <w:uiPriority w:val="9"/>
    <w:semiHidden/>
    <w:rsid w:val="00786E9F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30">
    <w:name w:val="标题 3 字符"/>
    <w:basedOn w:val="a0"/>
    <w:link w:val="3"/>
    <w:uiPriority w:val="9"/>
    <w:semiHidden/>
    <w:rsid w:val="00786E9F"/>
    <w:rPr>
      <w:rFonts w:asciiTheme="majorHAnsi" w:eastAsiaTheme="majorEastAsia" w:hAnsiTheme="majorHAnsi" w:cstheme="majorBidi"/>
      <w:color w:val="424242" w:themeColor="text2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786E9F"/>
    <w:rPr>
      <w:rFonts w:asciiTheme="majorHAnsi" w:eastAsiaTheme="majorEastAsia" w:hAnsiTheme="majorHAnsi" w:cstheme="majorBidi"/>
      <w:sz w:val="22"/>
      <w:szCs w:val="22"/>
    </w:rPr>
  </w:style>
  <w:style w:type="character" w:customStyle="1" w:styleId="50">
    <w:name w:val="标题 5 字符"/>
    <w:basedOn w:val="a0"/>
    <w:link w:val="5"/>
    <w:uiPriority w:val="9"/>
    <w:semiHidden/>
    <w:rsid w:val="00786E9F"/>
    <w:rPr>
      <w:rFonts w:asciiTheme="majorHAnsi" w:eastAsiaTheme="majorEastAsia" w:hAnsiTheme="majorHAnsi" w:cstheme="majorBidi"/>
      <w:color w:val="424242" w:themeColor="text2"/>
      <w:sz w:val="22"/>
      <w:szCs w:val="22"/>
    </w:rPr>
  </w:style>
  <w:style w:type="character" w:customStyle="1" w:styleId="60">
    <w:name w:val="标题 6 字符"/>
    <w:basedOn w:val="a0"/>
    <w:link w:val="6"/>
    <w:uiPriority w:val="9"/>
    <w:semiHidden/>
    <w:rsid w:val="00786E9F"/>
    <w:rPr>
      <w:rFonts w:asciiTheme="majorHAnsi" w:eastAsiaTheme="majorEastAsia" w:hAnsiTheme="majorHAnsi" w:cstheme="majorBidi"/>
      <w:i/>
      <w:iCs/>
      <w:color w:val="424242" w:themeColor="text2"/>
      <w:sz w:val="21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786E9F"/>
    <w:rPr>
      <w:rFonts w:asciiTheme="majorHAnsi" w:eastAsiaTheme="majorEastAsia" w:hAnsiTheme="majorHAnsi" w:cstheme="majorBidi"/>
      <w:i/>
      <w:iCs/>
      <w:color w:val="5C0707" w:themeColor="accent1" w:themeShade="80"/>
      <w:sz w:val="21"/>
      <w:szCs w:val="21"/>
    </w:rPr>
  </w:style>
  <w:style w:type="character" w:customStyle="1" w:styleId="80">
    <w:name w:val="标题 8 字符"/>
    <w:basedOn w:val="a0"/>
    <w:link w:val="8"/>
    <w:uiPriority w:val="9"/>
    <w:semiHidden/>
    <w:rsid w:val="00786E9F"/>
    <w:rPr>
      <w:rFonts w:asciiTheme="majorHAnsi" w:eastAsiaTheme="majorEastAsia" w:hAnsiTheme="majorHAnsi" w:cstheme="majorBidi"/>
      <w:b/>
      <w:bCs/>
      <w:color w:val="424242" w:themeColor="text2"/>
    </w:rPr>
  </w:style>
  <w:style w:type="character" w:customStyle="1" w:styleId="90">
    <w:name w:val="标题 9 字符"/>
    <w:basedOn w:val="a0"/>
    <w:link w:val="9"/>
    <w:uiPriority w:val="9"/>
    <w:semiHidden/>
    <w:rsid w:val="00786E9F"/>
    <w:rPr>
      <w:rFonts w:asciiTheme="majorHAnsi" w:eastAsiaTheme="majorEastAsia" w:hAnsiTheme="majorHAnsi" w:cstheme="majorBidi"/>
      <w:b/>
      <w:bCs/>
      <w:i/>
      <w:iCs/>
      <w:color w:val="424242" w:themeColor="text2"/>
    </w:rPr>
  </w:style>
  <w:style w:type="paragraph" w:styleId="a3">
    <w:name w:val="Title"/>
    <w:basedOn w:val="a"/>
    <w:next w:val="a"/>
    <w:link w:val="a4"/>
    <w:uiPriority w:val="10"/>
    <w:qFormat/>
    <w:rsid w:val="00786E9F"/>
    <w:pPr>
      <w:spacing w:after="0" w:line="240" w:lineRule="auto"/>
      <w:contextualSpacing/>
    </w:pPr>
    <w:rPr>
      <w:rFonts w:asciiTheme="majorHAnsi" w:eastAsiaTheme="majorEastAsia" w:hAnsiTheme="majorHAnsi" w:cstheme="majorBidi"/>
      <w:color w:val="B80E0F" w:themeColor="accent1"/>
      <w:spacing w:val="-10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6E9F"/>
    <w:rPr>
      <w:rFonts w:asciiTheme="majorHAnsi" w:eastAsiaTheme="majorEastAsia" w:hAnsiTheme="majorHAnsi" w:cstheme="majorBidi"/>
      <w:color w:val="B80E0F" w:themeColor="accent1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6E9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6">
    <w:name w:val="副标题 字符"/>
    <w:basedOn w:val="a0"/>
    <w:link w:val="a5"/>
    <w:uiPriority w:val="11"/>
    <w:rsid w:val="00786E9F"/>
    <w:rPr>
      <w:rFonts w:asciiTheme="majorHAnsi" w:eastAsiaTheme="majorEastAsia" w:hAnsiTheme="majorHAnsi" w:cstheme="majorBidi"/>
      <w:sz w:val="24"/>
      <w:szCs w:val="24"/>
    </w:rPr>
  </w:style>
  <w:style w:type="paragraph" w:styleId="a7">
    <w:name w:val="Quote"/>
    <w:basedOn w:val="a"/>
    <w:next w:val="a"/>
    <w:link w:val="a8"/>
    <w:uiPriority w:val="29"/>
    <w:qFormat/>
    <w:rsid w:val="00786E9F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6E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0789"/>
    <w:pPr>
      <w:ind w:firstLineChars="200" w:firstLine="420"/>
    </w:pPr>
  </w:style>
  <w:style w:type="character" w:styleId="aa">
    <w:name w:val="Intense Emphasis"/>
    <w:basedOn w:val="a0"/>
    <w:uiPriority w:val="21"/>
    <w:qFormat/>
    <w:rsid w:val="00786E9F"/>
    <w:rPr>
      <w:b/>
      <w:bCs/>
      <w:i/>
      <w:iCs/>
    </w:rPr>
  </w:style>
  <w:style w:type="paragraph" w:styleId="ab">
    <w:name w:val="Intense Quote"/>
    <w:basedOn w:val="a"/>
    <w:next w:val="a"/>
    <w:link w:val="ac"/>
    <w:uiPriority w:val="30"/>
    <w:qFormat/>
    <w:rsid w:val="00786E9F"/>
    <w:pPr>
      <w:pBdr>
        <w:left w:val="single" w:sz="18" w:space="12" w:color="B80E0F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B80E0F" w:themeColor="accent1"/>
      <w:sz w:val="28"/>
      <w:szCs w:val="28"/>
    </w:rPr>
  </w:style>
  <w:style w:type="character" w:customStyle="1" w:styleId="ac">
    <w:name w:val="明显引用 字符"/>
    <w:basedOn w:val="a0"/>
    <w:link w:val="ab"/>
    <w:uiPriority w:val="30"/>
    <w:rsid w:val="00786E9F"/>
    <w:rPr>
      <w:rFonts w:asciiTheme="majorHAnsi" w:eastAsiaTheme="majorEastAsia" w:hAnsiTheme="majorHAnsi" w:cstheme="majorBidi"/>
      <w:color w:val="B80E0F" w:themeColor="accent1"/>
      <w:sz w:val="28"/>
      <w:szCs w:val="28"/>
    </w:rPr>
  </w:style>
  <w:style w:type="character" w:styleId="ad">
    <w:name w:val="Intense Reference"/>
    <w:basedOn w:val="a0"/>
    <w:uiPriority w:val="32"/>
    <w:qFormat/>
    <w:rsid w:val="00786E9F"/>
    <w:rPr>
      <w:b/>
      <w:bCs/>
      <w:smallCaps/>
      <w:spacing w:val="5"/>
      <w:u w:val="single"/>
    </w:rPr>
  </w:style>
  <w:style w:type="paragraph" w:styleId="ae">
    <w:name w:val="caption"/>
    <w:basedOn w:val="a"/>
    <w:next w:val="a"/>
    <w:uiPriority w:val="35"/>
    <w:semiHidden/>
    <w:unhideWhenUsed/>
    <w:qFormat/>
    <w:rsid w:val="00786E9F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af">
    <w:name w:val="Strong"/>
    <w:basedOn w:val="a0"/>
    <w:uiPriority w:val="22"/>
    <w:qFormat/>
    <w:rsid w:val="00786E9F"/>
    <w:rPr>
      <w:b/>
      <w:bCs/>
    </w:rPr>
  </w:style>
  <w:style w:type="character" w:styleId="af0">
    <w:name w:val="Emphasis"/>
    <w:basedOn w:val="a0"/>
    <w:uiPriority w:val="20"/>
    <w:qFormat/>
    <w:rsid w:val="00786E9F"/>
    <w:rPr>
      <w:i/>
      <w:iCs/>
    </w:rPr>
  </w:style>
  <w:style w:type="paragraph" w:styleId="af1">
    <w:name w:val="No Spacing"/>
    <w:uiPriority w:val="1"/>
    <w:qFormat/>
    <w:rsid w:val="00786E9F"/>
    <w:pPr>
      <w:spacing w:after="0" w:line="240" w:lineRule="auto"/>
    </w:pPr>
  </w:style>
  <w:style w:type="character" w:styleId="af2">
    <w:name w:val="Subtle Emphasis"/>
    <w:basedOn w:val="a0"/>
    <w:uiPriority w:val="19"/>
    <w:qFormat/>
    <w:rsid w:val="00786E9F"/>
    <w:rPr>
      <w:i/>
      <w:iCs/>
      <w:color w:val="404040" w:themeColor="text1" w:themeTint="BF"/>
    </w:rPr>
  </w:style>
  <w:style w:type="character" w:styleId="af3">
    <w:name w:val="Subtle Reference"/>
    <w:basedOn w:val="a0"/>
    <w:uiPriority w:val="31"/>
    <w:qFormat/>
    <w:rsid w:val="00786E9F"/>
    <w:rPr>
      <w:smallCaps/>
      <w:color w:val="404040" w:themeColor="text1" w:themeTint="BF"/>
      <w:u w:val="single" w:color="7F7F7F" w:themeColor="text1" w:themeTint="80"/>
    </w:rPr>
  </w:style>
  <w:style w:type="character" w:styleId="af4">
    <w:name w:val="Book Title"/>
    <w:basedOn w:val="a0"/>
    <w:uiPriority w:val="33"/>
    <w:qFormat/>
    <w:rsid w:val="00786E9F"/>
    <w:rPr>
      <w:b/>
      <w:bCs/>
      <w:smallCaps/>
    </w:rPr>
  </w:style>
  <w:style w:type="paragraph" w:styleId="TOC">
    <w:name w:val="TOC Heading"/>
    <w:basedOn w:val="1"/>
    <w:next w:val="a"/>
    <w:uiPriority w:val="39"/>
    <w:semiHidden/>
    <w:unhideWhenUsed/>
    <w:qFormat/>
    <w:rsid w:val="00786E9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jpeg"/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主要事件">
  <a:themeElements>
    <a:clrScheme name="主要事件">
      <a:dk1>
        <a:sysClr val="windowText" lastClr="000000"/>
      </a:dk1>
      <a:lt1>
        <a:sysClr val="window" lastClr="FFFFFF"/>
      </a:lt1>
      <a:dk2>
        <a:srgbClr val="424242"/>
      </a:dk2>
      <a:lt2>
        <a:srgbClr val="C8C8C8"/>
      </a:lt2>
      <a:accent1>
        <a:srgbClr val="B80E0F"/>
      </a:accent1>
      <a:accent2>
        <a:srgbClr val="A6987D"/>
      </a:accent2>
      <a:accent3>
        <a:srgbClr val="7F9A71"/>
      </a:accent3>
      <a:accent4>
        <a:srgbClr val="64969F"/>
      </a:accent4>
      <a:accent5>
        <a:srgbClr val="9B75B2"/>
      </a:accent5>
      <a:accent6>
        <a:srgbClr val="80737A"/>
      </a:accent6>
      <a:hlink>
        <a:srgbClr val="F21213"/>
      </a:hlink>
      <a:folHlink>
        <a:srgbClr val="B6A394"/>
      </a:folHlink>
    </a:clrScheme>
    <a:fontScheme name="主要事件">
      <a:maj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主要事件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blipFill>
          <a:blip xmlns:r="http://schemas.openxmlformats.org/officeDocument/2006/relationships" r:embed="rId1">
            <a:duotone>
              <a:schemeClr val="phClr">
                <a:shade val="88000"/>
                <a:lumMod val="88000"/>
              </a:schemeClr>
              <a:schemeClr val="phClr"/>
            </a:duotone>
          </a:blip>
          <a:tile tx="0" ty="0" sx="100000" sy="100000" flip="none" algn="tl"/>
        </a:blip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25400" dist="12700" dir="5400000" rotWithShape="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88000"/>
                <a:lumMod val="88000"/>
              </a:schemeClr>
            </a:gs>
          </a:gsLst>
          <a:lin ang="5400000" scaled="0"/>
        </a:gradFill>
        <a:blipFill>
          <a:blip xmlns:r="http://schemas.openxmlformats.org/officeDocument/2006/relationships" r:embed="rId2">
            <a:duotone>
              <a:schemeClr val="phClr">
                <a:shade val="48000"/>
                <a:satMod val="110000"/>
                <a:lumMod val="40000"/>
              </a:schemeClr>
              <a:schemeClr val="phClr">
                <a:tint val="90000"/>
                <a:lumMod val="106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in Event" id="{AC372BB4-D83D-411E-B849-B641926BA760}" vid="{F1EFBDE3-1A95-4E3D-81AD-1F53D65BEA01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</TotalTime>
  <Pages>5</Pages>
  <Words>1114</Words>
  <Characters>6350</Characters>
  <Application>Microsoft Office Word</Application>
  <DocSecurity>0</DocSecurity>
  <Lines>52</Lines>
  <Paragraphs>14</Paragraphs>
  <ScaleCrop>false</ScaleCrop>
  <Company/>
  <LinksUpToDate>false</LinksUpToDate>
  <CharactersWithSpaces>7450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天夫 张</dc:creator>
  <cp:keywords/>
  <dc:description/>
  <cp:lastModifiedBy>天夫 张</cp:lastModifiedBy>
  <cp:revision>6</cp:revision>
  <dcterms:created xsi:type="dcterms:W3CDTF">2026-06-28T08:29:00Z</dcterms:created>
  <dcterms:modified xsi:type="dcterms:W3CDTF">2026-07-25T06:52:00Z</dcterms:modified>
</cp:coreProperties>
</file>