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表2-1-1-耗材设备一览表"/>
    <w:p>
      <w:pPr>
        <w:pStyle w:val="Heading1"/>
      </w:pPr>
      <w:r>
        <w:rPr>
          <w:rFonts w:hint="eastAsia"/>
        </w:rPr>
        <w:t xml:space="preserve">表2-1-1</w:t>
      </w:r>
      <w:r>
        <w:t xml:space="preserve"> </w:t>
      </w:r>
      <w:r>
        <w:rPr>
          <w:rFonts w:hint="eastAsia"/>
        </w:rPr>
        <w:t xml:space="preserve">耗材/设备一览表</w:t>
      </w:r>
    </w:p>
    <w:p>
      <w:pPr>
        <w:pStyle w:val="FirstParagraph"/>
      </w:pPr>
      <w:r>
        <w:t xml:space="preserve">Table 2-1-1 List of consumables/equipment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耗材/设备名称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盐酸金霉素眼膏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恒久远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术前眼部保护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办公用品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局部操作与辅助涂抹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无尘棉签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亚速旺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颅窗表面清洁与局部操作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CNO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麦克林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化学遗传抑制实验中腹腔注射，抑制表达</w:t>
            </w:r>
            <w:r>
              <w:t xml:space="preserve"> hM4D(Gi) </w:t>
            </w:r>
            <w:r>
              <w:rPr>
                <w:rFonts w:hint="eastAsia"/>
              </w:rPr>
              <w:t xml:space="preserve">的神经元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1×D-PBS </w:t>
            </w:r>
            <w:r>
              <w:rPr>
                <w:rFonts w:hint="eastAsia"/>
              </w:rPr>
              <w:t xml:space="preserve">配液</w:t>
            </w:r>
          </w:p>
        </w:tc>
        <w:tc>
          <w:tcPr/>
          <w:p>
            <w:pPr>
              <w:pStyle w:val="Compact"/>
            </w:pPr>
            <w:r>
              <w:t xml:space="preserve">Coolaber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配制</w:t>
            </w:r>
            <w:r>
              <w:t xml:space="preserve"> </w:t>
            </w:r>
            <w:r>
              <w:rPr>
                <w:rFonts w:hint="eastAsia"/>
              </w:rPr>
              <w:t xml:space="preserve">CNO、灌流、洗片和湿盒保存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pAAV2/9-hSyn-GCaMP6f-WPRE </w:t>
            </w:r>
            <w:r>
              <w:rPr>
                <w:rFonts w:hint="eastAsia"/>
              </w:rPr>
              <w:t xml:space="preserve">病毒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和元生物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MOp </w:t>
            </w:r>
            <w:r>
              <w:rPr>
                <w:rFonts w:hint="eastAsia"/>
              </w:rPr>
              <w:t xml:space="preserve">或</w:t>
            </w:r>
            <w:r>
              <w:t xml:space="preserve"> RSP </w:t>
            </w:r>
            <w:r>
              <w:rPr>
                <w:rFonts w:hint="eastAsia"/>
              </w:rPr>
              <w:t xml:space="preserve">表达钙指示蛋白，用于双光子钙成像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毛细玻璃管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瑞沃德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拉制成玻璃注射针，用于脑区定点注射病毒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镀镍自攻螺钉</w:t>
            </w:r>
            <w:r>
              <w:t xml:space="preserve"> / </w:t>
            </w:r>
            <w:r>
              <w:rPr>
                <w:rFonts w:hint="eastAsia"/>
              </w:rPr>
              <w:t xml:space="preserve">颅钉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安固盾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固定头架并增强牙科树脂的机械锁定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吸收性明胶海绵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祥恩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术中止血与吸除骨窗周围渗血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无水乙醇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国药/沪试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玻片浸泡与局部清洁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75% </w:t>
            </w:r>
            <w:r>
              <w:rPr>
                <w:rFonts w:hint="eastAsia"/>
              </w:rPr>
              <w:t xml:space="preserve">乙醇消毒液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国药/沪试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颅窗玻璃及相关部件表面清洁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5 mm </w:t>
            </w:r>
            <w:r>
              <w:rPr>
                <w:rFonts w:hint="eastAsia"/>
              </w:rPr>
              <w:t xml:space="preserve">圆玻片</w:t>
            </w:r>
          </w:p>
        </w:tc>
        <w:tc>
          <w:tcPr/>
          <w:p>
            <w:pPr>
              <w:pStyle w:val="Compact"/>
            </w:pPr>
            <w:r>
              <w:t xml:space="preserve">WPI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封闭颅窗并建立长期成像窗口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牙科义齿基托聚合物树脂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脉尚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封窗并固定头架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502 </w:t>
            </w:r>
            <w:r>
              <w:rPr>
                <w:rFonts w:hint="eastAsia"/>
              </w:rPr>
              <w:t xml:space="preserve">胶水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与树脂混合形成封窗水泥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动物伤口缝合胶水</w:t>
            </w:r>
          </w:p>
        </w:tc>
        <w:tc>
          <w:tcPr/>
          <w:p>
            <w:pPr>
              <w:pStyle w:val="Compact"/>
            </w:pPr>
            <w:r>
              <w:t xml:space="preserve">TIGERGENE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术后局部封合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纸制吸水材料（擦手纸、吸水纸）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垫于固定床并吸附局部水分或组织残液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纯净水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作为舔水奖励与物镜前水滴介质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异氟烷麻醉系统（高纯氧供气）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瑞沃德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手术与灌流前吸入麻醉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立体定位注射系统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瑞沃德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手术定位、调平与病毒注射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精细镊</w:t>
            </w:r>
          </w:p>
        </w:tc>
        <w:tc>
          <w:tcPr/>
          <w:p>
            <w:pPr>
              <w:pStyle w:val="Compact"/>
            </w:pPr>
            <w:r>
              <w:t xml:space="preserve">Dumont/F.S.T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开窗与止血操作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直头解剖镊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中镜科仪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取脑和组织剥离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手术剪</w:t>
            </w:r>
            <w:r>
              <w:t xml:space="preserve"> / </w:t>
            </w:r>
            <w:r>
              <w:rPr>
                <w:rFonts w:hint="eastAsia"/>
              </w:rPr>
              <w:t xml:space="preserve">止血钳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探索精选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头皮剪切、开胸和组织分离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颅钻与钻头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瑞沃德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颅窗开孔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拉针仪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瑞沃德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将毛细玻璃管拉制成注射针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小鼠头部固定架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头固定行为与成像实验中的头部固定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小鼠固定床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云洞三维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头固定行为实验平台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灌胃针</w:t>
            </w:r>
            <w:r>
              <w:t xml:space="preserve"> 12 </w:t>
            </w:r>
            <w:r>
              <w:rPr>
                <w:rFonts w:hint="eastAsia"/>
              </w:rPr>
              <w:t xml:space="preserve">号</w:t>
            </w:r>
            <w:r>
              <w:t xml:space="preserve"> 65 mm </w:t>
            </w:r>
            <w:r>
              <w:rPr>
                <w:rFonts w:hint="eastAsia"/>
              </w:rPr>
              <w:t xml:space="preserve">直头</w:t>
            </w:r>
          </w:p>
        </w:tc>
        <w:tc>
          <w:tcPr/>
          <w:p>
            <w:pPr>
              <w:pStyle w:val="Compact"/>
            </w:pPr>
            <w:r>
              <w:t xml:space="preserve">servicebio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作为舔水口与给水出口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透明塑胶水管</w:t>
            </w:r>
            <w:r>
              <w:t xml:space="preserve"> / </w:t>
            </w:r>
            <w:r>
              <w:rPr>
                <w:rFonts w:hint="eastAsia"/>
              </w:rPr>
              <w:t xml:space="preserve">橡胶管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连接灌胃针、蠕动泵与水瓶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内六角螺丝刀工具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燚陇秉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固定头架与实验装置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双光子激光显微镜系统</w:t>
            </w:r>
          </w:p>
        </w:tc>
        <w:tc>
          <w:tcPr/>
          <w:p>
            <w:pPr>
              <w:pStyle w:val="Compact"/>
            </w:pPr>
            <w:r>
              <w:t xml:space="preserve">Olympus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在行为过程中记录两层神经元钙信号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双光子主机与双光子辅助机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联想电脑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分别负责显微镜控制与行为控制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蠕动水泵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昱瑟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定量给水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储存奖励用水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杜邦线</w:t>
            </w:r>
          </w:p>
        </w:tc>
        <w:tc>
          <w:tcPr/>
          <w:p>
            <w:pPr>
              <w:pStyle w:val="Compact"/>
            </w:pPr>
            <w:r>
              <w:t xml:space="preserve">risym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</w:t>
            </w:r>
            <w:r>
              <w:t xml:space="preserve"> </w:t>
            </w:r>
            <w:r>
              <w:rPr>
                <w:rFonts w:hint="eastAsia"/>
              </w:rPr>
              <w:t xml:space="preserve">Arduino、继电器、水泵与传感器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</w:t>
            </w:r>
          </w:p>
        </w:tc>
        <w:tc>
          <w:tcPr/>
          <w:p>
            <w:pPr>
              <w:pStyle w:val="Compact"/>
            </w:pPr>
            <w:r>
              <w:t xml:space="preserve">MOSFET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控制水泵通断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t xml:space="preserve">Arduino Due A000062</w:t>
            </w:r>
          </w:p>
        </w:tc>
        <w:tc>
          <w:tcPr/>
          <w:p>
            <w:pPr>
              <w:pStyle w:val="Compact"/>
            </w:pPr>
            <w:r>
              <w:t xml:space="preserve">Arduino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自动控制提示、给水与日志记录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触感电容传感器</w:t>
            </w:r>
          </w:p>
        </w:tc>
        <w:tc>
          <w:tcPr/>
          <w:p>
            <w:pPr>
              <w:pStyle w:val="Compact"/>
            </w:pPr>
            <w:r>
              <w:t xml:space="preserve">Adafruit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检测舔水接触信号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有源压电蜂鸣器</w:t>
            </w:r>
          </w:p>
        </w:tc>
        <w:tc>
          <w:tcPr/>
          <w:p>
            <w:pPr>
              <w:pStyle w:val="Compact"/>
            </w:pPr>
            <w:r>
              <w:t xml:space="preserve">RunesKee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提供声提示刺激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</w:t>
            </w:r>
            <w:r>
              <w:t xml:space="preserve"> LED </w:t>
            </w:r>
            <w:r>
              <w:rPr>
                <w:rFonts w:hint="eastAsia"/>
              </w:rPr>
              <w:t xml:space="preserve">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提供光提示刺激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pAAV2/9-hSyn-DIO-hM4D(Gi)-mCherry-WPRE </w:t>
            </w:r>
            <w:r>
              <w:rPr>
                <w:rFonts w:hint="eastAsia"/>
              </w:rPr>
              <w:t xml:space="preserve">病毒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和元生物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cFos </w:t>
            </w:r>
            <w:r>
              <w:rPr>
                <w:rFonts w:hint="eastAsia"/>
              </w:rPr>
              <w:t xml:space="preserve">标记实验中选择性抑制学会阶段活跃细胞集合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他莫昔芬溶液（20</w:t>
            </w:r>
            <w:r>
              <w:t xml:space="preserve"> </w:t>
            </w:r>
            <w:r>
              <w:rPr>
                <w:rFonts w:hint="eastAsia"/>
              </w:rPr>
              <w:t xml:space="preserve">mg/mL，玉米油）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碧云天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</w:t>
            </w:r>
            <w:r>
              <w:t xml:space="preserve"> cFos-CreER </w:t>
            </w:r>
            <w:r>
              <w:rPr>
                <w:rFonts w:hint="eastAsia"/>
              </w:rPr>
              <w:t xml:space="preserve">时间窗，标记行为相关活跃细胞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pAAV2/9-hSyn-hM4D(Gi)-mCherry-WPRE </w:t>
            </w:r>
            <w:r>
              <w:rPr>
                <w:rFonts w:hint="eastAsia"/>
              </w:rPr>
              <w:t xml:space="preserve">病毒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和元生物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在非特异性</w:t>
            </w:r>
            <w:r>
              <w:t xml:space="preserve"> MOp </w:t>
            </w:r>
            <w:r>
              <w:rPr>
                <w:rFonts w:hint="eastAsia"/>
              </w:rPr>
              <w:t xml:space="preserve">抑制或</w:t>
            </w:r>
            <w:r>
              <w:t xml:space="preserve"> TH </w:t>
            </w:r>
            <w:r>
              <w:rPr>
                <w:rFonts w:hint="eastAsia"/>
              </w:rPr>
              <w:t xml:space="preserve">抑制实验中表达化学遗传抑制受体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pAAV2/9-hSyn-mCherry-3xFLAG-WPRE </w:t>
            </w:r>
            <w:r>
              <w:rPr>
                <w:rFonts w:hint="eastAsia"/>
              </w:rPr>
              <w:t xml:space="preserve">病毒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和元生物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非特异性抑制实验中的荧光对照病毒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t xml:space="preserve">1 mL </w:t>
            </w:r>
            <w:r>
              <w:rPr>
                <w:rFonts w:hint="eastAsia"/>
              </w:rPr>
              <w:t xml:space="preserve">一次性注射器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禾汽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注射三溴乙醇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泡沫板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病毒包装盒回收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灌流时固定小鼠体位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大头钉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灌流时固定小鼠体位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t xml:space="preserve">D-PBS/PFA </w:t>
            </w:r>
            <w:r>
              <w:rPr>
                <w:rFonts w:hint="eastAsia"/>
              </w:rPr>
              <w:t xml:space="preserve">灌流系统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进行</w:t>
            </w:r>
            <w:r>
              <w:t xml:space="preserve"> D-PBS </w:t>
            </w:r>
            <w:r>
              <w:rPr>
                <w:rFonts w:hint="eastAsia"/>
              </w:rPr>
              <w:t xml:space="preserve">与</w:t>
            </w:r>
            <w:r>
              <w:t xml:space="preserve"> PFA </w:t>
            </w:r>
            <w:r>
              <w:rPr>
                <w:rFonts w:hint="eastAsia"/>
              </w:rPr>
              <w:t xml:space="preserve">心脏灌流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灌流和固定液操作时通风防护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小鼠脑切片模具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吉泰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脑组织包埋定向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刀片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吉列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组织修整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冰冻切片机专用刀片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徕卡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冰冻切片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美术水粉水彩勾线笔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柏伦斯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切片辅助整理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日本雪人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载玻片标记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冰冻切片机</w:t>
            </w:r>
          </w:p>
        </w:tc>
        <w:tc>
          <w:tcPr/>
          <w:p>
            <w:pPr>
              <w:pStyle w:val="Compact"/>
            </w:pPr>
            <w:r>
              <w:t xml:space="preserve">ThermoFisher NX50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脑组织冰冻切片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湿盒</w:t>
            </w:r>
          </w:p>
        </w:tc>
        <w:tc>
          <w:tcPr/>
          <w:p>
            <w:pPr>
              <w:pStyle w:val="Compact"/>
            </w:pPr>
            <w:r>
              <w:t xml:space="preserve">BBI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存放贴片后的载玻片并保持湿润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手动单道可调式移液器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泰坦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加样、洗片与封片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玻片扫描仪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奥林巴斯</w:t>
            </w:r>
            <w:r>
              <w:t xml:space="preserve"> VS120-S6-W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扫描脑片并观察病毒表达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t xml:space="preserve">OlyVIA </w:t>
            </w: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t xml:space="preserve">Olympus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查看玻片扫描结果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2,2,2-三溴乙醇</w:t>
            </w:r>
            <w:r>
              <w:t xml:space="preserve"> / D-PBS </w:t>
            </w:r>
            <w:r>
              <w:rPr>
                <w:rFonts w:hint="eastAsia"/>
              </w:rPr>
              <w:t xml:space="preserve">溶液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毕得医药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灌流前深麻醉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1×D-PBS</w:t>
            </w:r>
          </w:p>
        </w:tc>
        <w:tc>
          <w:tcPr/>
          <w:p>
            <w:pPr>
              <w:pStyle w:val="Compact"/>
            </w:pPr>
            <w:r>
              <w:t xml:space="preserve">Coolaber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灌流、洗片和湿盒保存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PFA / D-PBS </w:t>
            </w:r>
            <w:r>
              <w:rPr>
                <w:rFonts w:hint="eastAsia"/>
              </w:rPr>
              <w:t xml:space="preserve">固定液</w:t>
            </w:r>
          </w:p>
        </w:tc>
        <w:tc>
          <w:tcPr/>
          <w:p>
            <w:pPr>
              <w:pStyle w:val="Compact"/>
            </w:pPr>
            <w:r>
              <w:t xml:space="preserve">Adamas life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组织灌流固定与取脑后固定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蔗糖</w:t>
            </w:r>
            <w:r>
              <w:t xml:space="preserve"> / D-PBS </w:t>
            </w:r>
            <w:r>
              <w:rPr>
                <w:rFonts w:hint="eastAsia"/>
              </w:rPr>
              <w:t xml:space="preserve">溶液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吉至生物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脱水处理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O.C.T. Compound</w:t>
            </w:r>
          </w:p>
        </w:tc>
        <w:tc>
          <w:tcPr/>
          <w:p>
            <w:pPr>
              <w:pStyle w:val="Compact"/>
            </w:pPr>
            <w:r>
              <w:t xml:space="preserve">Tissue-Tek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冰冻包埋脑组织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粘附载玻片（正电荷）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碧云天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吸附脑切片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抗荧光衰减封片剂（含</w:t>
            </w:r>
            <w:r>
              <w:t xml:space="preserve"> </w:t>
            </w:r>
            <w:r>
              <w:rPr>
                <w:rFonts w:hint="eastAsia"/>
              </w:rPr>
              <w:t xml:space="preserve">DAPI）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美仑生物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封片并进行</w:t>
            </w:r>
            <w:r>
              <w:t xml:space="preserve"> DAPI </w:t>
            </w:r>
            <w:r>
              <w:rPr>
                <w:rFonts w:hint="eastAsia"/>
              </w:rPr>
              <w:t xml:space="preserve">染核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盖玻片（24×50</w:t>
            </w:r>
            <w:r>
              <w:t xml:space="preserve">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t xml:space="preserve">servicebio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封片覆盖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透明指甲油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密封盖玻片边缘</w:t>
            </w:r>
          </w:p>
        </w:tc>
      </w:tr>
    </w:tbl>
    <w:p>
      <w:pPr>
        <w:pStyle w:val="BodyText"/>
      </w:pPr>
      <w:r>
        <w:t xml:space="preserve">\newpage</w:t>
      </w:r>
    </w:p>
    <w:bookmarkEnd w:id="9"/>
    <w:bookmarkStart w:id="10" w:name="表22-本文使用的主要统计口径"/>
    <w:p>
      <w:pPr>
        <w:pStyle w:val="Heading1"/>
      </w:pPr>
      <w:r>
        <w:rPr>
          <w:rFonts w:hint="eastAsia"/>
        </w:rPr>
        <w:t xml:space="preserve">表2.2</w:t>
      </w:r>
      <w:r>
        <w:t xml:space="preserve"> </w:t>
      </w:r>
      <w:r>
        <w:rPr>
          <w:rFonts w:hint="eastAsia"/>
        </w:rPr>
        <w:t xml:space="preserve">本文使用的主要统计口径</w:t>
      </w:r>
    </w:p>
    <w:p>
      <w:pPr>
        <w:pStyle w:val="FirstParagraph"/>
      </w:pPr>
      <w:r>
        <w:t xml:space="preserve">Table 2.2 The main statistical calibers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关键控制/排除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主要解释目标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首会话命中率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仅纯</w:t>
            </w:r>
            <w:r>
              <w:t xml:space="preserve"> LightWater </w:t>
            </w:r>
            <w:r>
              <w:rPr>
                <w:rFonts w:hint="eastAsia"/>
              </w:rPr>
              <w:t xml:space="preserve">首会话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整体学习曲线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每会话或每鼠汇总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统一学习区段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现象是否稳定存在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ΔHit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每会话步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100% </w:t>
            </w:r>
            <w:r>
              <w:rPr>
                <w:rFonts w:hint="eastAsia"/>
              </w:rPr>
              <w:t xml:space="preserve">会话后的步长；控制前一会话表现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后续增长效率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重激活率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每鼠首会话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依赖跨天细胞身份匹配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旧集合调用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相对发散度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每鼠首会话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回合级</w:t>
            </w:r>
            <w:r>
              <w:t xml:space="preserve"> z-score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首会话稳定化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响应异质性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每鼠全会话</w:t>
            </w:r>
          </w:p>
        </w:tc>
        <w:tc>
          <w:tcPr/>
          <w:p>
            <w:pPr>
              <w:pStyle w:val="Compact"/>
            </w:pPr>
            <w:r>
              <w:t xml:space="preserve">1s </w:t>
            </w:r>
            <w:r>
              <w:rPr>
                <w:rFonts w:hint="eastAsia"/>
              </w:rPr>
              <w:t xml:space="preserve">z-score；限制在</w:t>
            </w:r>
            <w:r>
              <w:t xml:space="preserve"> [-1,1] </w:t>
            </w:r>
            <w:r>
              <w:rPr>
                <w:rFonts w:hint="eastAsia"/>
              </w:rPr>
              <w:t xml:space="preserve">细胞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群体内部分化程度</w:t>
            </w:r>
          </w:p>
        </w:tc>
      </w:tr>
    </w:tbl>
    <w:p>
      <w:pPr>
        <w:pStyle w:val="BodyText"/>
      </w:pPr>
      <w:r>
        <w:t xml:space="preserve">\newpage</w:t>
      </w:r>
    </w:p>
    <w:bookmarkEnd w:id="10"/>
    <w:bookmarkStart w:id="11" w:name="表3-1-迁移学习日程"/>
    <w:p>
      <w:pPr>
        <w:pStyle w:val="Heading1"/>
      </w:pPr>
      <w:r>
        <w:rPr>
          <w:rFonts w:hint="eastAsia"/>
        </w:rPr>
        <w:t xml:space="preserve">表3-1</w:t>
      </w:r>
      <w:r>
        <w:t xml:space="preserve"> </w:t>
      </w:r>
      <w:r>
        <w:rPr>
          <w:rFonts w:hint="eastAsia"/>
        </w:rPr>
        <w:t xml:space="preserve">迁移学习日程</w:t>
      </w:r>
    </w:p>
    <w:p>
      <w:pPr>
        <w:pStyle w:val="FirstParagraph"/>
      </w:pPr>
      <w:r>
        <w:t xml:space="preserve">Table 3-1 Transfer learning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🔊💡组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💡🔊组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初始阶段</w:t>
            </w:r>
          </w:p>
        </w:tc>
        <w:tc>
          <w:tcPr/>
          <w:p>
            <w:pPr>
              <w:pStyle w:val="Compact"/>
            </w:pPr>
            <w:r>
              <w:t xml:space="preserve">🔊💧</w:t>
            </w:r>
          </w:p>
        </w:tc>
        <w:tc>
          <w:tcPr/>
          <w:p>
            <w:pPr>
              <w:pStyle w:val="Compact"/>
            </w:pPr>
            <w:r>
              <w:t xml:space="preserve">💡💧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初始过程</w:t>
            </w:r>
          </w:p>
        </w:tc>
        <w:tc>
          <w:tcPr/>
          <w:p>
            <w:pPr>
              <w:pStyle w:val="Compact"/>
            </w:pPr>
            <w:r>
              <w:t xml:space="preserve">……</w:t>
            </w:r>
          </w:p>
        </w:tc>
        <w:tc>
          <w:tcPr/>
          <w:p>
            <w:pPr>
              <w:pStyle w:val="Compact"/>
            </w:pPr>
            <w:r>
              <w:t xml:space="preserve">……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学会阶段</w:t>
            </w:r>
          </w:p>
        </w:tc>
        <w:tc>
          <w:tcPr/>
          <w:p>
            <w:pPr>
              <w:pStyle w:val="Compact"/>
            </w:pPr>
            <w:r>
              <w:t xml:space="preserve">🔊💧100%</w:t>
            </w:r>
          </w:p>
        </w:tc>
        <w:tc>
          <w:tcPr/>
          <w:p>
            <w:pPr>
              <w:pStyle w:val="Compact"/>
            </w:pPr>
            <w:r>
              <w:t xml:space="preserve">💡💧100%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迁移阶段</w:t>
            </w:r>
          </w:p>
        </w:tc>
        <w:tc>
          <w:tcPr/>
          <w:p>
            <w:pPr>
              <w:pStyle w:val="Compact"/>
            </w:pPr>
            <w:r>
              <w:t xml:space="preserve">💡💧</w:t>
            </w:r>
          </w:p>
        </w:tc>
        <w:tc>
          <w:tcPr/>
          <w:p>
            <w:pPr>
              <w:pStyle w:val="Compact"/>
            </w:pPr>
            <w:r>
              <w:t xml:space="preserve">🔊💧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迁移过程</w:t>
            </w:r>
          </w:p>
        </w:tc>
        <w:tc>
          <w:tcPr/>
          <w:p>
            <w:pPr>
              <w:pStyle w:val="Compact"/>
            </w:pPr>
            <w:r>
              <w:t xml:space="preserve">……</w:t>
            </w:r>
          </w:p>
        </w:tc>
        <w:tc>
          <w:tcPr/>
          <w:p>
            <w:pPr>
              <w:pStyle w:val="Compact"/>
            </w:pPr>
            <w:r>
              <w:t xml:space="preserve">……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最终阶段</w:t>
            </w:r>
          </w:p>
        </w:tc>
        <w:tc>
          <w:tcPr/>
          <w:p>
            <w:pPr>
              <w:pStyle w:val="Compact"/>
            </w:pPr>
            <w:r>
              <w:t xml:space="preserve">💡💧100%</w:t>
            </w:r>
          </w:p>
        </w:tc>
        <w:tc>
          <w:tcPr/>
          <w:p>
            <w:pPr>
              <w:pStyle w:val="Compact"/>
            </w:pPr>
            <w:r>
              <w:t xml:space="preserve">🔊💧100%</w:t>
            </w:r>
          </w:p>
        </w:tc>
      </w:tr>
    </w:tbl>
    <w:p>
      <w:pPr>
        <w:pStyle w:val="BodyText"/>
      </w:pPr>
      <w:r>
        <w:t xml:space="preserve">\newpage</w:t>
      </w:r>
    </w:p>
    <w:bookmarkEnd w:id="11"/>
    <w:bookmarkStart w:id="12" w:name="表4-1-1-核心问答总结"/>
    <w:p>
      <w:pPr>
        <w:pStyle w:val="Heading1"/>
      </w:pPr>
      <w:r>
        <w:rPr>
          <w:rFonts w:hint="eastAsia"/>
        </w:rPr>
        <w:t xml:space="preserve">表4-1-1</w:t>
      </w:r>
      <w:r>
        <w:t xml:space="preserve"> </w:t>
      </w:r>
      <w:r>
        <w:rPr>
          <w:rFonts w:hint="eastAsia"/>
        </w:rPr>
        <w:t xml:space="preserve">核心问答总结</w:t>
      </w:r>
    </w:p>
    <w:p>
      <w:pPr>
        <w:pStyle w:val="FirstParagraph"/>
      </w:pPr>
      <w:r>
        <w:t xml:space="preserve">Table 4-1-1 Summary of Key Questions and Answers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什么是迁移学习？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本文所述迁移学习，集中在“学会了声音提示的舔水任务后”，再去学光提示的舔水，会学得更快（相比于初始直接学光舔水）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什么叫“学得更快”？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拆分为两个指标：一是对新任务有更高的泛化样行为表现，二是新任务的继续训练中行为增长也更快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迁移行为更高的机制是什么？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通过重激活旧任务中活跃的细胞群体，新提示信号可以更高概率激活原有网络驱动行为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迁移增长更快的机制是什么？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每个细胞被旧任务框架极化成了明确的“正向强化”或“负向强化”角色，使得状态以更接近笔直的最短路径通向最终学会状态；而初始学习中的细胞往往要在正/负两种角色中反复横跳才能最终确定极化方向。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关键脑区的功能？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MOp2/3层提取旧任务记忆，MOp5层细胞极化推进快速增长，TH支援MOp5的极化，RSP则作为视觉输入的前端门控。</w:t>
            </w:r>
          </w:p>
        </w:tc>
      </w:tr>
    </w:tbl>
    <w:p>
      <w:pPr>
        <w:pStyle w:val="BodyText"/>
      </w:pPr>
      <w:r>
        <w:t xml:space="preserve">\newpage</w:t>
      </w:r>
    </w:p>
    <w:bookmarkEnd w:id="12"/>
    <w:bookmarkStart w:id="13" w:name="表4-2-1-不同脑区和分层在迁移中的作用"/>
    <w:p>
      <w:pPr>
        <w:pStyle w:val="Heading1"/>
      </w:pPr>
      <w:r>
        <w:rPr>
          <w:rFonts w:hint="eastAsia"/>
        </w:rPr>
        <w:t xml:space="preserve">表4-2-1</w:t>
      </w:r>
      <w:r>
        <w:t xml:space="preserve"> </w:t>
      </w:r>
      <w:r>
        <w:rPr>
          <w:rFonts w:hint="eastAsia"/>
        </w:rPr>
        <w:t xml:space="preserve">不同脑区和分层在迁移中的作用</w:t>
      </w:r>
    </w:p>
    <w:p>
      <w:pPr>
        <w:pStyle w:val="FirstParagraph"/>
      </w:pPr>
      <w:r>
        <w:t xml:space="preserve">Table 4-2-1 The role of different brain regions and layers in transfer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空间/阶段</w:t>
            </w:r>
          </w:p>
        </w:tc>
        <w:tc>
          <w:tcPr/>
          <w:p>
            <w:pPr>
              <w:pStyle w:val="Compact"/>
            </w:pPr>
            <w:r>
              <w:t xml:space="preserve">1 s </w:t>
            </w:r>
            <w:r>
              <w:rPr>
                <w:rFonts w:hint="eastAsia"/>
              </w:rPr>
              <w:t xml:space="preserve">左右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跨会话学习过程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MOp2/3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重激活旧任务相关群体并稳定进入动作相关轨迹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维持旧结构调用带来的低散度起点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体现部分层特异性行为转化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表现为更高响应异质性与更直接的更新路径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影响皮层响应组织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支持后续更新效率而非单纯首会话提取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对光提示更敏感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更像输入端辅助节点而非核心瓶颈</w:t>
            </w:r>
          </w:p>
        </w:tc>
      </w:tr>
    </w:tbl>
    <w:p>
      <w:pPr>
        <w:pStyle w:val="BodyText"/>
      </w:pPr>
      <w:r>
        <w:t xml:space="preserve">\newpage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2026-03-19T05:59:45Z</dcterms:created>
  <dcterms:modified xsi:type="dcterms:W3CDTF">2026-03-19T05:59:45Z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