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2C881" w14:textId="160F0DC3" w:rsidR="00F521E3" w:rsidRDefault="00B447CC" w:rsidP="000C27C4">
      <w:pPr>
        <w:pStyle w:val="a3"/>
      </w:pPr>
      <w:r>
        <w:rPr>
          <w:rFonts w:hint="eastAsia"/>
        </w:rPr>
        <w:t>Temporal persistency</w:t>
      </w:r>
      <w:r w:rsidR="000C27C4">
        <w:rPr>
          <w:rFonts w:hint="eastAsia"/>
        </w:rPr>
        <w:t xml:space="preserve"> and </w:t>
      </w:r>
      <w:r w:rsidR="00552FE5">
        <w:rPr>
          <w:rFonts w:hint="eastAsia"/>
        </w:rPr>
        <w:t>popular differentiation</w:t>
      </w:r>
      <w:r w:rsidR="000C27C4">
        <w:rPr>
          <w:rFonts w:hint="eastAsia"/>
        </w:rPr>
        <w:t xml:space="preserve"> facilitate cross-modal transfer learning</w:t>
      </w:r>
    </w:p>
    <w:p w14:paraId="52911293" w14:textId="5AC541F0" w:rsidR="006445DD" w:rsidRDefault="006445DD" w:rsidP="006445DD">
      <w:pPr>
        <w:pStyle w:val="1"/>
      </w:pPr>
      <w:r>
        <w:rPr>
          <w:rFonts w:hint="eastAsia"/>
        </w:rPr>
        <w:t>Outline:</w:t>
      </w:r>
    </w:p>
    <w:p w14:paraId="2147E1B9" w14:textId="0E05A6BC" w:rsidR="006445DD" w:rsidRDefault="006445DD" w:rsidP="006445DD">
      <w:r>
        <w:rPr>
          <w:rFonts w:hint="eastAsia"/>
          <w:noProof/>
        </w:rPr>
        <w:drawing>
          <wp:inline distT="0" distB="0" distL="0" distR="0" wp14:anchorId="09DA412F" wp14:editId="0DAC6EDC">
            <wp:extent cx="5486400" cy="3200400"/>
            <wp:effectExtent l="0" t="0" r="0" b="57150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1166B2EC" w14:textId="39550F18" w:rsidR="00732263" w:rsidRPr="006445DD" w:rsidRDefault="00732263" w:rsidP="006445DD">
      <w:pPr>
        <w:rPr>
          <w:rFonts w:hint="eastAsia"/>
        </w:rPr>
      </w:pPr>
      <w:r>
        <w:rPr>
          <w:rFonts w:hint="eastAsia"/>
        </w:rPr>
        <w:t>首先</w:t>
      </w:r>
      <w:r>
        <w:rPr>
          <w:rFonts w:hint="eastAsia"/>
        </w:rPr>
        <w:t>Fig1</w:t>
      </w:r>
      <w:r>
        <w:rPr>
          <w:rFonts w:hint="eastAsia"/>
        </w:rPr>
        <w:t>列出两条主线结论：持续存在的稳定编码结构（低散度）保证首个训练单元的命中（早期表现），以及细胞间分化（响应异质性）相关于学习速度。然后</w:t>
      </w:r>
      <w:r>
        <w:rPr>
          <w:rFonts w:hint="eastAsia"/>
        </w:rPr>
        <w:t>Fig2,3</w:t>
      </w:r>
      <w:r>
        <w:rPr>
          <w:rFonts w:hint="eastAsia"/>
        </w:rPr>
        <w:t>展开第一条线：</w:t>
      </w:r>
      <w:r>
        <w:rPr>
          <w:rFonts w:hint="eastAsia"/>
        </w:rPr>
        <w:t>Fig2</w:t>
      </w:r>
      <w:r>
        <w:rPr>
          <w:rFonts w:hint="eastAsia"/>
        </w:rPr>
        <w:t>先用解码器说明</w:t>
      </w:r>
      <w:r>
        <w:rPr>
          <w:rFonts w:hint="eastAsia"/>
        </w:rPr>
        <w:t>MO</w:t>
      </w:r>
      <w:r>
        <w:rPr>
          <w:rFonts w:hint="eastAsia"/>
        </w:rPr>
        <w:t>确实编码了任务信息且可以迁移且依赖相关细胞群体（</w:t>
      </w:r>
      <w:r>
        <w:rPr>
          <w:rFonts w:hint="eastAsia"/>
        </w:rPr>
        <w:t>cFos</w:t>
      </w:r>
      <w:r>
        <w:rPr>
          <w:rFonts w:hint="eastAsia"/>
        </w:rPr>
        <w:t>），</w:t>
      </w:r>
      <w:r>
        <w:rPr>
          <w:rFonts w:hint="eastAsia"/>
        </w:rPr>
        <w:t>Fig3</w:t>
      </w:r>
      <w:r>
        <w:rPr>
          <w:rFonts w:hint="eastAsia"/>
        </w:rPr>
        <w:t>再隔</w:t>
      </w:r>
      <w:r>
        <w:rPr>
          <w:rFonts w:hint="eastAsia"/>
        </w:rPr>
        <w:t>7</w:t>
      </w:r>
      <w:r>
        <w:rPr>
          <w:rFonts w:hint="eastAsia"/>
        </w:rPr>
        <w:t>天说明时间长了以后行为下降、解码器无法迁移。最后</w:t>
      </w:r>
      <w:r>
        <w:rPr>
          <w:rFonts w:hint="eastAsia"/>
        </w:rPr>
        <w:t>Fig4,5</w:t>
      </w:r>
      <w:r>
        <w:rPr>
          <w:rFonts w:hint="eastAsia"/>
        </w:rPr>
        <w:t>展开第二条线：</w:t>
      </w:r>
      <w:r>
        <w:rPr>
          <w:rFonts w:hint="eastAsia"/>
        </w:rPr>
        <w:t>Fig4</w:t>
      </w:r>
      <w:r>
        <w:rPr>
          <w:rFonts w:hint="eastAsia"/>
        </w:rPr>
        <w:t>讲响应异质性受</w:t>
      </w:r>
      <w:r>
        <w:rPr>
          <w:rFonts w:hint="eastAsia"/>
        </w:rPr>
        <w:t>TH</w:t>
      </w:r>
      <w:r>
        <w:rPr>
          <w:rFonts w:hint="eastAsia"/>
        </w:rPr>
        <w:t>调制，</w:t>
      </w:r>
      <w:r>
        <w:rPr>
          <w:rFonts w:hint="eastAsia"/>
        </w:rPr>
        <w:t>TH</w:t>
      </w:r>
      <w:r>
        <w:rPr>
          <w:rFonts w:hint="eastAsia"/>
        </w:rPr>
        <w:t>抑制则学习减慢、异质性下降；</w:t>
      </w:r>
      <w:r>
        <w:rPr>
          <w:rFonts w:hint="eastAsia"/>
        </w:rPr>
        <w:t>Fig5</w:t>
      </w:r>
      <w:r>
        <w:rPr>
          <w:rFonts w:hint="eastAsia"/>
        </w:rPr>
        <w:t>讲</w:t>
      </w:r>
    </w:p>
    <w:p w14:paraId="2E5AA7E3" w14:textId="6BE0ABA6" w:rsidR="00F521E3" w:rsidRDefault="00552FE5" w:rsidP="00552FE5">
      <w:pPr>
        <w:pStyle w:val="1"/>
      </w:pPr>
      <w:r>
        <w:rPr>
          <w:rFonts w:hint="eastAsia"/>
        </w:rPr>
        <w:lastRenderedPageBreak/>
        <w:t xml:space="preserve">Figure 1: </w:t>
      </w:r>
      <w:r w:rsidR="00B447CC">
        <w:rPr>
          <w:rFonts w:hint="eastAsia"/>
        </w:rPr>
        <w:t xml:space="preserve">Inter-trial stability and inter-cell </w:t>
      </w:r>
      <w:r w:rsidR="00B447CC">
        <w:t>heterogeneity</w:t>
      </w:r>
      <w:r w:rsidR="00B447CC">
        <w:rPr>
          <w:rFonts w:hint="eastAsia"/>
        </w:rPr>
        <w:t xml:space="preserve"> of the cortical response</w:t>
      </w:r>
      <w:r>
        <w:rPr>
          <w:rFonts w:hint="eastAsia"/>
        </w:rPr>
        <w:t xml:space="preserve"> </w:t>
      </w:r>
      <w:r w:rsidR="00B447CC">
        <w:rPr>
          <w:rFonts w:hint="eastAsia"/>
        </w:rPr>
        <w:t>of the transfer task</w:t>
      </w:r>
    </w:p>
    <w:p w14:paraId="729F1F47" w14:textId="0EFB9451" w:rsidR="00732263" w:rsidRPr="00732263" w:rsidRDefault="00732263" w:rsidP="0073226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475AC35" wp14:editId="601D01FE">
            <wp:extent cx="5400675" cy="7199114"/>
            <wp:effectExtent l="0" t="0" r="0" b="1905"/>
            <wp:docPr id="2" name="图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形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19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D3C0" w14:textId="6A235E52" w:rsidR="00552FE5" w:rsidRDefault="00552FE5" w:rsidP="00552FE5">
      <w:pPr>
        <w:pStyle w:val="a9"/>
        <w:numPr>
          <w:ilvl w:val="0"/>
          <w:numId w:val="19"/>
        </w:numPr>
        <w:ind w:firstLineChars="0"/>
      </w:pPr>
      <w:r>
        <w:rPr>
          <w:rFonts w:hint="eastAsia"/>
        </w:rPr>
        <w:t xml:space="preserve">Diagram of </w:t>
      </w:r>
      <w:r w:rsidR="00B447CC">
        <w:rPr>
          <w:rFonts w:hint="eastAsia"/>
        </w:rPr>
        <w:t>cross-modal transfer learning</w:t>
      </w:r>
    </w:p>
    <w:p w14:paraId="07F5CDD0" w14:textId="315820D7" w:rsidR="00552FE5" w:rsidRDefault="00552FE5" w:rsidP="00552FE5">
      <w:pPr>
        <w:pStyle w:val="a9"/>
        <w:numPr>
          <w:ilvl w:val="0"/>
          <w:numId w:val="19"/>
        </w:numPr>
        <w:ind w:firstLineChars="0"/>
      </w:pPr>
      <w:r>
        <w:rPr>
          <w:rFonts w:hint="eastAsia"/>
        </w:rPr>
        <w:t>Performance advantage of transfer: first-block hit rate and learning slope</w:t>
      </w:r>
    </w:p>
    <w:p w14:paraId="546C7630" w14:textId="7522D3FF" w:rsidR="00552FE5" w:rsidRDefault="00552FE5" w:rsidP="00552FE5">
      <w:pPr>
        <w:pStyle w:val="a9"/>
        <w:numPr>
          <w:ilvl w:val="0"/>
          <w:numId w:val="19"/>
        </w:numPr>
        <w:ind w:firstLineChars="0"/>
      </w:pPr>
      <w:r>
        <w:rPr>
          <w:rFonts w:hint="eastAsia"/>
        </w:rPr>
        <w:t>Diagram of</w:t>
      </w:r>
      <w:r w:rsidR="00B447CC">
        <w:rPr>
          <w:rFonts w:hint="eastAsia"/>
        </w:rPr>
        <w:t xml:space="preserve"> L2/5</w:t>
      </w:r>
      <w:r>
        <w:rPr>
          <w:rFonts w:hint="eastAsia"/>
        </w:rPr>
        <w:t xml:space="preserve"> two-photon imaging</w:t>
      </w:r>
    </w:p>
    <w:p w14:paraId="7465DDFC" w14:textId="2F6E4AB4" w:rsidR="00552FE5" w:rsidRDefault="00B447CC" w:rsidP="00552FE5">
      <w:pPr>
        <w:pStyle w:val="a9"/>
        <w:numPr>
          <w:ilvl w:val="0"/>
          <w:numId w:val="19"/>
        </w:numPr>
        <w:ind w:firstLineChars="0"/>
      </w:pPr>
      <w:r>
        <w:rPr>
          <w:rFonts w:hint="eastAsia"/>
        </w:rPr>
        <w:t xml:space="preserve">Representative trials of </w:t>
      </w:r>
      <w:r>
        <w:t>naïve</w:t>
      </w:r>
      <w:r>
        <w:rPr>
          <w:rFonts w:hint="eastAsia"/>
        </w:rPr>
        <w:t>/transfer light water</w:t>
      </w:r>
    </w:p>
    <w:p w14:paraId="30636471" w14:textId="20239291" w:rsidR="00B447CC" w:rsidRDefault="00B447CC" w:rsidP="00552FE5">
      <w:pPr>
        <w:pStyle w:val="a9"/>
        <w:numPr>
          <w:ilvl w:val="0"/>
          <w:numId w:val="19"/>
        </w:numPr>
        <w:ind w:firstLineChars="0"/>
      </w:pPr>
      <w:r>
        <w:rPr>
          <w:rFonts w:hint="eastAsia"/>
        </w:rPr>
        <w:t xml:space="preserve">Inter-trial divergence: transfer lower than </w:t>
      </w:r>
      <w:r>
        <w:t>naïve</w:t>
      </w:r>
      <w:r>
        <w:rPr>
          <w:rFonts w:hint="eastAsia"/>
        </w:rPr>
        <w:t xml:space="preserve"> in L2 but not L5</w:t>
      </w:r>
    </w:p>
    <w:p w14:paraId="7F38C67E" w14:textId="3E707FFD" w:rsidR="00B447CC" w:rsidRDefault="00B447CC" w:rsidP="00552FE5">
      <w:pPr>
        <w:pStyle w:val="a9"/>
        <w:numPr>
          <w:ilvl w:val="0"/>
          <w:numId w:val="19"/>
        </w:numPr>
        <w:ind w:firstLineChars="0"/>
      </w:pPr>
      <w:r>
        <w:rPr>
          <w:rFonts w:hint="eastAsia"/>
        </w:rPr>
        <w:t>Correlation of divergence vs. first-block hit rate</w:t>
      </w:r>
    </w:p>
    <w:p w14:paraId="40941BAB" w14:textId="402E29EB" w:rsidR="00552FE5" w:rsidRDefault="00570255" w:rsidP="00F521E3">
      <w:pPr>
        <w:pStyle w:val="a9"/>
        <w:numPr>
          <w:ilvl w:val="0"/>
          <w:numId w:val="19"/>
        </w:numPr>
        <w:ind w:firstLineChars="0"/>
      </w:pPr>
      <w:r>
        <w:rPr>
          <w:rFonts w:hint="eastAsia"/>
        </w:rPr>
        <w:t>3D-heatmap and histogram showing response heterogeneity</w:t>
      </w:r>
    </w:p>
    <w:p w14:paraId="2FAAEF3C" w14:textId="422BFF1C" w:rsidR="00A06F2D" w:rsidRDefault="00A06F2D" w:rsidP="00F521E3">
      <w:pPr>
        <w:pStyle w:val="a9"/>
        <w:numPr>
          <w:ilvl w:val="0"/>
          <w:numId w:val="19"/>
        </w:numPr>
        <w:ind w:firstLineChars="0"/>
      </w:pPr>
      <w:r>
        <w:rPr>
          <w:rFonts w:hint="eastAsia"/>
        </w:rPr>
        <w:t xml:space="preserve">Transfer RH higher than </w:t>
      </w:r>
      <w:r>
        <w:t>naïv</w:t>
      </w:r>
      <w:r>
        <w:rPr>
          <w:rFonts w:hint="eastAsia"/>
        </w:rPr>
        <w:t>e</w:t>
      </w:r>
    </w:p>
    <w:p w14:paraId="2A11098A" w14:textId="3D08B35C" w:rsidR="00A06F2D" w:rsidRDefault="00A06F2D" w:rsidP="00F521E3">
      <w:pPr>
        <w:pStyle w:val="a9"/>
        <w:numPr>
          <w:ilvl w:val="0"/>
          <w:numId w:val="19"/>
        </w:numPr>
        <w:ind w:firstLineChars="0"/>
      </w:pPr>
      <w:r>
        <w:rPr>
          <w:rFonts w:hint="eastAsia"/>
        </w:rPr>
        <w:t>RH correlates with learning slope</w:t>
      </w:r>
    </w:p>
    <w:p w14:paraId="7BC9D90F" w14:textId="2C5A3792" w:rsidR="00732263" w:rsidRDefault="00732263" w:rsidP="00732263">
      <w:pPr>
        <w:pStyle w:val="1"/>
        <w:rPr>
          <w:rFonts w:hint="eastAsia"/>
        </w:rPr>
      </w:pPr>
      <w:r>
        <w:rPr>
          <w:rFonts w:hint="eastAsia"/>
        </w:rPr>
        <w:t>Figure S1: Undelayed paradigm and reactivation</w:t>
      </w:r>
    </w:p>
    <w:p w14:paraId="3FE7D680" w14:textId="62D1A430" w:rsidR="00732263" w:rsidRDefault="00732263" w:rsidP="00732263">
      <w:pPr>
        <w:pStyle w:val="a9"/>
        <w:numPr>
          <w:ilvl w:val="0"/>
          <w:numId w:val="24"/>
        </w:numPr>
        <w:ind w:firstLineChars="0"/>
      </w:pPr>
      <w:r>
        <w:rPr>
          <w:rFonts w:hint="eastAsia"/>
        </w:rPr>
        <w:t>Undelayed diagram</w:t>
      </w:r>
    </w:p>
    <w:p w14:paraId="2413D3F1" w14:textId="1071B634" w:rsidR="00732263" w:rsidRDefault="00732263" w:rsidP="00732263">
      <w:pPr>
        <w:pStyle w:val="a9"/>
        <w:numPr>
          <w:ilvl w:val="0"/>
          <w:numId w:val="24"/>
        </w:numPr>
        <w:ind w:firstLineChars="0"/>
      </w:pPr>
      <w:r>
        <w:rPr>
          <w:rFonts w:hint="eastAsia"/>
        </w:rPr>
        <w:t>Undelayed learning curve and first-block hit rate</w:t>
      </w:r>
    </w:p>
    <w:p w14:paraId="12C1A278" w14:textId="7B5FA4F2" w:rsidR="00732263" w:rsidRDefault="00732263" w:rsidP="00732263">
      <w:pPr>
        <w:pStyle w:val="a9"/>
        <w:numPr>
          <w:ilvl w:val="0"/>
          <w:numId w:val="24"/>
        </w:numPr>
        <w:ind w:firstLineChars="0"/>
      </w:pPr>
      <w:r>
        <w:rPr>
          <w:rFonts w:hint="eastAsia"/>
        </w:rPr>
        <w:t>Reactivation: heatmap</w:t>
      </w:r>
    </w:p>
    <w:p w14:paraId="2223C9AF" w14:textId="05C10D74" w:rsidR="00732263" w:rsidRDefault="00732263" w:rsidP="00732263">
      <w:pPr>
        <w:pStyle w:val="a9"/>
        <w:numPr>
          <w:ilvl w:val="0"/>
          <w:numId w:val="24"/>
        </w:numPr>
        <w:ind w:firstLineChars="0"/>
      </w:pPr>
      <w:r>
        <w:rPr>
          <w:rFonts w:hint="eastAsia"/>
        </w:rPr>
        <w:t>Reactivation: calcium curve</w:t>
      </w:r>
    </w:p>
    <w:p w14:paraId="298D5E62" w14:textId="1142BE92" w:rsidR="00732263" w:rsidRDefault="00732263" w:rsidP="00732263">
      <w:pPr>
        <w:pStyle w:val="a9"/>
        <w:numPr>
          <w:ilvl w:val="0"/>
          <w:numId w:val="24"/>
        </w:numPr>
        <w:ind w:firstLineChars="0"/>
      </w:pPr>
      <w:r>
        <w:rPr>
          <w:rFonts w:hint="eastAsia"/>
        </w:rPr>
        <w:t>Reactivation: hit/miss comparison</w:t>
      </w:r>
    </w:p>
    <w:p w14:paraId="31242B4B" w14:textId="3AF996F8" w:rsidR="00732263" w:rsidRPr="00732263" w:rsidRDefault="00732263" w:rsidP="00732263">
      <w:pPr>
        <w:pStyle w:val="a9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Reactivation: pie chart of active proportion</w:t>
      </w:r>
    </w:p>
    <w:p w14:paraId="01507FD9" w14:textId="223580E0" w:rsidR="00CA4617" w:rsidRDefault="00CA4617" w:rsidP="00CA4617">
      <w:pPr>
        <w:pStyle w:val="1"/>
      </w:pPr>
      <w:r>
        <w:rPr>
          <w:rFonts w:hint="eastAsia"/>
        </w:rPr>
        <w:t xml:space="preserve">Figure 2: </w:t>
      </w:r>
      <w:r w:rsidR="002E14A6">
        <w:rPr>
          <w:rFonts w:hint="eastAsia"/>
        </w:rPr>
        <w:t xml:space="preserve">Encoding ensemble </w:t>
      </w:r>
      <w:r w:rsidR="00782307">
        <w:rPr>
          <w:rFonts w:hint="eastAsia"/>
        </w:rPr>
        <w:t>facilitates first-block pe</w:t>
      </w:r>
      <w:r w:rsidR="0094718A">
        <w:rPr>
          <w:rFonts w:hint="eastAsia"/>
        </w:rPr>
        <w:t>r</w:t>
      </w:r>
      <w:r w:rsidR="00782307">
        <w:rPr>
          <w:rFonts w:hint="eastAsia"/>
        </w:rPr>
        <w:t>formance</w:t>
      </w:r>
    </w:p>
    <w:p w14:paraId="197C3AB4" w14:textId="3E7F0CD7" w:rsidR="00732263" w:rsidRPr="00732263" w:rsidRDefault="00732263" w:rsidP="00732263">
      <w:pPr>
        <w:rPr>
          <w:rFonts w:hint="eastAsia"/>
        </w:rPr>
      </w:pPr>
      <w:r>
        <w:rPr>
          <w:rFonts w:hint="eastAsia"/>
        </w:rPr>
        <w:t>待与杨青宁工作整合……</w:t>
      </w:r>
    </w:p>
    <w:p w14:paraId="06B912D9" w14:textId="04E48454" w:rsidR="0020288C" w:rsidRDefault="000E16A5" w:rsidP="000E16A5">
      <w:pPr>
        <w:pStyle w:val="a9"/>
        <w:numPr>
          <w:ilvl w:val="0"/>
          <w:numId w:val="20"/>
        </w:numPr>
        <w:ind w:firstLineChars="0"/>
      </w:pPr>
      <w:r>
        <w:rPr>
          <w:rFonts w:hint="eastAsia"/>
        </w:rPr>
        <w:t>Diagram of decoder: from calcium to cue/behavior</w:t>
      </w:r>
    </w:p>
    <w:p w14:paraId="7D2A4E25" w14:textId="160751A5" w:rsidR="000E16A5" w:rsidRDefault="000E16A5" w:rsidP="000E16A5">
      <w:pPr>
        <w:pStyle w:val="a9"/>
        <w:numPr>
          <w:ilvl w:val="0"/>
          <w:numId w:val="20"/>
        </w:numPr>
        <w:ind w:firstLineChars="0"/>
      </w:pPr>
      <w:r>
        <w:rPr>
          <w:rFonts w:hint="eastAsia"/>
        </w:rPr>
        <w:t>Behavior decoder can transfer to light, but cue decoder cannot</w:t>
      </w:r>
    </w:p>
    <w:p w14:paraId="262D1B08" w14:textId="117E510E" w:rsidR="000E16A5" w:rsidRDefault="002E14A6" w:rsidP="000E16A5">
      <w:pPr>
        <w:pStyle w:val="a9"/>
        <w:numPr>
          <w:ilvl w:val="0"/>
          <w:numId w:val="20"/>
        </w:numPr>
        <w:ind w:firstLineChars="0"/>
      </w:pPr>
      <w:r>
        <w:rPr>
          <w:rFonts w:hint="eastAsia"/>
        </w:rPr>
        <w:t>Hit weights larger than miss weights</w:t>
      </w:r>
    </w:p>
    <w:p w14:paraId="5C71DE70" w14:textId="646612B7" w:rsidR="00452623" w:rsidRDefault="002E14A6" w:rsidP="00452623">
      <w:pPr>
        <w:pStyle w:val="a9"/>
        <w:numPr>
          <w:ilvl w:val="0"/>
          <w:numId w:val="20"/>
        </w:numPr>
        <w:ind w:firstLineChars="0"/>
      </w:pPr>
      <w:r>
        <w:rPr>
          <w:rFonts w:hint="eastAsia"/>
        </w:rPr>
        <w:t>Hit ce</w:t>
      </w:r>
      <w:r w:rsidR="00782307">
        <w:rPr>
          <w:rFonts w:hint="eastAsia"/>
        </w:rPr>
        <w:t>lls in hit trials are more convergent among trials than miss cells in miss trials</w:t>
      </w:r>
    </w:p>
    <w:p w14:paraId="0052CCC7" w14:textId="2862A28D" w:rsidR="00782307" w:rsidRDefault="00782307" w:rsidP="00782307">
      <w:pPr>
        <w:pStyle w:val="a9"/>
        <w:numPr>
          <w:ilvl w:val="0"/>
          <w:numId w:val="20"/>
        </w:numPr>
        <w:ind w:firstLineChars="0"/>
      </w:pPr>
      <w:r>
        <w:rPr>
          <w:rFonts w:hint="eastAsia"/>
        </w:rPr>
        <w:t>Activity of hit cells correlates with first-block hit rate, but miss cells do not.</w:t>
      </w:r>
    </w:p>
    <w:p w14:paraId="62144DC4" w14:textId="4574A2AA" w:rsidR="00782307" w:rsidRDefault="00782307" w:rsidP="00782307">
      <w:pPr>
        <w:pStyle w:val="a9"/>
        <w:numPr>
          <w:ilvl w:val="0"/>
          <w:numId w:val="20"/>
        </w:numPr>
        <w:ind w:firstLineChars="0"/>
      </w:pPr>
      <w:r>
        <w:rPr>
          <w:rFonts w:hint="eastAsia"/>
        </w:rPr>
        <w:t>Diagram of cFos-TRAP</w:t>
      </w:r>
    </w:p>
    <w:p w14:paraId="2821152A" w14:textId="3ECA872D" w:rsidR="00782307" w:rsidRDefault="00782307" w:rsidP="00782307">
      <w:pPr>
        <w:pStyle w:val="a9"/>
        <w:numPr>
          <w:ilvl w:val="0"/>
          <w:numId w:val="20"/>
        </w:numPr>
        <w:ind w:firstLineChars="0"/>
      </w:pPr>
      <w:r>
        <w:rPr>
          <w:rFonts w:hint="eastAsia"/>
        </w:rPr>
        <w:t>cFos expression</w:t>
      </w:r>
    </w:p>
    <w:p w14:paraId="61FBE1F1" w14:textId="290469C2" w:rsidR="00782307" w:rsidRDefault="00782307" w:rsidP="00782307">
      <w:pPr>
        <w:pStyle w:val="a9"/>
        <w:numPr>
          <w:ilvl w:val="0"/>
          <w:numId w:val="20"/>
        </w:numPr>
        <w:ind w:firstLineChars="0"/>
      </w:pPr>
      <w:r>
        <w:rPr>
          <w:rFonts w:hint="eastAsia"/>
        </w:rPr>
        <w:t>Lower first-block performance in cFos inhibition</w:t>
      </w:r>
    </w:p>
    <w:p w14:paraId="7D32292F" w14:textId="00817AB5" w:rsidR="00782307" w:rsidRDefault="00782307" w:rsidP="00782307">
      <w:pPr>
        <w:pStyle w:val="1"/>
      </w:pPr>
      <w:r>
        <w:rPr>
          <w:rFonts w:hint="eastAsia"/>
        </w:rPr>
        <w:t>Figure 3:</w:t>
      </w:r>
      <w:r w:rsidR="0094718A">
        <w:rPr>
          <w:rFonts w:hint="eastAsia"/>
        </w:rPr>
        <w:t xml:space="preserve"> </w:t>
      </w:r>
      <w:r w:rsidR="0094718A" w:rsidRPr="0094718A">
        <w:t xml:space="preserve">Stable </w:t>
      </w:r>
      <w:r w:rsidR="0094718A">
        <w:rPr>
          <w:rFonts w:hint="eastAsia"/>
        </w:rPr>
        <w:t>en</w:t>
      </w:r>
      <w:r w:rsidR="0094718A" w:rsidRPr="0094718A">
        <w:t xml:space="preserve">coding </w:t>
      </w:r>
      <w:r w:rsidR="0094718A">
        <w:rPr>
          <w:rFonts w:hint="eastAsia"/>
        </w:rPr>
        <w:t>ensemble</w:t>
      </w:r>
      <w:r w:rsidR="0094718A" w:rsidRPr="0094718A">
        <w:t xml:space="preserve"> </w:t>
      </w:r>
      <w:r w:rsidR="0094718A">
        <w:rPr>
          <w:rFonts w:hint="eastAsia"/>
        </w:rPr>
        <w:t>fades</w:t>
      </w:r>
      <w:r w:rsidR="0094718A" w:rsidRPr="0094718A">
        <w:t xml:space="preserve"> over time</w:t>
      </w:r>
    </w:p>
    <w:p w14:paraId="05766602" w14:textId="2ABB4AEF" w:rsidR="00732263" w:rsidRPr="00732263" w:rsidRDefault="00732263" w:rsidP="0073226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E367F40" wp14:editId="77826300">
            <wp:extent cx="5865159" cy="2880786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159" cy="288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7755" w14:textId="225B6228" w:rsidR="0094718A" w:rsidRDefault="0094718A" w:rsidP="0094718A">
      <w:pPr>
        <w:pStyle w:val="a9"/>
        <w:numPr>
          <w:ilvl w:val="0"/>
          <w:numId w:val="21"/>
        </w:numPr>
        <w:ind w:firstLineChars="0"/>
      </w:pPr>
      <w:r>
        <w:rPr>
          <w:rFonts w:hint="eastAsia"/>
        </w:rPr>
        <w:t>Diagram of 7-day gap</w:t>
      </w:r>
    </w:p>
    <w:p w14:paraId="493AB96C" w14:textId="4527DE47" w:rsidR="0094718A" w:rsidRDefault="006B59DD" w:rsidP="0094718A">
      <w:pPr>
        <w:pStyle w:val="a9"/>
        <w:numPr>
          <w:ilvl w:val="0"/>
          <w:numId w:val="21"/>
        </w:numPr>
        <w:ind w:firstLineChars="0"/>
      </w:pPr>
      <w:r>
        <w:rPr>
          <w:rFonts w:hint="eastAsia"/>
        </w:rPr>
        <w:t>Lower performance</w:t>
      </w:r>
      <w:r w:rsidR="0094718A">
        <w:rPr>
          <w:rFonts w:hint="eastAsia"/>
        </w:rPr>
        <w:t xml:space="preserve"> after 7 days</w:t>
      </w:r>
    </w:p>
    <w:p w14:paraId="44247E6F" w14:textId="42091EB4" w:rsidR="0094718A" w:rsidRDefault="006B59DD" w:rsidP="0094718A">
      <w:pPr>
        <w:pStyle w:val="a9"/>
        <w:numPr>
          <w:ilvl w:val="0"/>
          <w:numId w:val="21"/>
        </w:numPr>
        <w:ind w:firstLineChars="0"/>
      </w:pPr>
      <w:r>
        <w:rPr>
          <w:rFonts w:hint="eastAsia"/>
        </w:rPr>
        <w:t>Higher divergence after 7 days</w:t>
      </w:r>
    </w:p>
    <w:p w14:paraId="59DD0AB5" w14:textId="76609162" w:rsidR="006B59DD" w:rsidRDefault="006B59DD" w:rsidP="0094718A">
      <w:pPr>
        <w:pStyle w:val="a9"/>
        <w:numPr>
          <w:ilvl w:val="0"/>
          <w:numId w:val="21"/>
        </w:numPr>
        <w:ind w:firstLineChars="0"/>
      </w:pPr>
      <w:r>
        <w:rPr>
          <w:rFonts w:hint="eastAsia"/>
        </w:rPr>
        <w:t>Encoding ensemble does not transfer after 7 days</w:t>
      </w:r>
    </w:p>
    <w:p w14:paraId="2E5BE8ED" w14:textId="264A320A" w:rsidR="00E60468" w:rsidRDefault="006B59DD" w:rsidP="00E60468">
      <w:pPr>
        <w:pStyle w:val="a9"/>
        <w:numPr>
          <w:ilvl w:val="0"/>
          <w:numId w:val="21"/>
        </w:numPr>
        <w:ind w:firstLineChars="0"/>
      </w:pPr>
      <w:r>
        <w:rPr>
          <w:rFonts w:hint="eastAsia"/>
        </w:rPr>
        <w:t>Encoding ensemble is inactive after 7 days</w:t>
      </w:r>
    </w:p>
    <w:p w14:paraId="307B06E5" w14:textId="10246F52" w:rsidR="00E60468" w:rsidRDefault="00E60468" w:rsidP="00E60468">
      <w:pPr>
        <w:pStyle w:val="1"/>
      </w:pPr>
      <w:r>
        <w:rPr>
          <w:rFonts w:hint="eastAsia"/>
        </w:rPr>
        <w:t>Figure 4: Indirect manipulation</w:t>
      </w:r>
      <w:r w:rsidR="0047134C">
        <w:rPr>
          <w:rFonts w:hint="eastAsia"/>
        </w:rPr>
        <w:t xml:space="preserve"> on heterogeneity</w:t>
      </w:r>
      <w:r>
        <w:rPr>
          <w:rFonts w:hint="eastAsia"/>
        </w:rPr>
        <w:t>: TH inhibition</w:t>
      </w:r>
    </w:p>
    <w:p w14:paraId="1E808E57" w14:textId="15428706" w:rsidR="00732263" w:rsidRPr="00732263" w:rsidRDefault="00732263" w:rsidP="0073226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442BDAF" wp14:editId="6042A35F">
            <wp:extent cx="5497247" cy="2880786"/>
            <wp:effectExtent l="0" t="0" r="825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247" cy="288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FCDC" w14:textId="3F78CD58" w:rsidR="00E60468" w:rsidRDefault="00E60468" w:rsidP="00E60468">
      <w:pPr>
        <w:pStyle w:val="a9"/>
        <w:numPr>
          <w:ilvl w:val="0"/>
          <w:numId w:val="23"/>
        </w:numPr>
        <w:ind w:firstLineChars="0"/>
      </w:pPr>
      <w:r>
        <w:rPr>
          <w:rFonts w:hint="eastAsia"/>
        </w:rPr>
        <w:t>Diagram of TH inhibition</w:t>
      </w:r>
    </w:p>
    <w:p w14:paraId="4A9BE030" w14:textId="7FFF4210" w:rsidR="00E60468" w:rsidRDefault="00E60468" w:rsidP="00E60468">
      <w:pPr>
        <w:pStyle w:val="a9"/>
        <w:numPr>
          <w:ilvl w:val="0"/>
          <w:numId w:val="23"/>
        </w:numPr>
        <w:ind w:firstLineChars="0"/>
      </w:pPr>
      <w:r>
        <w:rPr>
          <w:rFonts w:hint="eastAsia"/>
        </w:rPr>
        <w:t>Expression</w:t>
      </w:r>
    </w:p>
    <w:p w14:paraId="18A22F46" w14:textId="2CD3D23D" w:rsidR="00E60468" w:rsidRDefault="00E60468" w:rsidP="00E60468">
      <w:pPr>
        <w:pStyle w:val="a9"/>
        <w:numPr>
          <w:ilvl w:val="0"/>
          <w:numId w:val="23"/>
        </w:numPr>
        <w:ind w:firstLineChars="0"/>
      </w:pPr>
      <w:r>
        <w:rPr>
          <w:rFonts w:hint="eastAsia"/>
        </w:rPr>
        <w:t>Learning curve: lower slope but not first-block performance</w:t>
      </w:r>
    </w:p>
    <w:p w14:paraId="75889728" w14:textId="7DB369FA" w:rsidR="00E60468" w:rsidRPr="00E60468" w:rsidRDefault="00F60885" w:rsidP="00E60468">
      <w:pPr>
        <w:pStyle w:val="a9"/>
        <w:numPr>
          <w:ilvl w:val="0"/>
          <w:numId w:val="23"/>
        </w:numPr>
        <w:ind w:firstLineChars="0"/>
      </w:pPr>
      <w:r>
        <w:rPr>
          <w:rFonts w:hint="eastAsia"/>
        </w:rPr>
        <w:t>Lower population heterogeneity</w:t>
      </w:r>
    </w:p>
    <w:p w14:paraId="55F363B9" w14:textId="729373A1" w:rsidR="006B59DD" w:rsidRDefault="00DB3B65" w:rsidP="00DB3B65">
      <w:pPr>
        <w:pStyle w:val="1"/>
      </w:pPr>
      <w:r>
        <w:rPr>
          <w:rFonts w:hint="eastAsia"/>
        </w:rPr>
        <w:t xml:space="preserve">Figure </w:t>
      </w:r>
      <w:r w:rsidR="00E60468">
        <w:rPr>
          <w:rFonts w:hint="eastAsia"/>
        </w:rPr>
        <w:t>5</w:t>
      </w:r>
      <w:r>
        <w:rPr>
          <w:rFonts w:hint="eastAsia"/>
        </w:rPr>
        <w:t xml:space="preserve">: </w:t>
      </w:r>
      <w:r w:rsidR="00E60468">
        <w:rPr>
          <w:rFonts w:hint="eastAsia"/>
        </w:rPr>
        <w:t xml:space="preserve">Validation of response </w:t>
      </w:r>
      <w:r w:rsidR="00E60468">
        <w:t>heterogeneity</w:t>
      </w:r>
      <w:r w:rsidR="00E60468">
        <w:rPr>
          <w:rFonts w:hint="eastAsia"/>
        </w:rPr>
        <w:t xml:space="preserve"> on RNN model</w:t>
      </w:r>
    </w:p>
    <w:p w14:paraId="25DB792E" w14:textId="654BFADF" w:rsidR="00732263" w:rsidRPr="00732263" w:rsidRDefault="00732263" w:rsidP="0073226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EE4258A" wp14:editId="0F30DAB2">
            <wp:extent cx="5940170" cy="2880786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70" cy="288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70FE" w14:textId="28CC4E7B" w:rsidR="00E60468" w:rsidRDefault="00E60468" w:rsidP="00E60468">
      <w:pPr>
        <w:pStyle w:val="a9"/>
        <w:numPr>
          <w:ilvl w:val="0"/>
          <w:numId w:val="22"/>
        </w:numPr>
        <w:ind w:firstLineChars="0"/>
      </w:pPr>
      <w:r>
        <w:rPr>
          <w:rFonts w:hint="eastAsia"/>
        </w:rPr>
        <w:t>RNN model diagram</w:t>
      </w:r>
    </w:p>
    <w:p w14:paraId="26C93369" w14:textId="615263E0" w:rsidR="00E60468" w:rsidRDefault="00E60468" w:rsidP="00E60468">
      <w:pPr>
        <w:pStyle w:val="a9"/>
        <w:numPr>
          <w:ilvl w:val="0"/>
          <w:numId w:val="22"/>
        </w:numPr>
        <w:ind w:firstLineChars="0"/>
      </w:pPr>
      <w:r>
        <w:rPr>
          <w:rFonts w:hint="eastAsia"/>
        </w:rPr>
        <w:t>Model learning curve</w:t>
      </w:r>
    </w:p>
    <w:p w14:paraId="7CBC7A0F" w14:textId="0D3799BD" w:rsidR="00E60468" w:rsidRDefault="00E60468" w:rsidP="00E60468">
      <w:pPr>
        <w:pStyle w:val="a9"/>
        <w:numPr>
          <w:ilvl w:val="0"/>
          <w:numId w:val="22"/>
        </w:numPr>
        <w:ind w:firstLineChars="0"/>
      </w:pPr>
      <w:r>
        <w:rPr>
          <w:rFonts w:hint="eastAsia"/>
        </w:rPr>
        <w:t xml:space="preserve">Heatmap showing </w:t>
      </w:r>
      <w:r>
        <w:t>heterogeneity</w:t>
      </w:r>
    </w:p>
    <w:p w14:paraId="775AB158" w14:textId="751C374E" w:rsidR="00E60468" w:rsidRDefault="00E60468" w:rsidP="00E60468">
      <w:pPr>
        <w:pStyle w:val="a9"/>
        <w:numPr>
          <w:ilvl w:val="0"/>
          <w:numId w:val="22"/>
        </w:numPr>
        <w:ind w:firstLineChars="0"/>
      </w:pPr>
      <w:r>
        <w:rPr>
          <w:rFonts w:hint="eastAsia"/>
        </w:rPr>
        <w:t xml:space="preserve">Comparison of </w:t>
      </w:r>
      <w:r>
        <w:t>naïve</w:t>
      </w:r>
      <w:r>
        <w:rPr>
          <w:rFonts w:hint="eastAsia"/>
        </w:rPr>
        <w:t xml:space="preserve">/transfer </w:t>
      </w:r>
      <w:r>
        <w:t>heterogeneity</w:t>
      </w:r>
    </w:p>
    <w:p w14:paraId="746EFDDE" w14:textId="7B6F51B8" w:rsidR="00E60468" w:rsidRDefault="00E60468" w:rsidP="00E60468">
      <w:pPr>
        <w:pStyle w:val="a9"/>
        <w:numPr>
          <w:ilvl w:val="0"/>
          <w:numId w:val="22"/>
        </w:numPr>
        <w:ind w:firstLineChars="0"/>
      </w:pPr>
      <w:r>
        <w:rPr>
          <w:rFonts w:hint="eastAsia"/>
        </w:rPr>
        <w:t xml:space="preserve">Comparison of </w:t>
      </w:r>
      <w:r>
        <w:t>naïve</w:t>
      </w:r>
      <w:r>
        <w:rPr>
          <w:rFonts w:hint="eastAsia"/>
        </w:rPr>
        <w:t>/transfer weight SD</w:t>
      </w:r>
    </w:p>
    <w:p w14:paraId="04E90B06" w14:textId="35A928FF" w:rsidR="00E60468" w:rsidRDefault="0047134C" w:rsidP="00E60468">
      <w:pPr>
        <w:pStyle w:val="a9"/>
        <w:numPr>
          <w:ilvl w:val="0"/>
          <w:numId w:val="22"/>
        </w:numPr>
        <w:ind w:firstLineChars="0"/>
      </w:pPr>
      <w:r>
        <w:rPr>
          <w:rFonts w:hint="eastAsia"/>
        </w:rPr>
        <w:t>Lower learning slope on simulated TH inhibition</w:t>
      </w:r>
    </w:p>
    <w:p w14:paraId="6BBA8480" w14:textId="0E4FD428" w:rsidR="00D33893" w:rsidRPr="00D33893" w:rsidRDefault="0047134C" w:rsidP="00D33893">
      <w:pPr>
        <w:pStyle w:val="a9"/>
        <w:numPr>
          <w:ilvl w:val="0"/>
          <w:numId w:val="22"/>
        </w:numPr>
        <w:ind w:firstLineChars="0"/>
      </w:pPr>
      <w:r>
        <w:rPr>
          <w:rFonts w:hint="eastAsia"/>
        </w:rPr>
        <w:t xml:space="preserve">Lower </w:t>
      </w:r>
      <w:r>
        <w:t>heterogeneity</w:t>
      </w:r>
      <w:r>
        <w:rPr>
          <w:rFonts w:hint="eastAsia"/>
        </w:rPr>
        <w:t xml:space="preserve"> on simulated TH inhibition</w:t>
      </w:r>
    </w:p>
    <w:sectPr w:rsidR="00D33893" w:rsidRPr="00D33893" w:rsidSect="00786E9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D9107" w14:textId="77777777" w:rsidR="004A30B7" w:rsidRDefault="004A30B7" w:rsidP="00E17812">
      <w:pPr>
        <w:spacing w:after="0" w:line="240" w:lineRule="auto"/>
      </w:pPr>
      <w:r>
        <w:separator/>
      </w:r>
    </w:p>
  </w:endnote>
  <w:endnote w:type="continuationSeparator" w:id="0">
    <w:p w14:paraId="5D45C2F8" w14:textId="77777777" w:rsidR="004A30B7" w:rsidRDefault="004A30B7" w:rsidP="00E17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F4D6A" w14:textId="77777777" w:rsidR="004A30B7" w:rsidRDefault="004A30B7" w:rsidP="00E17812">
      <w:pPr>
        <w:spacing w:after="0" w:line="240" w:lineRule="auto"/>
      </w:pPr>
      <w:r>
        <w:separator/>
      </w:r>
    </w:p>
  </w:footnote>
  <w:footnote w:type="continuationSeparator" w:id="0">
    <w:p w14:paraId="29794A5F" w14:textId="77777777" w:rsidR="004A30B7" w:rsidRDefault="004A30B7" w:rsidP="00E17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3349C"/>
    <w:multiLevelType w:val="hybridMultilevel"/>
    <w:tmpl w:val="15966EDA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2B058B9"/>
    <w:multiLevelType w:val="hybridMultilevel"/>
    <w:tmpl w:val="DA62A5B2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3E04FF6"/>
    <w:multiLevelType w:val="hybridMultilevel"/>
    <w:tmpl w:val="B88A2192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27B3AF7"/>
    <w:multiLevelType w:val="hybridMultilevel"/>
    <w:tmpl w:val="BABC75BA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34D1959"/>
    <w:multiLevelType w:val="hybridMultilevel"/>
    <w:tmpl w:val="609008FC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3DA3EC6"/>
    <w:multiLevelType w:val="hybridMultilevel"/>
    <w:tmpl w:val="C630CBD0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4232839"/>
    <w:multiLevelType w:val="hybridMultilevel"/>
    <w:tmpl w:val="B5867CD2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0F92CBE"/>
    <w:multiLevelType w:val="hybridMultilevel"/>
    <w:tmpl w:val="73B42D5A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4632A5E"/>
    <w:multiLevelType w:val="hybridMultilevel"/>
    <w:tmpl w:val="DED2B0D2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5FC77D5"/>
    <w:multiLevelType w:val="hybridMultilevel"/>
    <w:tmpl w:val="F2EE57B6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60E10E3"/>
    <w:multiLevelType w:val="hybridMultilevel"/>
    <w:tmpl w:val="33E2E5AA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F3A7C52"/>
    <w:multiLevelType w:val="hybridMultilevel"/>
    <w:tmpl w:val="400A331E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6593DB3"/>
    <w:multiLevelType w:val="hybridMultilevel"/>
    <w:tmpl w:val="DA62A5B2"/>
    <w:lvl w:ilvl="0" w:tplc="FFFFFFFF">
      <w:start w:val="1"/>
      <w:numFmt w:val="upperLetter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7F453E9"/>
    <w:multiLevelType w:val="hybridMultilevel"/>
    <w:tmpl w:val="BF9C386A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E852E86"/>
    <w:multiLevelType w:val="hybridMultilevel"/>
    <w:tmpl w:val="31D2B694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FD17A50"/>
    <w:multiLevelType w:val="hybridMultilevel"/>
    <w:tmpl w:val="C530488E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2F564D0"/>
    <w:multiLevelType w:val="hybridMultilevel"/>
    <w:tmpl w:val="99305CE0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6891F55"/>
    <w:multiLevelType w:val="hybridMultilevel"/>
    <w:tmpl w:val="7068B106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32841D7"/>
    <w:multiLevelType w:val="hybridMultilevel"/>
    <w:tmpl w:val="3D4886E2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3592654"/>
    <w:multiLevelType w:val="hybridMultilevel"/>
    <w:tmpl w:val="55C602B6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6174713"/>
    <w:multiLevelType w:val="hybridMultilevel"/>
    <w:tmpl w:val="B2E8E8F4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C0B265A"/>
    <w:multiLevelType w:val="hybridMultilevel"/>
    <w:tmpl w:val="2258DBA6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5340C81"/>
    <w:multiLevelType w:val="hybridMultilevel"/>
    <w:tmpl w:val="A5E4C508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A5306A9"/>
    <w:multiLevelType w:val="hybridMultilevel"/>
    <w:tmpl w:val="5A9804FC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1913649">
    <w:abstractNumId w:val="19"/>
  </w:num>
  <w:num w:numId="2" w16cid:durableId="34085215">
    <w:abstractNumId w:val="2"/>
  </w:num>
  <w:num w:numId="3" w16cid:durableId="2091853603">
    <w:abstractNumId w:val="11"/>
  </w:num>
  <w:num w:numId="4" w16cid:durableId="787966780">
    <w:abstractNumId w:val="7"/>
  </w:num>
  <w:num w:numId="5" w16cid:durableId="1092361827">
    <w:abstractNumId w:val="0"/>
  </w:num>
  <w:num w:numId="6" w16cid:durableId="206181984">
    <w:abstractNumId w:val="6"/>
  </w:num>
  <w:num w:numId="7" w16cid:durableId="1607690998">
    <w:abstractNumId w:val="14"/>
  </w:num>
  <w:num w:numId="8" w16cid:durableId="725683900">
    <w:abstractNumId w:val="23"/>
  </w:num>
  <w:num w:numId="9" w16cid:durableId="675807738">
    <w:abstractNumId w:val="5"/>
  </w:num>
  <w:num w:numId="10" w16cid:durableId="1228297191">
    <w:abstractNumId w:val="1"/>
  </w:num>
  <w:num w:numId="11" w16cid:durableId="172499425">
    <w:abstractNumId w:val="20"/>
  </w:num>
  <w:num w:numId="12" w16cid:durableId="1231772008">
    <w:abstractNumId w:val="13"/>
  </w:num>
  <w:num w:numId="13" w16cid:durableId="1519735204">
    <w:abstractNumId w:val="16"/>
  </w:num>
  <w:num w:numId="14" w16cid:durableId="1387338714">
    <w:abstractNumId w:val="8"/>
  </w:num>
  <w:num w:numId="15" w16cid:durableId="1189830503">
    <w:abstractNumId w:val="15"/>
  </w:num>
  <w:num w:numId="16" w16cid:durableId="746001783">
    <w:abstractNumId w:val="10"/>
  </w:num>
  <w:num w:numId="17" w16cid:durableId="697438762">
    <w:abstractNumId w:val="12"/>
  </w:num>
  <w:num w:numId="18" w16cid:durableId="1208689442">
    <w:abstractNumId w:val="4"/>
  </w:num>
  <w:num w:numId="19" w16cid:durableId="247036413">
    <w:abstractNumId w:val="9"/>
  </w:num>
  <w:num w:numId="20" w16cid:durableId="2020962457">
    <w:abstractNumId w:val="18"/>
  </w:num>
  <w:num w:numId="21" w16cid:durableId="1879462790">
    <w:abstractNumId w:val="22"/>
  </w:num>
  <w:num w:numId="22" w16cid:durableId="1463227134">
    <w:abstractNumId w:val="17"/>
  </w:num>
  <w:num w:numId="23" w16cid:durableId="1385133247">
    <w:abstractNumId w:val="3"/>
  </w:num>
  <w:num w:numId="24" w16cid:durableId="213752787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6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89"/>
    <w:rsid w:val="00030631"/>
    <w:rsid w:val="00067D92"/>
    <w:rsid w:val="000B2664"/>
    <w:rsid w:val="000C27C4"/>
    <w:rsid w:val="000E16A5"/>
    <w:rsid w:val="000E7819"/>
    <w:rsid w:val="00105554"/>
    <w:rsid w:val="001737C3"/>
    <w:rsid w:val="001E063E"/>
    <w:rsid w:val="001E3760"/>
    <w:rsid w:val="0020288C"/>
    <w:rsid w:val="00260789"/>
    <w:rsid w:val="00261B12"/>
    <w:rsid w:val="00267C78"/>
    <w:rsid w:val="002B6708"/>
    <w:rsid w:val="002E14A6"/>
    <w:rsid w:val="00306098"/>
    <w:rsid w:val="00363005"/>
    <w:rsid w:val="00370F7E"/>
    <w:rsid w:val="003818BD"/>
    <w:rsid w:val="0041185F"/>
    <w:rsid w:val="00415531"/>
    <w:rsid w:val="004214C8"/>
    <w:rsid w:val="00425F71"/>
    <w:rsid w:val="00452623"/>
    <w:rsid w:val="0047134C"/>
    <w:rsid w:val="0048418E"/>
    <w:rsid w:val="00494760"/>
    <w:rsid w:val="004A17DE"/>
    <w:rsid w:val="004A30B7"/>
    <w:rsid w:val="004C2AC2"/>
    <w:rsid w:val="004F62D5"/>
    <w:rsid w:val="0050597E"/>
    <w:rsid w:val="00535B40"/>
    <w:rsid w:val="00543C35"/>
    <w:rsid w:val="00552FE5"/>
    <w:rsid w:val="00570255"/>
    <w:rsid w:val="005C6D43"/>
    <w:rsid w:val="00626DE7"/>
    <w:rsid w:val="006445DD"/>
    <w:rsid w:val="006B59DD"/>
    <w:rsid w:val="006F0347"/>
    <w:rsid w:val="00712D1C"/>
    <w:rsid w:val="00732263"/>
    <w:rsid w:val="0073770D"/>
    <w:rsid w:val="0074441A"/>
    <w:rsid w:val="00782307"/>
    <w:rsid w:val="00786E9F"/>
    <w:rsid w:val="007B73DF"/>
    <w:rsid w:val="008022A0"/>
    <w:rsid w:val="00856ACF"/>
    <w:rsid w:val="00857A59"/>
    <w:rsid w:val="00936771"/>
    <w:rsid w:val="0094718A"/>
    <w:rsid w:val="009545C0"/>
    <w:rsid w:val="009604FA"/>
    <w:rsid w:val="00995827"/>
    <w:rsid w:val="009B7A0F"/>
    <w:rsid w:val="00A068BF"/>
    <w:rsid w:val="00A06F2D"/>
    <w:rsid w:val="00A12FE5"/>
    <w:rsid w:val="00A2685F"/>
    <w:rsid w:val="00AB17F9"/>
    <w:rsid w:val="00AC596B"/>
    <w:rsid w:val="00AD0B53"/>
    <w:rsid w:val="00AE2E1D"/>
    <w:rsid w:val="00B30831"/>
    <w:rsid w:val="00B447CC"/>
    <w:rsid w:val="00B5683B"/>
    <w:rsid w:val="00B6272A"/>
    <w:rsid w:val="00B96E64"/>
    <w:rsid w:val="00BD0836"/>
    <w:rsid w:val="00BF42D5"/>
    <w:rsid w:val="00C20419"/>
    <w:rsid w:val="00C22C35"/>
    <w:rsid w:val="00C23110"/>
    <w:rsid w:val="00C56D19"/>
    <w:rsid w:val="00C834B1"/>
    <w:rsid w:val="00CA4617"/>
    <w:rsid w:val="00CB4C12"/>
    <w:rsid w:val="00CC0E39"/>
    <w:rsid w:val="00CD2242"/>
    <w:rsid w:val="00D06511"/>
    <w:rsid w:val="00D14477"/>
    <w:rsid w:val="00D27206"/>
    <w:rsid w:val="00D310FE"/>
    <w:rsid w:val="00D33893"/>
    <w:rsid w:val="00D519A1"/>
    <w:rsid w:val="00D94443"/>
    <w:rsid w:val="00DB3B65"/>
    <w:rsid w:val="00E174DF"/>
    <w:rsid w:val="00E17812"/>
    <w:rsid w:val="00E2107A"/>
    <w:rsid w:val="00E21D88"/>
    <w:rsid w:val="00E44918"/>
    <w:rsid w:val="00E60468"/>
    <w:rsid w:val="00E77250"/>
    <w:rsid w:val="00E932C1"/>
    <w:rsid w:val="00EF5424"/>
    <w:rsid w:val="00F27DBA"/>
    <w:rsid w:val="00F521E3"/>
    <w:rsid w:val="00F60885"/>
    <w:rsid w:val="00F9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5BFB16"/>
  <w15:chartTrackingRefBased/>
  <w15:docId w15:val="{A63507F4-3F92-4BB2-AC2D-4B8A7AE30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6E9F"/>
  </w:style>
  <w:style w:type="paragraph" w:styleId="1">
    <w:name w:val="heading 1"/>
    <w:basedOn w:val="a"/>
    <w:next w:val="a"/>
    <w:link w:val="10"/>
    <w:uiPriority w:val="9"/>
    <w:qFormat/>
    <w:rsid w:val="00786E9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E9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E9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24242" w:themeColor="text2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E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E9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24242" w:themeColor="text2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E9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24242" w:themeColor="text2"/>
      <w:sz w:val="21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E9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C0707" w:themeColor="accent1" w:themeShade="80"/>
      <w:sz w:val="21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E9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24242" w:themeColor="text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E9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24242" w:themeColor="text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6E9F"/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786E9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786E9F"/>
    <w:rPr>
      <w:rFonts w:asciiTheme="majorHAnsi" w:eastAsiaTheme="majorEastAsia" w:hAnsiTheme="majorHAnsi" w:cstheme="majorBidi"/>
      <w:color w:val="424242" w:themeColor="text2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786E9F"/>
    <w:rPr>
      <w:rFonts w:asciiTheme="majorHAnsi" w:eastAsiaTheme="majorEastAsia" w:hAnsiTheme="majorHAnsi" w:cstheme="majorBidi"/>
      <w:sz w:val="22"/>
      <w:szCs w:val="22"/>
    </w:rPr>
  </w:style>
  <w:style w:type="character" w:customStyle="1" w:styleId="50">
    <w:name w:val="标题 5 字符"/>
    <w:basedOn w:val="a0"/>
    <w:link w:val="5"/>
    <w:uiPriority w:val="9"/>
    <w:semiHidden/>
    <w:rsid w:val="00786E9F"/>
    <w:rPr>
      <w:rFonts w:asciiTheme="majorHAnsi" w:eastAsiaTheme="majorEastAsia" w:hAnsiTheme="majorHAnsi" w:cstheme="majorBidi"/>
      <w:color w:val="424242" w:themeColor="text2"/>
      <w:sz w:val="22"/>
      <w:szCs w:val="22"/>
    </w:rPr>
  </w:style>
  <w:style w:type="character" w:customStyle="1" w:styleId="60">
    <w:name w:val="标题 6 字符"/>
    <w:basedOn w:val="a0"/>
    <w:link w:val="6"/>
    <w:uiPriority w:val="9"/>
    <w:semiHidden/>
    <w:rsid w:val="00786E9F"/>
    <w:rPr>
      <w:rFonts w:asciiTheme="majorHAnsi" w:eastAsiaTheme="majorEastAsia" w:hAnsiTheme="majorHAnsi" w:cstheme="majorBidi"/>
      <w:i/>
      <w:iCs/>
      <w:color w:val="424242" w:themeColor="text2"/>
      <w:sz w:val="21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786E9F"/>
    <w:rPr>
      <w:rFonts w:asciiTheme="majorHAnsi" w:eastAsiaTheme="majorEastAsia" w:hAnsiTheme="majorHAnsi" w:cstheme="majorBidi"/>
      <w:i/>
      <w:iCs/>
      <w:color w:val="5C0707" w:themeColor="accent1" w:themeShade="80"/>
      <w:sz w:val="21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786E9F"/>
    <w:rPr>
      <w:rFonts w:asciiTheme="majorHAnsi" w:eastAsiaTheme="majorEastAsia" w:hAnsiTheme="majorHAnsi" w:cstheme="majorBidi"/>
      <w:b/>
      <w:bCs/>
      <w:color w:val="424242" w:themeColor="text2"/>
    </w:rPr>
  </w:style>
  <w:style w:type="character" w:customStyle="1" w:styleId="90">
    <w:name w:val="标题 9 字符"/>
    <w:basedOn w:val="a0"/>
    <w:link w:val="9"/>
    <w:uiPriority w:val="9"/>
    <w:semiHidden/>
    <w:rsid w:val="00786E9F"/>
    <w:rPr>
      <w:rFonts w:asciiTheme="majorHAnsi" w:eastAsiaTheme="majorEastAsia" w:hAnsiTheme="majorHAnsi" w:cstheme="majorBidi"/>
      <w:b/>
      <w:bCs/>
      <w:i/>
      <w:iCs/>
      <w:color w:val="424242" w:themeColor="text2"/>
    </w:rPr>
  </w:style>
  <w:style w:type="paragraph" w:styleId="a3">
    <w:name w:val="Title"/>
    <w:basedOn w:val="a"/>
    <w:next w:val="a"/>
    <w:link w:val="a4"/>
    <w:uiPriority w:val="10"/>
    <w:qFormat/>
    <w:rsid w:val="00786E9F"/>
    <w:pPr>
      <w:spacing w:after="0" w:line="240" w:lineRule="auto"/>
      <w:contextualSpacing/>
    </w:pPr>
    <w:rPr>
      <w:rFonts w:asciiTheme="majorHAnsi" w:eastAsiaTheme="majorEastAsia" w:hAnsiTheme="majorHAnsi" w:cstheme="majorBidi"/>
      <w:color w:val="B80E0F" w:themeColor="accent1"/>
      <w:spacing w:val="-10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6E9F"/>
    <w:rPr>
      <w:rFonts w:asciiTheme="majorHAnsi" w:eastAsiaTheme="majorEastAsia" w:hAnsiTheme="majorHAnsi" w:cstheme="majorBidi"/>
      <w:color w:val="B80E0F" w:themeColor="accent1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E9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6">
    <w:name w:val="副标题 字符"/>
    <w:basedOn w:val="a0"/>
    <w:link w:val="a5"/>
    <w:uiPriority w:val="11"/>
    <w:rsid w:val="00786E9F"/>
    <w:rPr>
      <w:rFonts w:asciiTheme="majorHAnsi" w:eastAsiaTheme="majorEastAsia" w:hAnsiTheme="majorHAnsi" w:cstheme="majorBidi"/>
      <w:sz w:val="24"/>
      <w:szCs w:val="24"/>
    </w:rPr>
  </w:style>
  <w:style w:type="paragraph" w:styleId="a7">
    <w:name w:val="Quote"/>
    <w:basedOn w:val="a"/>
    <w:next w:val="a"/>
    <w:link w:val="a8"/>
    <w:uiPriority w:val="29"/>
    <w:qFormat/>
    <w:rsid w:val="00786E9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6E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789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786E9F"/>
    <w:rPr>
      <w:b/>
      <w:bCs/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786E9F"/>
    <w:pPr>
      <w:pBdr>
        <w:left w:val="single" w:sz="18" w:space="12" w:color="B80E0F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B80E0F" w:themeColor="accent1"/>
      <w:sz w:val="28"/>
      <w:szCs w:val="28"/>
    </w:rPr>
  </w:style>
  <w:style w:type="character" w:customStyle="1" w:styleId="ac">
    <w:name w:val="明显引用 字符"/>
    <w:basedOn w:val="a0"/>
    <w:link w:val="ab"/>
    <w:uiPriority w:val="30"/>
    <w:rsid w:val="00786E9F"/>
    <w:rPr>
      <w:rFonts w:asciiTheme="majorHAnsi" w:eastAsiaTheme="majorEastAsia" w:hAnsiTheme="majorHAnsi" w:cstheme="majorBidi"/>
      <w:color w:val="B80E0F" w:themeColor="accent1"/>
      <w:sz w:val="28"/>
      <w:szCs w:val="28"/>
    </w:rPr>
  </w:style>
  <w:style w:type="character" w:styleId="ad">
    <w:name w:val="Intense Reference"/>
    <w:basedOn w:val="a0"/>
    <w:uiPriority w:val="32"/>
    <w:qFormat/>
    <w:rsid w:val="00786E9F"/>
    <w:rPr>
      <w:b/>
      <w:bCs/>
      <w:smallCaps/>
      <w:spacing w:val="5"/>
      <w:u w:val="single"/>
    </w:rPr>
  </w:style>
  <w:style w:type="paragraph" w:styleId="ae">
    <w:name w:val="caption"/>
    <w:basedOn w:val="a"/>
    <w:next w:val="a"/>
    <w:uiPriority w:val="35"/>
    <w:semiHidden/>
    <w:unhideWhenUsed/>
    <w:qFormat/>
    <w:rsid w:val="00786E9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af">
    <w:name w:val="Strong"/>
    <w:basedOn w:val="a0"/>
    <w:uiPriority w:val="22"/>
    <w:qFormat/>
    <w:rsid w:val="00786E9F"/>
    <w:rPr>
      <w:b/>
      <w:bCs/>
    </w:rPr>
  </w:style>
  <w:style w:type="character" w:styleId="af0">
    <w:name w:val="Emphasis"/>
    <w:basedOn w:val="a0"/>
    <w:uiPriority w:val="20"/>
    <w:qFormat/>
    <w:rsid w:val="00786E9F"/>
    <w:rPr>
      <w:i/>
      <w:iCs/>
    </w:rPr>
  </w:style>
  <w:style w:type="paragraph" w:styleId="af1">
    <w:name w:val="No Spacing"/>
    <w:uiPriority w:val="1"/>
    <w:qFormat/>
    <w:rsid w:val="00786E9F"/>
    <w:pPr>
      <w:spacing w:after="0" w:line="240" w:lineRule="auto"/>
    </w:pPr>
  </w:style>
  <w:style w:type="character" w:styleId="af2">
    <w:name w:val="Subtle Emphasis"/>
    <w:basedOn w:val="a0"/>
    <w:uiPriority w:val="19"/>
    <w:qFormat/>
    <w:rsid w:val="00786E9F"/>
    <w:rPr>
      <w:i/>
      <w:iCs/>
      <w:color w:val="404040" w:themeColor="text1" w:themeTint="BF"/>
    </w:rPr>
  </w:style>
  <w:style w:type="character" w:styleId="af3">
    <w:name w:val="Subtle Reference"/>
    <w:basedOn w:val="a0"/>
    <w:uiPriority w:val="31"/>
    <w:qFormat/>
    <w:rsid w:val="00786E9F"/>
    <w:rPr>
      <w:smallCaps/>
      <w:color w:val="404040" w:themeColor="text1" w:themeTint="BF"/>
      <w:u w:val="single" w:color="7F7F7F" w:themeColor="text1" w:themeTint="80"/>
    </w:rPr>
  </w:style>
  <w:style w:type="character" w:styleId="af4">
    <w:name w:val="Book Title"/>
    <w:basedOn w:val="a0"/>
    <w:uiPriority w:val="33"/>
    <w:qFormat/>
    <w:rsid w:val="00786E9F"/>
    <w:rPr>
      <w:b/>
      <w:bCs/>
      <w:smallCaps/>
    </w:rPr>
  </w:style>
  <w:style w:type="paragraph" w:styleId="TOC">
    <w:name w:val="TOC Heading"/>
    <w:basedOn w:val="1"/>
    <w:next w:val="a"/>
    <w:uiPriority w:val="39"/>
    <w:semiHidden/>
    <w:unhideWhenUsed/>
    <w:qFormat/>
    <w:rsid w:val="00786E9F"/>
    <w:pPr>
      <w:outlineLvl w:val="9"/>
    </w:pPr>
  </w:style>
  <w:style w:type="paragraph" w:styleId="af5">
    <w:name w:val="header"/>
    <w:basedOn w:val="a"/>
    <w:link w:val="af6"/>
    <w:uiPriority w:val="99"/>
    <w:unhideWhenUsed/>
    <w:rsid w:val="00E1781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E17812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E1781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E178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46F447F-5EF9-4456-88FA-A4D0D91C9C0D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4355F868-4B60-4565-B9E1-55A6FF8BCEDA}">
      <dgm:prSet phldrT="[文本]"/>
      <dgm:spPr/>
      <dgm:t>
        <a:bodyPr/>
        <a:lstStyle/>
        <a:p>
          <a:r>
            <a:rPr lang="en-US" altLang="zh-CN"/>
            <a:t>Fig 1: Behavior, inter-trial divergence and inter-cell heterogenity</a:t>
          </a:r>
          <a:endParaRPr lang="zh-CN" altLang="en-US"/>
        </a:p>
      </dgm:t>
    </dgm:pt>
    <dgm:pt modelId="{0F9FF364-A59A-4040-982D-06295820A945}" type="parTrans" cxnId="{607339F4-0431-4E23-A9E9-1CB14BE7BC50}">
      <dgm:prSet/>
      <dgm:spPr/>
      <dgm:t>
        <a:bodyPr/>
        <a:lstStyle/>
        <a:p>
          <a:endParaRPr lang="zh-CN" altLang="en-US"/>
        </a:p>
      </dgm:t>
    </dgm:pt>
    <dgm:pt modelId="{C77FA06A-832F-4498-9D61-74552B9CF57B}" type="sibTrans" cxnId="{607339F4-0431-4E23-A9E9-1CB14BE7BC50}">
      <dgm:prSet/>
      <dgm:spPr/>
      <dgm:t>
        <a:bodyPr/>
        <a:lstStyle/>
        <a:p>
          <a:endParaRPr lang="zh-CN" altLang="en-US"/>
        </a:p>
      </dgm:t>
    </dgm:pt>
    <dgm:pt modelId="{56AEE523-F433-451B-A6CB-80D6FF2A6F1B}">
      <dgm:prSet phldrT="[文本]"/>
      <dgm:spPr/>
      <dgm:t>
        <a:bodyPr/>
        <a:lstStyle/>
        <a:p>
          <a:r>
            <a:rPr lang="en-US" altLang="zh-CN"/>
            <a:t>Temporal stability and first-block performance</a:t>
          </a:r>
          <a:endParaRPr lang="zh-CN" altLang="en-US"/>
        </a:p>
      </dgm:t>
    </dgm:pt>
    <dgm:pt modelId="{B751BB31-F2CE-4979-B9AB-C58BF26C5B37}" type="parTrans" cxnId="{A50DBFAA-2FE3-4E71-97BE-45BF430F5C0C}">
      <dgm:prSet/>
      <dgm:spPr/>
      <dgm:t>
        <a:bodyPr/>
        <a:lstStyle/>
        <a:p>
          <a:endParaRPr lang="zh-CN" altLang="en-US"/>
        </a:p>
      </dgm:t>
    </dgm:pt>
    <dgm:pt modelId="{671818A0-8243-4C2F-B59A-5C5776EF2A26}" type="sibTrans" cxnId="{A50DBFAA-2FE3-4E71-97BE-45BF430F5C0C}">
      <dgm:prSet/>
      <dgm:spPr/>
      <dgm:t>
        <a:bodyPr/>
        <a:lstStyle/>
        <a:p>
          <a:endParaRPr lang="zh-CN" altLang="en-US"/>
        </a:p>
      </dgm:t>
    </dgm:pt>
    <dgm:pt modelId="{38186271-C199-40A3-B45E-6284D8B46BC6}">
      <dgm:prSet phldrT="[文本]"/>
      <dgm:spPr/>
      <dgm:t>
        <a:bodyPr/>
        <a:lstStyle/>
        <a:p>
          <a:r>
            <a:rPr lang="en-US" altLang="zh-CN"/>
            <a:t>Populational heterogenity and learning speed</a:t>
          </a:r>
          <a:endParaRPr lang="zh-CN" altLang="en-US"/>
        </a:p>
      </dgm:t>
    </dgm:pt>
    <dgm:pt modelId="{77E61CB3-9763-4163-82BD-D931954A5C92}" type="parTrans" cxnId="{EEDDDD1D-4884-413E-93F6-5E2A7AA07E45}">
      <dgm:prSet/>
      <dgm:spPr/>
      <dgm:t>
        <a:bodyPr/>
        <a:lstStyle/>
        <a:p>
          <a:endParaRPr lang="zh-CN" altLang="en-US"/>
        </a:p>
      </dgm:t>
    </dgm:pt>
    <dgm:pt modelId="{06A9B969-B65C-4EE4-9437-B37DB4BED53D}" type="sibTrans" cxnId="{EEDDDD1D-4884-413E-93F6-5E2A7AA07E45}">
      <dgm:prSet/>
      <dgm:spPr/>
      <dgm:t>
        <a:bodyPr/>
        <a:lstStyle/>
        <a:p>
          <a:endParaRPr lang="zh-CN" altLang="en-US"/>
        </a:p>
      </dgm:t>
    </dgm:pt>
    <dgm:pt modelId="{5CFC2C88-DC06-4CBD-BAB0-A6D1CC07AE8D}">
      <dgm:prSet/>
      <dgm:spPr/>
      <dgm:t>
        <a:bodyPr/>
        <a:lstStyle/>
        <a:p>
          <a:r>
            <a:rPr lang="en-US" altLang="zh-CN"/>
            <a:t>Fig 2: Encoding transfer and cFos manipulation</a:t>
          </a:r>
          <a:endParaRPr lang="zh-CN" altLang="en-US"/>
        </a:p>
      </dgm:t>
    </dgm:pt>
    <dgm:pt modelId="{D028958C-83C4-4114-861F-1F671942BBCA}" type="parTrans" cxnId="{BB99534D-048E-447F-BDB1-B18827F1EDB2}">
      <dgm:prSet/>
      <dgm:spPr/>
    </dgm:pt>
    <dgm:pt modelId="{28CC4BEF-1607-4612-9523-8E298E38698B}" type="sibTrans" cxnId="{BB99534D-048E-447F-BDB1-B18827F1EDB2}">
      <dgm:prSet/>
      <dgm:spPr/>
    </dgm:pt>
    <dgm:pt modelId="{96BB5DAF-B217-40AB-A4FE-7DC01281124B}">
      <dgm:prSet/>
      <dgm:spPr/>
      <dgm:t>
        <a:bodyPr/>
        <a:lstStyle/>
        <a:p>
          <a:r>
            <a:rPr lang="en-US" altLang="zh-CN"/>
            <a:t>Fig 3: Ensemble fades after 7-day gap</a:t>
          </a:r>
          <a:endParaRPr lang="zh-CN" altLang="en-US"/>
        </a:p>
      </dgm:t>
    </dgm:pt>
    <dgm:pt modelId="{BB226B71-4A71-4949-837E-15ABA8B0C135}" type="parTrans" cxnId="{6F5FB93C-6B1F-4DEB-A3E7-46156B6F8D6B}">
      <dgm:prSet/>
      <dgm:spPr/>
    </dgm:pt>
    <dgm:pt modelId="{495E0097-5B72-4194-8A4F-15906DC1D4D3}" type="sibTrans" cxnId="{6F5FB93C-6B1F-4DEB-A3E7-46156B6F8D6B}">
      <dgm:prSet/>
      <dgm:spPr/>
    </dgm:pt>
    <dgm:pt modelId="{E32FAFFE-185B-41F6-8CDB-D9ECEFBA3350}">
      <dgm:prSet/>
      <dgm:spPr/>
      <dgm:t>
        <a:bodyPr/>
        <a:lstStyle/>
        <a:p>
          <a:r>
            <a:rPr lang="en-US" altLang="zh-CN"/>
            <a:t>Fig 4: TH inhibition lowers learning speed and heterogenity</a:t>
          </a:r>
          <a:endParaRPr lang="zh-CN" altLang="en-US"/>
        </a:p>
      </dgm:t>
    </dgm:pt>
    <dgm:pt modelId="{2FFA7C54-F7F1-4F9B-B5C7-FEACC4DD6C8B}" type="parTrans" cxnId="{4B642ECA-033F-4598-89B0-1A7CE22687B9}">
      <dgm:prSet/>
      <dgm:spPr/>
    </dgm:pt>
    <dgm:pt modelId="{8A24BC65-48CA-4DDF-9A92-1FCF00D21404}" type="sibTrans" cxnId="{4B642ECA-033F-4598-89B0-1A7CE22687B9}">
      <dgm:prSet/>
      <dgm:spPr/>
    </dgm:pt>
    <dgm:pt modelId="{40E050A2-7BFF-48BF-A337-FC492FEB7A31}">
      <dgm:prSet/>
      <dgm:spPr/>
      <dgm:t>
        <a:bodyPr/>
        <a:lstStyle/>
        <a:p>
          <a:r>
            <a:rPr lang="en-US" altLang="zh-CN"/>
            <a:t>Fig 5: Reproduction of heterogenity and learning speed on RNN simulation</a:t>
          </a:r>
          <a:endParaRPr lang="zh-CN" altLang="en-US"/>
        </a:p>
      </dgm:t>
    </dgm:pt>
    <dgm:pt modelId="{35E7648E-A356-4C2E-8FE9-9D0D627AFFB0}" type="parTrans" cxnId="{296F043B-3405-47A9-9584-3A5EB933FB58}">
      <dgm:prSet/>
      <dgm:spPr/>
    </dgm:pt>
    <dgm:pt modelId="{514E13DC-EB2D-47C1-B625-8353CC9DE743}" type="sibTrans" cxnId="{296F043B-3405-47A9-9584-3A5EB933FB58}">
      <dgm:prSet/>
      <dgm:spPr/>
    </dgm:pt>
    <dgm:pt modelId="{2E7B311E-4755-4E41-AED4-A577CA6FBCFF}" type="pres">
      <dgm:prSet presAssocID="{446F447F-5EF9-4456-88FA-A4D0D91C9C0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56F793B-D1E0-476A-AFC6-2E29FEF60218}" type="pres">
      <dgm:prSet presAssocID="{4355F868-4B60-4565-B9E1-55A6FF8BCEDA}" presName="hierRoot1" presStyleCnt="0">
        <dgm:presLayoutVars>
          <dgm:hierBranch val="init"/>
        </dgm:presLayoutVars>
      </dgm:prSet>
      <dgm:spPr/>
    </dgm:pt>
    <dgm:pt modelId="{4D8616B8-4A37-4313-9E33-12F2A0DCCC34}" type="pres">
      <dgm:prSet presAssocID="{4355F868-4B60-4565-B9E1-55A6FF8BCEDA}" presName="rootComposite1" presStyleCnt="0"/>
      <dgm:spPr/>
    </dgm:pt>
    <dgm:pt modelId="{A9CF2A7E-1558-40C6-9B5D-744AE31C0964}" type="pres">
      <dgm:prSet presAssocID="{4355F868-4B60-4565-B9E1-55A6FF8BCEDA}" presName="rootText1" presStyleLbl="node0" presStyleIdx="0" presStyleCnt="1">
        <dgm:presLayoutVars>
          <dgm:chPref val="3"/>
        </dgm:presLayoutVars>
      </dgm:prSet>
      <dgm:spPr/>
    </dgm:pt>
    <dgm:pt modelId="{CE6F1AF3-0179-43EF-9B70-1C929EB27D83}" type="pres">
      <dgm:prSet presAssocID="{4355F868-4B60-4565-B9E1-55A6FF8BCEDA}" presName="rootConnector1" presStyleLbl="node1" presStyleIdx="0" presStyleCnt="0"/>
      <dgm:spPr/>
    </dgm:pt>
    <dgm:pt modelId="{91F97832-A79A-41EE-915D-0A32BC0A68B1}" type="pres">
      <dgm:prSet presAssocID="{4355F868-4B60-4565-B9E1-55A6FF8BCEDA}" presName="hierChild2" presStyleCnt="0"/>
      <dgm:spPr/>
    </dgm:pt>
    <dgm:pt modelId="{F7F3389F-552B-4FB8-AA2C-23966B1FAFF6}" type="pres">
      <dgm:prSet presAssocID="{B751BB31-F2CE-4979-B9AB-C58BF26C5B37}" presName="Name37" presStyleLbl="parChTrans1D2" presStyleIdx="0" presStyleCnt="2"/>
      <dgm:spPr/>
    </dgm:pt>
    <dgm:pt modelId="{844F9A68-AE9A-4F86-ACB7-49D953E4AC64}" type="pres">
      <dgm:prSet presAssocID="{56AEE523-F433-451B-A6CB-80D6FF2A6F1B}" presName="hierRoot2" presStyleCnt="0">
        <dgm:presLayoutVars>
          <dgm:hierBranch val="init"/>
        </dgm:presLayoutVars>
      </dgm:prSet>
      <dgm:spPr/>
    </dgm:pt>
    <dgm:pt modelId="{DBA6DA9E-1935-470C-B934-A68F729C8669}" type="pres">
      <dgm:prSet presAssocID="{56AEE523-F433-451B-A6CB-80D6FF2A6F1B}" presName="rootComposite" presStyleCnt="0"/>
      <dgm:spPr/>
    </dgm:pt>
    <dgm:pt modelId="{F2FE37E2-B6F8-4B81-9786-91440A19DF10}" type="pres">
      <dgm:prSet presAssocID="{56AEE523-F433-451B-A6CB-80D6FF2A6F1B}" presName="rootText" presStyleLbl="node2" presStyleIdx="0" presStyleCnt="2">
        <dgm:presLayoutVars>
          <dgm:chPref val="3"/>
        </dgm:presLayoutVars>
      </dgm:prSet>
      <dgm:spPr/>
    </dgm:pt>
    <dgm:pt modelId="{41BADD31-2D94-4549-BAB5-5A27BB2113BC}" type="pres">
      <dgm:prSet presAssocID="{56AEE523-F433-451B-A6CB-80D6FF2A6F1B}" presName="rootConnector" presStyleLbl="node2" presStyleIdx="0" presStyleCnt="2"/>
      <dgm:spPr/>
    </dgm:pt>
    <dgm:pt modelId="{F3949ED0-31BE-49E9-A51A-970292F597EA}" type="pres">
      <dgm:prSet presAssocID="{56AEE523-F433-451B-A6CB-80D6FF2A6F1B}" presName="hierChild4" presStyleCnt="0"/>
      <dgm:spPr/>
    </dgm:pt>
    <dgm:pt modelId="{49C9EDFB-8288-44D2-9403-218026C83787}" type="pres">
      <dgm:prSet presAssocID="{D028958C-83C4-4114-861F-1F671942BBCA}" presName="Name37" presStyleLbl="parChTrans1D3" presStyleIdx="0" presStyleCnt="4"/>
      <dgm:spPr/>
    </dgm:pt>
    <dgm:pt modelId="{A7F25C29-E8F3-4C8F-8852-013E14DE91A8}" type="pres">
      <dgm:prSet presAssocID="{5CFC2C88-DC06-4CBD-BAB0-A6D1CC07AE8D}" presName="hierRoot2" presStyleCnt="0">
        <dgm:presLayoutVars>
          <dgm:hierBranch val="init"/>
        </dgm:presLayoutVars>
      </dgm:prSet>
      <dgm:spPr/>
    </dgm:pt>
    <dgm:pt modelId="{E133D6BF-6B48-479B-97CE-9CD78035380F}" type="pres">
      <dgm:prSet presAssocID="{5CFC2C88-DC06-4CBD-BAB0-A6D1CC07AE8D}" presName="rootComposite" presStyleCnt="0"/>
      <dgm:spPr/>
    </dgm:pt>
    <dgm:pt modelId="{B95F541F-5330-46E3-8B8D-B760BB90DDF0}" type="pres">
      <dgm:prSet presAssocID="{5CFC2C88-DC06-4CBD-BAB0-A6D1CC07AE8D}" presName="rootText" presStyleLbl="node3" presStyleIdx="0" presStyleCnt="4">
        <dgm:presLayoutVars>
          <dgm:chPref val="3"/>
        </dgm:presLayoutVars>
      </dgm:prSet>
      <dgm:spPr/>
    </dgm:pt>
    <dgm:pt modelId="{B086E91B-0DBD-492B-A051-7BC4E01D1469}" type="pres">
      <dgm:prSet presAssocID="{5CFC2C88-DC06-4CBD-BAB0-A6D1CC07AE8D}" presName="rootConnector" presStyleLbl="node3" presStyleIdx="0" presStyleCnt="4"/>
      <dgm:spPr/>
    </dgm:pt>
    <dgm:pt modelId="{9367EB4C-3D6F-498C-8772-D804F66189E5}" type="pres">
      <dgm:prSet presAssocID="{5CFC2C88-DC06-4CBD-BAB0-A6D1CC07AE8D}" presName="hierChild4" presStyleCnt="0"/>
      <dgm:spPr/>
    </dgm:pt>
    <dgm:pt modelId="{D1FC31E8-695A-4025-9528-647604CFB73F}" type="pres">
      <dgm:prSet presAssocID="{5CFC2C88-DC06-4CBD-BAB0-A6D1CC07AE8D}" presName="hierChild5" presStyleCnt="0"/>
      <dgm:spPr/>
    </dgm:pt>
    <dgm:pt modelId="{3C8C103A-63DB-446F-836B-5D388BA7AA28}" type="pres">
      <dgm:prSet presAssocID="{BB226B71-4A71-4949-837E-15ABA8B0C135}" presName="Name37" presStyleLbl="parChTrans1D3" presStyleIdx="1" presStyleCnt="4"/>
      <dgm:spPr/>
    </dgm:pt>
    <dgm:pt modelId="{960E239D-6F3C-4149-9E2B-2078E0AEB546}" type="pres">
      <dgm:prSet presAssocID="{96BB5DAF-B217-40AB-A4FE-7DC01281124B}" presName="hierRoot2" presStyleCnt="0">
        <dgm:presLayoutVars>
          <dgm:hierBranch val="init"/>
        </dgm:presLayoutVars>
      </dgm:prSet>
      <dgm:spPr/>
    </dgm:pt>
    <dgm:pt modelId="{BA9DE1A1-3D91-4099-A3F4-332F4B149886}" type="pres">
      <dgm:prSet presAssocID="{96BB5DAF-B217-40AB-A4FE-7DC01281124B}" presName="rootComposite" presStyleCnt="0"/>
      <dgm:spPr/>
    </dgm:pt>
    <dgm:pt modelId="{B2B5C53D-E02F-4EEE-A540-D6CAACCF7C89}" type="pres">
      <dgm:prSet presAssocID="{96BB5DAF-B217-40AB-A4FE-7DC01281124B}" presName="rootText" presStyleLbl="node3" presStyleIdx="1" presStyleCnt="4">
        <dgm:presLayoutVars>
          <dgm:chPref val="3"/>
        </dgm:presLayoutVars>
      </dgm:prSet>
      <dgm:spPr/>
    </dgm:pt>
    <dgm:pt modelId="{444DE651-78B1-47E1-87E5-1345D5A0D975}" type="pres">
      <dgm:prSet presAssocID="{96BB5DAF-B217-40AB-A4FE-7DC01281124B}" presName="rootConnector" presStyleLbl="node3" presStyleIdx="1" presStyleCnt="4"/>
      <dgm:spPr/>
    </dgm:pt>
    <dgm:pt modelId="{5208CD15-CC11-4D82-8354-A8F6FC343D7D}" type="pres">
      <dgm:prSet presAssocID="{96BB5DAF-B217-40AB-A4FE-7DC01281124B}" presName="hierChild4" presStyleCnt="0"/>
      <dgm:spPr/>
    </dgm:pt>
    <dgm:pt modelId="{19EAF7C5-BEFB-4232-B8D6-4AF7D2431EA4}" type="pres">
      <dgm:prSet presAssocID="{96BB5DAF-B217-40AB-A4FE-7DC01281124B}" presName="hierChild5" presStyleCnt="0"/>
      <dgm:spPr/>
    </dgm:pt>
    <dgm:pt modelId="{BE06BD16-2388-4514-8516-5ED5C9298407}" type="pres">
      <dgm:prSet presAssocID="{56AEE523-F433-451B-A6CB-80D6FF2A6F1B}" presName="hierChild5" presStyleCnt="0"/>
      <dgm:spPr/>
    </dgm:pt>
    <dgm:pt modelId="{311B2BDA-6E67-445D-B317-B74FAD083AF5}" type="pres">
      <dgm:prSet presAssocID="{77E61CB3-9763-4163-82BD-D931954A5C92}" presName="Name37" presStyleLbl="parChTrans1D2" presStyleIdx="1" presStyleCnt="2"/>
      <dgm:spPr/>
    </dgm:pt>
    <dgm:pt modelId="{32E17F1F-AA20-41F5-A026-F5432C4F1DA0}" type="pres">
      <dgm:prSet presAssocID="{38186271-C199-40A3-B45E-6284D8B46BC6}" presName="hierRoot2" presStyleCnt="0">
        <dgm:presLayoutVars>
          <dgm:hierBranch val="init"/>
        </dgm:presLayoutVars>
      </dgm:prSet>
      <dgm:spPr/>
    </dgm:pt>
    <dgm:pt modelId="{D893D89E-A598-40E8-AEAF-A60664088D37}" type="pres">
      <dgm:prSet presAssocID="{38186271-C199-40A3-B45E-6284D8B46BC6}" presName="rootComposite" presStyleCnt="0"/>
      <dgm:spPr/>
    </dgm:pt>
    <dgm:pt modelId="{30E30329-0EE6-4111-8959-45FB7C4CEFD5}" type="pres">
      <dgm:prSet presAssocID="{38186271-C199-40A3-B45E-6284D8B46BC6}" presName="rootText" presStyleLbl="node2" presStyleIdx="1" presStyleCnt="2">
        <dgm:presLayoutVars>
          <dgm:chPref val="3"/>
        </dgm:presLayoutVars>
      </dgm:prSet>
      <dgm:spPr/>
    </dgm:pt>
    <dgm:pt modelId="{04C3CCF7-6500-49A4-9F6C-3FCA6E968957}" type="pres">
      <dgm:prSet presAssocID="{38186271-C199-40A3-B45E-6284D8B46BC6}" presName="rootConnector" presStyleLbl="node2" presStyleIdx="1" presStyleCnt="2"/>
      <dgm:spPr/>
    </dgm:pt>
    <dgm:pt modelId="{F251AE95-E8E9-4742-9FFD-0C40F36EFB28}" type="pres">
      <dgm:prSet presAssocID="{38186271-C199-40A3-B45E-6284D8B46BC6}" presName="hierChild4" presStyleCnt="0"/>
      <dgm:spPr/>
    </dgm:pt>
    <dgm:pt modelId="{EFCCE5E2-1F5B-4D91-9D74-708978B99E3E}" type="pres">
      <dgm:prSet presAssocID="{2FFA7C54-F7F1-4F9B-B5C7-FEACC4DD6C8B}" presName="Name37" presStyleLbl="parChTrans1D3" presStyleIdx="2" presStyleCnt="4"/>
      <dgm:spPr/>
    </dgm:pt>
    <dgm:pt modelId="{36695A33-66E2-4944-8286-406F1E298C55}" type="pres">
      <dgm:prSet presAssocID="{E32FAFFE-185B-41F6-8CDB-D9ECEFBA3350}" presName="hierRoot2" presStyleCnt="0">
        <dgm:presLayoutVars>
          <dgm:hierBranch val="init"/>
        </dgm:presLayoutVars>
      </dgm:prSet>
      <dgm:spPr/>
    </dgm:pt>
    <dgm:pt modelId="{61CD77A7-606A-40E1-BFD1-47C9C85FE6C7}" type="pres">
      <dgm:prSet presAssocID="{E32FAFFE-185B-41F6-8CDB-D9ECEFBA3350}" presName="rootComposite" presStyleCnt="0"/>
      <dgm:spPr/>
    </dgm:pt>
    <dgm:pt modelId="{904E1D79-80F2-4C63-AB3C-263AE274F351}" type="pres">
      <dgm:prSet presAssocID="{E32FAFFE-185B-41F6-8CDB-D9ECEFBA3350}" presName="rootText" presStyleLbl="node3" presStyleIdx="2" presStyleCnt="4">
        <dgm:presLayoutVars>
          <dgm:chPref val="3"/>
        </dgm:presLayoutVars>
      </dgm:prSet>
      <dgm:spPr/>
    </dgm:pt>
    <dgm:pt modelId="{3CA774C4-8C61-4EF6-9A78-6EC2369CBB85}" type="pres">
      <dgm:prSet presAssocID="{E32FAFFE-185B-41F6-8CDB-D9ECEFBA3350}" presName="rootConnector" presStyleLbl="node3" presStyleIdx="2" presStyleCnt="4"/>
      <dgm:spPr/>
    </dgm:pt>
    <dgm:pt modelId="{3263305A-9329-47A4-B374-B9DF8E9DFDC7}" type="pres">
      <dgm:prSet presAssocID="{E32FAFFE-185B-41F6-8CDB-D9ECEFBA3350}" presName="hierChild4" presStyleCnt="0"/>
      <dgm:spPr/>
    </dgm:pt>
    <dgm:pt modelId="{AD48C49F-4E61-439C-A736-693AED570E33}" type="pres">
      <dgm:prSet presAssocID="{E32FAFFE-185B-41F6-8CDB-D9ECEFBA3350}" presName="hierChild5" presStyleCnt="0"/>
      <dgm:spPr/>
    </dgm:pt>
    <dgm:pt modelId="{D98C32AF-C89B-4D79-9F04-D507E7DBE13D}" type="pres">
      <dgm:prSet presAssocID="{35E7648E-A356-4C2E-8FE9-9D0D627AFFB0}" presName="Name37" presStyleLbl="parChTrans1D3" presStyleIdx="3" presStyleCnt="4"/>
      <dgm:spPr/>
    </dgm:pt>
    <dgm:pt modelId="{F651E740-24EE-4576-95AB-80B995759ED6}" type="pres">
      <dgm:prSet presAssocID="{40E050A2-7BFF-48BF-A337-FC492FEB7A31}" presName="hierRoot2" presStyleCnt="0">
        <dgm:presLayoutVars>
          <dgm:hierBranch val="init"/>
        </dgm:presLayoutVars>
      </dgm:prSet>
      <dgm:spPr/>
    </dgm:pt>
    <dgm:pt modelId="{85A2A3DF-872D-4F43-8E04-6218254B3F14}" type="pres">
      <dgm:prSet presAssocID="{40E050A2-7BFF-48BF-A337-FC492FEB7A31}" presName="rootComposite" presStyleCnt="0"/>
      <dgm:spPr/>
    </dgm:pt>
    <dgm:pt modelId="{946ED5DC-6A2D-44C4-A208-DA7734A2C85A}" type="pres">
      <dgm:prSet presAssocID="{40E050A2-7BFF-48BF-A337-FC492FEB7A31}" presName="rootText" presStyleLbl="node3" presStyleIdx="3" presStyleCnt="4">
        <dgm:presLayoutVars>
          <dgm:chPref val="3"/>
        </dgm:presLayoutVars>
      </dgm:prSet>
      <dgm:spPr/>
    </dgm:pt>
    <dgm:pt modelId="{06C6630E-9DC7-4C5B-8D4C-EA09CE34D6C6}" type="pres">
      <dgm:prSet presAssocID="{40E050A2-7BFF-48BF-A337-FC492FEB7A31}" presName="rootConnector" presStyleLbl="node3" presStyleIdx="3" presStyleCnt="4"/>
      <dgm:spPr/>
    </dgm:pt>
    <dgm:pt modelId="{75192E06-BD89-46E1-9561-CF163A6C2452}" type="pres">
      <dgm:prSet presAssocID="{40E050A2-7BFF-48BF-A337-FC492FEB7A31}" presName="hierChild4" presStyleCnt="0"/>
      <dgm:spPr/>
    </dgm:pt>
    <dgm:pt modelId="{CBDEEC48-DB40-41C7-81CE-84170E8C2ED1}" type="pres">
      <dgm:prSet presAssocID="{40E050A2-7BFF-48BF-A337-FC492FEB7A31}" presName="hierChild5" presStyleCnt="0"/>
      <dgm:spPr/>
    </dgm:pt>
    <dgm:pt modelId="{2E926F7C-015C-44AD-A0E7-A24A553BD150}" type="pres">
      <dgm:prSet presAssocID="{38186271-C199-40A3-B45E-6284D8B46BC6}" presName="hierChild5" presStyleCnt="0"/>
      <dgm:spPr/>
    </dgm:pt>
    <dgm:pt modelId="{D43DD4D1-97FE-49F7-9C8B-4F66B5F5F76C}" type="pres">
      <dgm:prSet presAssocID="{4355F868-4B60-4565-B9E1-55A6FF8BCEDA}" presName="hierChild3" presStyleCnt="0"/>
      <dgm:spPr/>
    </dgm:pt>
  </dgm:ptLst>
  <dgm:cxnLst>
    <dgm:cxn modelId="{5628AE0C-5915-4722-A514-7879DFD2D5AB}" type="presOf" srcId="{E32FAFFE-185B-41F6-8CDB-D9ECEFBA3350}" destId="{904E1D79-80F2-4C63-AB3C-263AE274F351}" srcOrd="0" destOrd="0" presId="urn:microsoft.com/office/officeart/2005/8/layout/orgChart1"/>
    <dgm:cxn modelId="{EEDDDD1D-4884-413E-93F6-5E2A7AA07E45}" srcId="{4355F868-4B60-4565-B9E1-55A6FF8BCEDA}" destId="{38186271-C199-40A3-B45E-6284D8B46BC6}" srcOrd="1" destOrd="0" parTransId="{77E61CB3-9763-4163-82BD-D931954A5C92}" sibTransId="{06A9B969-B65C-4EE4-9437-B37DB4BED53D}"/>
    <dgm:cxn modelId="{35DC2435-640E-4CC4-8DB1-AF3A30F46F04}" type="presOf" srcId="{4355F868-4B60-4565-B9E1-55A6FF8BCEDA}" destId="{A9CF2A7E-1558-40C6-9B5D-744AE31C0964}" srcOrd="0" destOrd="0" presId="urn:microsoft.com/office/officeart/2005/8/layout/orgChart1"/>
    <dgm:cxn modelId="{A9798535-7226-4E2A-B46A-22F42340DDB9}" type="presOf" srcId="{B751BB31-F2CE-4979-B9AB-C58BF26C5B37}" destId="{F7F3389F-552B-4FB8-AA2C-23966B1FAFF6}" srcOrd="0" destOrd="0" presId="urn:microsoft.com/office/officeart/2005/8/layout/orgChart1"/>
    <dgm:cxn modelId="{D0D7C138-5B46-4868-8222-A7BCDF671A46}" type="presOf" srcId="{5CFC2C88-DC06-4CBD-BAB0-A6D1CC07AE8D}" destId="{B95F541F-5330-46E3-8B8D-B760BB90DDF0}" srcOrd="0" destOrd="0" presId="urn:microsoft.com/office/officeart/2005/8/layout/orgChart1"/>
    <dgm:cxn modelId="{296F043B-3405-47A9-9584-3A5EB933FB58}" srcId="{38186271-C199-40A3-B45E-6284D8B46BC6}" destId="{40E050A2-7BFF-48BF-A337-FC492FEB7A31}" srcOrd="1" destOrd="0" parTransId="{35E7648E-A356-4C2E-8FE9-9D0D627AFFB0}" sibTransId="{514E13DC-EB2D-47C1-B625-8353CC9DE743}"/>
    <dgm:cxn modelId="{6F5FB93C-6B1F-4DEB-A3E7-46156B6F8D6B}" srcId="{56AEE523-F433-451B-A6CB-80D6FF2A6F1B}" destId="{96BB5DAF-B217-40AB-A4FE-7DC01281124B}" srcOrd="1" destOrd="0" parTransId="{BB226B71-4A71-4949-837E-15ABA8B0C135}" sibTransId="{495E0097-5B72-4194-8A4F-15906DC1D4D3}"/>
    <dgm:cxn modelId="{6520BF64-4DA8-4C6E-A8EA-8055BE9F759A}" type="presOf" srcId="{96BB5DAF-B217-40AB-A4FE-7DC01281124B}" destId="{444DE651-78B1-47E1-87E5-1345D5A0D975}" srcOrd="1" destOrd="0" presId="urn:microsoft.com/office/officeart/2005/8/layout/orgChart1"/>
    <dgm:cxn modelId="{377CD846-7A3A-403E-B805-188F912AE3B2}" type="presOf" srcId="{40E050A2-7BFF-48BF-A337-FC492FEB7A31}" destId="{946ED5DC-6A2D-44C4-A208-DA7734A2C85A}" srcOrd="0" destOrd="0" presId="urn:microsoft.com/office/officeart/2005/8/layout/orgChart1"/>
    <dgm:cxn modelId="{D4E8244C-9CA4-43F0-9234-2360CA899137}" type="presOf" srcId="{E32FAFFE-185B-41F6-8CDB-D9ECEFBA3350}" destId="{3CA774C4-8C61-4EF6-9A78-6EC2369CBB85}" srcOrd="1" destOrd="0" presId="urn:microsoft.com/office/officeart/2005/8/layout/orgChart1"/>
    <dgm:cxn modelId="{BB99534D-048E-447F-BDB1-B18827F1EDB2}" srcId="{56AEE523-F433-451B-A6CB-80D6FF2A6F1B}" destId="{5CFC2C88-DC06-4CBD-BAB0-A6D1CC07AE8D}" srcOrd="0" destOrd="0" parTransId="{D028958C-83C4-4114-861F-1F671942BBCA}" sibTransId="{28CC4BEF-1607-4612-9523-8E298E38698B}"/>
    <dgm:cxn modelId="{0FA1194E-9476-409D-B72E-B8C12685E029}" type="presOf" srcId="{56AEE523-F433-451B-A6CB-80D6FF2A6F1B}" destId="{41BADD31-2D94-4549-BAB5-5A27BB2113BC}" srcOrd="1" destOrd="0" presId="urn:microsoft.com/office/officeart/2005/8/layout/orgChart1"/>
    <dgm:cxn modelId="{DA97D96F-7261-47FE-8DF7-808D43F3DB2F}" type="presOf" srcId="{96BB5DAF-B217-40AB-A4FE-7DC01281124B}" destId="{B2B5C53D-E02F-4EEE-A540-D6CAACCF7C89}" srcOrd="0" destOrd="0" presId="urn:microsoft.com/office/officeart/2005/8/layout/orgChart1"/>
    <dgm:cxn modelId="{5D46E659-C8AD-4695-8266-DD3695851A2B}" type="presOf" srcId="{446F447F-5EF9-4456-88FA-A4D0D91C9C0D}" destId="{2E7B311E-4755-4E41-AED4-A577CA6FBCFF}" srcOrd="0" destOrd="0" presId="urn:microsoft.com/office/officeart/2005/8/layout/orgChart1"/>
    <dgm:cxn modelId="{6C307D83-ABB5-49E4-B7F3-0713890EB805}" type="presOf" srcId="{35E7648E-A356-4C2E-8FE9-9D0D627AFFB0}" destId="{D98C32AF-C89B-4D79-9F04-D507E7DBE13D}" srcOrd="0" destOrd="0" presId="urn:microsoft.com/office/officeart/2005/8/layout/orgChart1"/>
    <dgm:cxn modelId="{81B62988-A3EF-4C34-8CCF-0936EA5494AD}" type="presOf" srcId="{4355F868-4B60-4565-B9E1-55A6FF8BCEDA}" destId="{CE6F1AF3-0179-43EF-9B70-1C929EB27D83}" srcOrd="1" destOrd="0" presId="urn:microsoft.com/office/officeart/2005/8/layout/orgChart1"/>
    <dgm:cxn modelId="{33AD1D92-4A30-4376-B770-8F5781A317FA}" type="presOf" srcId="{38186271-C199-40A3-B45E-6284D8B46BC6}" destId="{04C3CCF7-6500-49A4-9F6C-3FCA6E968957}" srcOrd="1" destOrd="0" presId="urn:microsoft.com/office/officeart/2005/8/layout/orgChart1"/>
    <dgm:cxn modelId="{AEF55292-616F-48A9-B45C-672A353B872C}" type="presOf" srcId="{38186271-C199-40A3-B45E-6284D8B46BC6}" destId="{30E30329-0EE6-4111-8959-45FB7C4CEFD5}" srcOrd="0" destOrd="0" presId="urn:microsoft.com/office/officeart/2005/8/layout/orgChart1"/>
    <dgm:cxn modelId="{A50DBFAA-2FE3-4E71-97BE-45BF430F5C0C}" srcId="{4355F868-4B60-4565-B9E1-55A6FF8BCEDA}" destId="{56AEE523-F433-451B-A6CB-80D6FF2A6F1B}" srcOrd="0" destOrd="0" parTransId="{B751BB31-F2CE-4979-B9AB-C58BF26C5B37}" sibTransId="{671818A0-8243-4C2F-B59A-5C5776EF2A26}"/>
    <dgm:cxn modelId="{B9E7ADAE-B7C4-4D23-AA6D-544EFFCBF5C7}" type="presOf" srcId="{5CFC2C88-DC06-4CBD-BAB0-A6D1CC07AE8D}" destId="{B086E91B-0DBD-492B-A051-7BC4E01D1469}" srcOrd="1" destOrd="0" presId="urn:microsoft.com/office/officeart/2005/8/layout/orgChart1"/>
    <dgm:cxn modelId="{3CFD9CB9-010F-4557-BFBB-E782AF8D2E7F}" type="presOf" srcId="{BB226B71-4A71-4949-837E-15ABA8B0C135}" destId="{3C8C103A-63DB-446F-836B-5D388BA7AA28}" srcOrd="0" destOrd="0" presId="urn:microsoft.com/office/officeart/2005/8/layout/orgChart1"/>
    <dgm:cxn modelId="{1FCB88C1-B84C-4A31-A24A-D1483F66B644}" type="presOf" srcId="{D028958C-83C4-4114-861F-1F671942BBCA}" destId="{49C9EDFB-8288-44D2-9403-218026C83787}" srcOrd="0" destOrd="0" presId="urn:microsoft.com/office/officeart/2005/8/layout/orgChart1"/>
    <dgm:cxn modelId="{416045C9-20F9-45A5-9096-8B7BE39E0043}" type="presOf" srcId="{77E61CB3-9763-4163-82BD-D931954A5C92}" destId="{311B2BDA-6E67-445D-B317-B74FAD083AF5}" srcOrd="0" destOrd="0" presId="urn:microsoft.com/office/officeart/2005/8/layout/orgChart1"/>
    <dgm:cxn modelId="{4B642ECA-033F-4598-89B0-1A7CE22687B9}" srcId="{38186271-C199-40A3-B45E-6284D8B46BC6}" destId="{E32FAFFE-185B-41F6-8CDB-D9ECEFBA3350}" srcOrd="0" destOrd="0" parTransId="{2FFA7C54-F7F1-4F9B-B5C7-FEACC4DD6C8B}" sibTransId="{8A24BC65-48CA-4DDF-9A92-1FCF00D21404}"/>
    <dgm:cxn modelId="{9C7B18D6-C3E2-412F-A447-20EC09A3EC1B}" type="presOf" srcId="{2FFA7C54-F7F1-4F9B-B5C7-FEACC4DD6C8B}" destId="{EFCCE5E2-1F5B-4D91-9D74-708978B99E3E}" srcOrd="0" destOrd="0" presId="urn:microsoft.com/office/officeart/2005/8/layout/orgChart1"/>
    <dgm:cxn modelId="{9A8A4CE1-5781-41EF-9714-5719B6A5AF09}" type="presOf" srcId="{40E050A2-7BFF-48BF-A337-FC492FEB7A31}" destId="{06C6630E-9DC7-4C5B-8D4C-EA09CE34D6C6}" srcOrd="1" destOrd="0" presId="urn:microsoft.com/office/officeart/2005/8/layout/orgChart1"/>
    <dgm:cxn modelId="{808E4EE4-3E7E-404E-AAAA-A79B9777C06C}" type="presOf" srcId="{56AEE523-F433-451B-A6CB-80D6FF2A6F1B}" destId="{F2FE37E2-B6F8-4B81-9786-91440A19DF10}" srcOrd="0" destOrd="0" presId="urn:microsoft.com/office/officeart/2005/8/layout/orgChart1"/>
    <dgm:cxn modelId="{607339F4-0431-4E23-A9E9-1CB14BE7BC50}" srcId="{446F447F-5EF9-4456-88FA-A4D0D91C9C0D}" destId="{4355F868-4B60-4565-B9E1-55A6FF8BCEDA}" srcOrd="0" destOrd="0" parTransId="{0F9FF364-A59A-4040-982D-06295820A945}" sibTransId="{C77FA06A-832F-4498-9D61-74552B9CF57B}"/>
    <dgm:cxn modelId="{902FB092-3F62-4C7A-8143-737048D61DDD}" type="presParOf" srcId="{2E7B311E-4755-4E41-AED4-A577CA6FBCFF}" destId="{F56F793B-D1E0-476A-AFC6-2E29FEF60218}" srcOrd="0" destOrd="0" presId="urn:microsoft.com/office/officeart/2005/8/layout/orgChart1"/>
    <dgm:cxn modelId="{DA060162-9B98-462D-B634-025C7936E7D2}" type="presParOf" srcId="{F56F793B-D1E0-476A-AFC6-2E29FEF60218}" destId="{4D8616B8-4A37-4313-9E33-12F2A0DCCC34}" srcOrd="0" destOrd="0" presId="urn:microsoft.com/office/officeart/2005/8/layout/orgChart1"/>
    <dgm:cxn modelId="{3B54A084-1584-4604-A07D-7B208DA064CF}" type="presParOf" srcId="{4D8616B8-4A37-4313-9E33-12F2A0DCCC34}" destId="{A9CF2A7E-1558-40C6-9B5D-744AE31C0964}" srcOrd="0" destOrd="0" presId="urn:microsoft.com/office/officeart/2005/8/layout/orgChart1"/>
    <dgm:cxn modelId="{B3985F56-B935-4876-B981-458F38C965F6}" type="presParOf" srcId="{4D8616B8-4A37-4313-9E33-12F2A0DCCC34}" destId="{CE6F1AF3-0179-43EF-9B70-1C929EB27D83}" srcOrd="1" destOrd="0" presId="urn:microsoft.com/office/officeart/2005/8/layout/orgChart1"/>
    <dgm:cxn modelId="{0E6FEB41-02E5-48F9-8B29-C1FB0DC55C3F}" type="presParOf" srcId="{F56F793B-D1E0-476A-AFC6-2E29FEF60218}" destId="{91F97832-A79A-41EE-915D-0A32BC0A68B1}" srcOrd="1" destOrd="0" presId="urn:microsoft.com/office/officeart/2005/8/layout/orgChart1"/>
    <dgm:cxn modelId="{C1E93DA8-D4C3-456C-BE73-7B1A6F142EA9}" type="presParOf" srcId="{91F97832-A79A-41EE-915D-0A32BC0A68B1}" destId="{F7F3389F-552B-4FB8-AA2C-23966B1FAFF6}" srcOrd="0" destOrd="0" presId="urn:microsoft.com/office/officeart/2005/8/layout/orgChart1"/>
    <dgm:cxn modelId="{BE8035E3-5237-4387-9A90-D042ED7EE1D6}" type="presParOf" srcId="{91F97832-A79A-41EE-915D-0A32BC0A68B1}" destId="{844F9A68-AE9A-4F86-ACB7-49D953E4AC64}" srcOrd="1" destOrd="0" presId="urn:microsoft.com/office/officeart/2005/8/layout/orgChart1"/>
    <dgm:cxn modelId="{7659EC22-0FBC-444A-9F7F-943E6F4AA32D}" type="presParOf" srcId="{844F9A68-AE9A-4F86-ACB7-49D953E4AC64}" destId="{DBA6DA9E-1935-470C-B934-A68F729C8669}" srcOrd="0" destOrd="0" presId="urn:microsoft.com/office/officeart/2005/8/layout/orgChart1"/>
    <dgm:cxn modelId="{DF572CAA-7F65-401F-9EDF-BE0CEC296947}" type="presParOf" srcId="{DBA6DA9E-1935-470C-B934-A68F729C8669}" destId="{F2FE37E2-B6F8-4B81-9786-91440A19DF10}" srcOrd="0" destOrd="0" presId="urn:microsoft.com/office/officeart/2005/8/layout/orgChart1"/>
    <dgm:cxn modelId="{AB53AD23-5566-45DC-9315-F71BA9C976A5}" type="presParOf" srcId="{DBA6DA9E-1935-470C-B934-A68F729C8669}" destId="{41BADD31-2D94-4549-BAB5-5A27BB2113BC}" srcOrd="1" destOrd="0" presId="urn:microsoft.com/office/officeart/2005/8/layout/orgChart1"/>
    <dgm:cxn modelId="{57962A43-00D0-49B7-992E-594B0EBFC01A}" type="presParOf" srcId="{844F9A68-AE9A-4F86-ACB7-49D953E4AC64}" destId="{F3949ED0-31BE-49E9-A51A-970292F597EA}" srcOrd="1" destOrd="0" presId="urn:microsoft.com/office/officeart/2005/8/layout/orgChart1"/>
    <dgm:cxn modelId="{733F1852-2679-43F3-A600-B7A0C812CAC5}" type="presParOf" srcId="{F3949ED0-31BE-49E9-A51A-970292F597EA}" destId="{49C9EDFB-8288-44D2-9403-218026C83787}" srcOrd="0" destOrd="0" presId="urn:microsoft.com/office/officeart/2005/8/layout/orgChart1"/>
    <dgm:cxn modelId="{6CFDA6F1-DAC4-4909-A17F-FB7CF162B7A6}" type="presParOf" srcId="{F3949ED0-31BE-49E9-A51A-970292F597EA}" destId="{A7F25C29-E8F3-4C8F-8852-013E14DE91A8}" srcOrd="1" destOrd="0" presId="urn:microsoft.com/office/officeart/2005/8/layout/orgChart1"/>
    <dgm:cxn modelId="{AC127F49-CC2A-4B68-A716-345F9CB14D12}" type="presParOf" srcId="{A7F25C29-E8F3-4C8F-8852-013E14DE91A8}" destId="{E133D6BF-6B48-479B-97CE-9CD78035380F}" srcOrd="0" destOrd="0" presId="urn:microsoft.com/office/officeart/2005/8/layout/orgChart1"/>
    <dgm:cxn modelId="{4F6B9F1B-4472-410D-9B60-52D151492FCD}" type="presParOf" srcId="{E133D6BF-6B48-479B-97CE-9CD78035380F}" destId="{B95F541F-5330-46E3-8B8D-B760BB90DDF0}" srcOrd="0" destOrd="0" presId="urn:microsoft.com/office/officeart/2005/8/layout/orgChart1"/>
    <dgm:cxn modelId="{F2C9CF0F-E024-4149-BC58-97D6ADA6C7C8}" type="presParOf" srcId="{E133D6BF-6B48-479B-97CE-9CD78035380F}" destId="{B086E91B-0DBD-492B-A051-7BC4E01D1469}" srcOrd="1" destOrd="0" presId="urn:microsoft.com/office/officeart/2005/8/layout/orgChart1"/>
    <dgm:cxn modelId="{FEF233BB-0D2E-4B08-930C-D54BFE9DE9A3}" type="presParOf" srcId="{A7F25C29-E8F3-4C8F-8852-013E14DE91A8}" destId="{9367EB4C-3D6F-498C-8772-D804F66189E5}" srcOrd="1" destOrd="0" presId="urn:microsoft.com/office/officeart/2005/8/layout/orgChart1"/>
    <dgm:cxn modelId="{382E75BB-997E-4C98-A56D-7B2F3E464A8A}" type="presParOf" srcId="{A7F25C29-E8F3-4C8F-8852-013E14DE91A8}" destId="{D1FC31E8-695A-4025-9528-647604CFB73F}" srcOrd="2" destOrd="0" presId="urn:microsoft.com/office/officeart/2005/8/layout/orgChart1"/>
    <dgm:cxn modelId="{67D429C0-1A52-46E1-B347-A81D3AF3073F}" type="presParOf" srcId="{F3949ED0-31BE-49E9-A51A-970292F597EA}" destId="{3C8C103A-63DB-446F-836B-5D388BA7AA28}" srcOrd="2" destOrd="0" presId="urn:microsoft.com/office/officeart/2005/8/layout/orgChart1"/>
    <dgm:cxn modelId="{B67D4964-E085-4ADC-A0D9-422A27F1347E}" type="presParOf" srcId="{F3949ED0-31BE-49E9-A51A-970292F597EA}" destId="{960E239D-6F3C-4149-9E2B-2078E0AEB546}" srcOrd="3" destOrd="0" presId="urn:microsoft.com/office/officeart/2005/8/layout/orgChart1"/>
    <dgm:cxn modelId="{4EC35BD6-8229-4870-9155-EA3CAF3603AC}" type="presParOf" srcId="{960E239D-6F3C-4149-9E2B-2078E0AEB546}" destId="{BA9DE1A1-3D91-4099-A3F4-332F4B149886}" srcOrd="0" destOrd="0" presId="urn:microsoft.com/office/officeart/2005/8/layout/orgChart1"/>
    <dgm:cxn modelId="{04E58F54-4B24-432D-AB42-C3022EC5800A}" type="presParOf" srcId="{BA9DE1A1-3D91-4099-A3F4-332F4B149886}" destId="{B2B5C53D-E02F-4EEE-A540-D6CAACCF7C89}" srcOrd="0" destOrd="0" presId="urn:microsoft.com/office/officeart/2005/8/layout/orgChart1"/>
    <dgm:cxn modelId="{C581C603-6231-48D4-9A27-09C5C1AB5059}" type="presParOf" srcId="{BA9DE1A1-3D91-4099-A3F4-332F4B149886}" destId="{444DE651-78B1-47E1-87E5-1345D5A0D975}" srcOrd="1" destOrd="0" presId="urn:microsoft.com/office/officeart/2005/8/layout/orgChart1"/>
    <dgm:cxn modelId="{3D4D89C4-57AF-48E6-8581-2A6622C65956}" type="presParOf" srcId="{960E239D-6F3C-4149-9E2B-2078E0AEB546}" destId="{5208CD15-CC11-4D82-8354-A8F6FC343D7D}" srcOrd="1" destOrd="0" presId="urn:microsoft.com/office/officeart/2005/8/layout/orgChart1"/>
    <dgm:cxn modelId="{A5CD40A6-B198-4C89-9FE6-D22A64CE1BDE}" type="presParOf" srcId="{960E239D-6F3C-4149-9E2B-2078E0AEB546}" destId="{19EAF7C5-BEFB-4232-B8D6-4AF7D2431EA4}" srcOrd="2" destOrd="0" presId="urn:microsoft.com/office/officeart/2005/8/layout/orgChart1"/>
    <dgm:cxn modelId="{11552AF0-58A2-4F25-B2F9-0D8C6013A50B}" type="presParOf" srcId="{844F9A68-AE9A-4F86-ACB7-49D953E4AC64}" destId="{BE06BD16-2388-4514-8516-5ED5C9298407}" srcOrd="2" destOrd="0" presId="urn:microsoft.com/office/officeart/2005/8/layout/orgChart1"/>
    <dgm:cxn modelId="{F6CD6F70-2FC2-401C-906B-3A7145A6A25E}" type="presParOf" srcId="{91F97832-A79A-41EE-915D-0A32BC0A68B1}" destId="{311B2BDA-6E67-445D-B317-B74FAD083AF5}" srcOrd="2" destOrd="0" presId="urn:microsoft.com/office/officeart/2005/8/layout/orgChart1"/>
    <dgm:cxn modelId="{FFDC6510-9E0F-4554-8105-1DEEDF2CDE18}" type="presParOf" srcId="{91F97832-A79A-41EE-915D-0A32BC0A68B1}" destId="{32E17F1F-AA20-41F5-A026-F5432C4F1DA0}" srcOrd="3" destOrd="0" presId="urn:microsoft.com/office/officeart/2005/8/layout/orgChart1"/>
    <dgm:cxn modelId="{DC71C14B-5745-4E43-A3CA-422B7900B8CC}" type="presParOf" srcId="{32E17F1F-AA20-41F5-A026-F5432C4F1DA0}" destId="{D893D89E-A598-40E8-AEAF-A60664088D37}" srcOrd="0" destOrd="0" presId="urn:microsoft.com/office/officeart/2005/8/layout/orgChart1"/>
    <dgm:cxn modelId="{1C3DD726-F493-4770-8DF9-2EDD47F6A3BB}" type="presParOf" srcId="{D893D89E-A598-40E8-AEAF-A60664088D37}" destId="{30E30329-0EE6-4111-8959-45FB7C4CEFD5}" srcOrd="0" destOrd="0" presId="urn:microsoft.com/office/officeart/2005/8/layout/orgChart1"/>
    <dgm:cxn modelId="{0D3D339B-8247-46D7-8740-E4409A4223B5}" type="presParOf" srcId="{D893D89E-A598-40E8-AEAF-A60664088D37}" destId="{04C3CCF7-6500-49A4-9F6C-3FCA6E968957}" srcOrd="1" destOrd="0" presId="urn:microsoft.com/office/officeart/2005/8/layout/orgChart1"/>
    <dgm:cxn modelId="{DF67BBA5-3D4F-496F-9F0C-AD7A02113EE0}" type="presParOf" srcId="{32E17F1F-AA20-41F5-A026-F5432C4F1DA0}" destId="{F251AE95-E8E9-4742-9FFD-0C40F36EFB28}" srcOrd="1" destOrd="0" presId="urn:microsoft.com/office/officeart/2005/8/layout/orgChart1"/>
    <dgm:cxn modelId="{F8ACEAA1-B006-49BA-9D01-6A39DC342837}" type="presParOf" srcId="{F251AE95-E8E9-4742-9FFD-0C40F36EFB28}" destId="{EFCCE5E2-1F5B-4D91-9D74-708978B99E3E}" srcOrd="0" destOrd="0" presId="urn:microsoft.com/office/officeart/2005/8/layout/orgChart1"/>
    <dgm:cxn modelId="{53A323FA-9020-499D-A846-05AE229BE17C}" type="presParOf" srcId="{F251AE95-E8E9-4742-9FFD-0C40F36EFB28}" destId="{36695A33-66E2-4944-8286-406F1E298C55}" srcOrd="1" destOrd="0" presId="urn:microsoft.com/office/officeart/2005/8/layout/orgChart1"/>
    <dgm:cxn modelId="{31C6FF9A-30CC-4C58-8055-A9107CA6A81C}" type="presParOf" srcId="{36695A33-66E2-4944-8286-406F1E298C55}" destId="{61CD77A7-606A-40E1-BFD1-47C9C85FE6C7}" srcOrd="0" destOrd="0" presId="urn:microsoft.com/office/officeart/2005/8/layout/orgChart1"/>
    <dgm:cxn modelId="{6A75937C-02CE-4E38-B47B-91FB46D99927}" type="presParOf" srcId="{61CD77A7-606A-40E1-BFD1-47C9C85FE6C7}" destId="{904E1D79-80F2-4C63-AB3C-263AE274F351}" srcOrd="0" destOrd="0" presId="urn:microsoft.com/office/officeart/2005/8/layout/orgChart1"/>
    <dgm:cxn modelId="{CA9B7E0D-48D3-450D-BC07-EC7DB7480AC3}" type="presParOf" srcId="{61CD77A7-606A-40E1-BFD1-47C9C85FE6C7}" destId="{3CA774C4-8C61-4EF6-9A78-6EC2369CBB85}" srcOrd="1" destOrd="0" presId="urn:microsoft.com/office/officeart/2005/8/layout/orgChart1"/>
    <dgm:cxn modelId="{11908274-957F-4ADB-9FC6-3EE97E002C2C}" type="presParOf" srcId="{36695A33-66E2-4944-8286-406F1E298C55}" destId="{3263305A-9329-47A4-B374-B9DF8E9DFDC7}" srcOrd="1" destOrd="0" presId="urn:microsoft.com/office/officeart/2005/8/layout/orgChart1"/>
    <dgm:cxn modelId="{72F91C43-5A65-4F26-A5F1-E366BAE9D79A}" type="presParOf" srcId="{36695A33-66E2-4944-8286-406F1E298C55}" destId="{AD48C49F-4E61-439C-A736-693AED570E33}" srcOrd="2" destOrd="0" presId="urn:microsoft.com/office/officeart/2005/8/layout/orgChart1"/>
    <dgm:cxn modelId="{CFB7F7FE-CE84-45AD-9920-B6E350DC48A6}" type="presParOf" srcId="{F251AE95-E8E9-4742-9FFD-0C40F36EFB28}" destId="{D98C32AF-C89B-4D79-9F04-D507E7DBE13D}" srcOrd="2" destOrd="0" presId="urn:microsoft.com/office/officeart/2005/8/layout/orgChart1"/>
    <dgm:cxn modelId="{EDD63767-C830-4BC6-9816-BCC8DBE6DDC4}" type="presParOf" srcId="{F251AE95-E8E9-4742-9FFD-0C40F36EFB28}" destId="{F651E740-24EE-4576-95AB-80B995759ED6}" srcOrd="3" destOrd="0" presId="urn:microsoft.com/office/officeart/2005/8/layout/orgChart1"/>
    <dgm:cxn modelId="{AF81A2FE-E924-46BD-9404-7617C9136CE9}" type="presParOf" srcId="{F651E740-24EE-4576-95AB-80B995759ED6}" destId="{85A2A3DF-872D-4F43-8E04-6218254B3F14}" srcOrd="0" destOrd="0" presId="urn:microsoft.com/office/officeart/2005/8/layout/orgChart1"/>
    <dgm:cxn modelId="{8F61D783-F0FA-4556-989D-9798C2D26A02}" type="presParOf" srcId="{85A2A3DF-872D-4F43-8E04-6218254B3F14}" destId="{946ED5DC-6A2D-44C4-A208-DA7734A2C85A}" srcOrd="0" destOrd="0" presId="urn:microsoft.com/office/officeart/2005/8/layout/orgChart1"/>
    <dgm:cxn modelId="{45B1EAD7-8EBB-43AD-8B9C-01B2611B55FF}" type="presParOf" srcId="{85A2A3DF-872D-4F43-8E04-6218254B3F14}" destId="{06C6630E-9DC7-4C5B-8D4C-EA09CE34D6C6}" srcOrd="1" destOrd="0" presId="urn:microsoft.com/office/officeart/2005/8/layout/orgChart1"/>
    <dgm:cxn modelId="{1F0CF366-BAF4-45C2-BFD8-E7E46A123D66}" type="presParOf" srcId="{F651E740-24EE-4576-95AB-80B995759ED6}" destId="{75192E06-BD89-46E1-9561-CF163A6C2452}" srcOrd="1" destOrd="0" presId="urn:microsoft.com/office/officeart/2005/8/layout/orgChart1"/>
    <dgm:cxn modelId="{3B96AA8D-57D6-4A1F-ADD4-35E626B67F3D}" type="presParOf" srcId="{F651E740-24EE-4576-95AB-80B995759ED6}" destId="{CBDEEC48-DB40-41C7-81CE-84170E8C2ED1}" srcOrd="2" destOrd="0" presId="urn:microsoft.com/office/officeart/2005/8/layout/orgChart1"/>
    <dgm:cxn modelId="{88735E1D-A02F-424A-A4C1-00C0006C5F46}" type="presParOf" srcId="{32E17F1F-AA20-41F5-A026-F5432C4F1DA0}" destId="{2E926F7C-015C-44AD-A0E7-A24A553BD150}" srcOrd="2" destOrd="0" presId="urn:microsoft.com/office/officeart/2005/8/layout/orgChart1"/>
    <dgm:cxn modelId="{B22F753A-153F-4027-9532-32483E2914E5}" type="presParOf" srcId="{F56F793B-D1E0-476A-AFC6-2E29FEF60218}" destId="{D43DD4D1-97FE-49F7-9C8B-4F66B5F5F76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98C32AF-C89B-4D79-9F04-D507E7DBE13D}">
      <dsp:nvSpPr>
        <dsp:cNvPr id="0" name=""/>
        <dsp:cNvSpPr/>
      </dsp:nvSpPr>
      <dsp:spPr>
        <a:xfrm>
          <a:off x="2840444" y="1472566"/>
          <a:ext cx="182333" cy="14221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2197"/>
              </a:lnTo>
              <a:lnTo>
                <a:pt x="182333" y="142219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CCE5E2-1F5B-4D91-9D74-708978B99E3E}">
      <dsp:nvSpPr>
        <dsp:cNvPr id="0" name=""/>
        <dsp:cNvSpPr/>
      </dsp:nvSpPr>
      <dsp:spPr>
        <a:xfrm>
          <a:off x="2840444" y="1472566"/>
          <a:ext cx="182333" cy="5591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9154"/>
              </a:lnTo>
              <a:lnTo>
                <a:pt x="182333" y="55915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1B2BDA-6E67-445D-B317-B74FAD083AF5}">
      <dsp:nvSpPr>
        <dsp:cNvPr id="0" name=""/>
        <dsp:cNvSpPr/>
      </dsp:nvSpPr>
      <dsp:spPr>
        <a:xfrm>
          <a:off x="2591255" y="609523"/>
          <a:ext cx="735409" cy="2552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633"/>
              </a:lnTo>
              <a:lnTo>
                <a:pt x="735409" y="127633"/>
              </a:lnTo>
              <a:lnTo>
                <a:pt x="735409" y="255266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8C103A-63DB-446F-836B-5D388BA7AA28}">
      <dsp:nvSpPr>
        <dsp:cNvPr id="0" name=""/>
        <dsp:cNvSpPr/>
      </dsp:nvSpPr>
      <dsp:spPr>
        <a:xfrm>
          <a:off x="1369624" y="1472566"/>
          <a:ext cx="182333" cy="14221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2197"/>
              </a:lnTo>
              <a:lnTo>
                <a:pt x="182333" y="142219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C9EDFB-8288-44D2-9403-218026C83787}">
      <dsp:nvSpPr>
        <dsp:cNvPr id="0" name=""/>
        <dsp:cNvSpPr/>
      </dsp:nvSpPr>
      <dsp:spPr>
        <a:xfrm>
          <a:off x="1369624" y="1472566"/>
          <a:ext cx="182333" cy="5591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9154"/>
              </a:lnTo>
              <a:lnTo>
                <a:pt x="182333" y="55915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F3389F-552B-4FB8-AA2C-23966B1FAFF6}">
      <dsp:nvSpPr>
        <dsp:cNvPr id="0" name=""/>
        <dsp:cNvSpPr/>
      </dsp:nvSpPr>
      <dsp:spPr>
        <a:xfrm>
          <a:off x="1855845" y="609523"/>
          <a:ext cx="735409" cy="255266"/>
        </a:xfrm>
        <a:custGeom>
          <a:avLst/>
          <a:gdLst/>
          <a:ahLst/>
          <a:cxnLst/>
          <a:rect l="0" t="0" r="0" b="0"/>
          <a:pathLst>
            <a:path>
              <a:moveTo>
                <a:pt x="735409" y="0"/>
              </a:moveTo>
              <a:lnTo>
                <a:pt x="735409" y="127633"/>
              </a:lnTo>
              <a:lnTo>
                <a:pt x="0" y="127633"/>
              </a:lnTo>
              <a:lnTo>
                <a:pt x="0" y="255266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CF2A7E-1558-40C6-9B5D-744AE31C0964}">
      <dsp:nvSpPr>
        <dsp:cNvPr id="0" name=""/>
        <dsp:cNvSpPr/>
      </dsp:nvSpPr>
      <dsp:spPr>
        <a:xfrm>
          <a:off x="1983478" y="1746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000" kern="1200"/>
            <a:t>Fig 1: Behavior, inter-trial divergence and inter-cell heterogenity</a:t>
          </a:r>
          <a:endParaRPr lang="zh-CN" altLang="en-US" sz="1000" kern="1200"/>
        </a:p>
      </dsp:txBody>
      <dsp:txXfrm>
        <a:off x="1983478" y="1746"/>
        <a:ext cx="1215553" cy="607776"/>
      </dsp:txXfrm>
    </dsp:sp>
    <dsp:sp modelId="{F2FE37E2-B6F8-4B81-9786-91440A19DF10}">
      <dsp:nvSpPr>
        <dsp:cNvPr id="0" name=""/>
        <dsp:cNvSpPr/>
      </dsp:nvSpPr>
      <dsp:spPr>
        <a:xfrm>
          <a:off x="1248068" y="864790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000" kern="1200"/>
            <a:t>Temporal stability and first-block performance</a:t>
          </a:r>
          <a:endParaRPr lang="zh-CN" altLang="en-US" sz="1000" kern="1200"/>
        </a:p>
      </dsp:txBody>
      <dsp:txXfrm>
        <a:off x="1248068" y="864790"/>
        <a:ext cx="1215553" cy="607776"/>
      </dsp:txXfrm>
    </dsp:sp>
    <dsp:sp modelId="{B95F541F-5330-46E3-8B8D-B760BB90DDF0}">
      <dsp:nvSpPr>
        <dsp:cNvPr id="0" name=""/>
        <dsp:cNvSpPr/>
      </dsp:nvSpPr>
      <dsp:spPr>
        <a:xfrm>
          <a:off x="1551957" y="1727833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000" kern="1200"/>
            <a:t>Fig 2: Encoding transfer and cFos manipulation</a:t>
          </a:r>
          <a:endParaRPr lang="zh-CN" altLang="en-US" sz="1000" kern="1200"/>
        </a:p>
      </dsp:txBody>
      <dsp:txXfrm>
        <a:off x="1551957" y="1727833"/>
        <a:ext cx="1215553" cy="607776"/>
      </dsp:txXfrm>
    </dsp:sp>
    <dsp:sp modelId="{B2B5C53D-E02F-4EEE-A540-D6CAACCF7C89}">
      <dsp:nvSpPr>
        <dsp:cNvPr id="0" name=""/>
        <dsp:cNvSpPr/>
      </dsp:nvSpPr>
      <dsp:spPr>
        <a:xfrm>
          <a:off x="1551957" y="2590876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000" kern="1200"/>
            <a:t>Fig 3: Ensemble fades after 7-day gap</a:t>
          </a:r>
          <a:endParaRPr lang="zh-CN" altLang="en-US" sz="1000" kern="1200"/>
        </a:p>
      </dsp:txBody>
      <dsp:txXfrm>
        <a:off x="1551957" y="2590876"/>
        <a:ext cx="1215553" cy="607776"/>
      </dsp:txXfrm>
    </dsp:sp>
    <dsp:sp modelId="{30E30329-0EE6-4111-8959-45FB7C4CEFD5}">
      <dsp:nvSpPr>
        <dsp:cNvPr id="0" name=""/>
        <dsp:cNvSpPr/>
      </dsp:nvSpPr>
      <dsp:spPr>
        <a:xfrm>
          <a:off x="2718888" y="864790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000" kern="1200"/>
            <a:t>Populational heterogenity and learning speed</a:t>
          </a:r>
          <a:endParaRPr lang="zh-CN" altLang="en-US" sz="1000" kern="1200"/>
        </a:p>
      </dsp:txBody>
      <dsp:txXfrm>
        <a:off x="2718888" y="864790"/>
        <a:ext cx="1215553" cy="607776"/>
      </dsp:txXfrm>
    </dsp:sp>
    <dsp:sp modelId="{904E1D79-80F2-4C63-AB3C-263AE274F351}">
      <dsp:nvSpPr>
        <dsp:cNvPr id="0" name=""/>
        <dsp:cNvSpPr/>
      </dsp:nvSpPr>
      <dsp:spPr>
        <a:xfrm>
          <a:off x="3022777" y="1727833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000" kern="1200"/>
            <a:t>Fig 4: TH inhibition lowers learning speed and heterogenity</a:t>
          </a:r>
          <a:endParaRPr lang="zh-CN" altLang="en-US" sz="1000" kern="1200"/>
        </a:p>
      </dsp:txBody>
      <dsp:txXfrm>
        <a:off x="3022777" y="1727833"/>
        <a:ext cx="1215553" cy="607776"/>
      </dsp:txXfrm>
    </dsp:sp>
    <dsp:sp modelId="{946ED5DC-6A2D-44C4-A208-DA7734A2C85A}">
      <dsp:nvSpPr>
        <dsp:cNvPr id="0" name=""/>
        <dsp:cNvSpPr/>
      </dsp:nvSpPr>
      <dsp:spPr>
        <a:xfrm>
          <a:off x="3022777" y="2590876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000" kern="1200"/>
            <a:t>Fig 5: Reproduction of heterogenity and learning speed on RNN simulation</a:t>
          </a:r>
          <a:endParaRPr lang="zh-CN" altLang="en-US" sz="1000" kern="1200"/>
        </a:p>
      </dsp:txBody>
      <dsp:txXfrm>
        <a:off x="3022777" y="2590876"/>
        <a:ext cx="1215553" cy="6077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6.jpeg"/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主要事件">
  <a:themeElements>
    <a:clrScheme name="主要事件">
      <a:dk1>
        <a:sysClr val="windowText" lastClr="000000"/>
      </a:dk1>
      <a:lt1>
        <a:sysClr val="window" lastClr="FFFFFF"/>
      </a:lt1>
      <a:dk2>
        <a:srgbClr val="424242"/>
      </a:dk2>
      <a:lt2>
        <a:srgbClr val="C8C8C8"/>
      </a:lt2>
      <a:accent1>
        <a:srgbClr val="B80E0F"/>
      </a:accent1>
      <a:accent2>
        <a:srgbClr val="A6987D"/>
      </a:accent2>
      <a:accent3>
        <a:srgbClr val="7F9A71"/>
      </a:accent3>
      <a:accent4>
        <a:srgbClr val="64969F"/>
      </a:accent4>
      <a:accent5>
        <a:srgbClr val="9B75B2"/>
      </a:accent5>
      <a:accent6>
        <a:srgbClr val="80737A"/>
      </a:accent6>
      <a:hlink>
        <a:srgbClr val="F21213"/>
      </a:hlink>
      <a:folHlink>
        <a:srgbClr val="B6A394"/>
      </a:folHlink>
    </a:clrScheme>
    <a:fontScheme name="主要事件">
      <a:maj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主要事件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blipFill>
          <a:blip xmlns:r="http://schemas.openxmlformats.org/officeDocument/2006/relationships" r:embed="rId1">
            <a:duotone>
              <a:schemeClr val="phClr">
                <a:shade val="88000"/>
                <a:lumMod val="88000"/>
              </a:schemeClr>
              <a:schemeClr val="phClr"/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0"/>
        </a:gradFill>
        <a:blipFill>
          <a:blip xmlns:r="http://schemas.openxmlformats.org/officeDocument/2006/relationships" r:embed="rId2">
            <a:duotone>
              <a:schemeClr val="phClr">
                <a:shade val="48000"/>
                <a:satMod val="110000"/>
                <a:lumMod val="40000"/>
              </a:schemeClr>
              <a:schemeClr val="phClr">
                <a:tint val="90000"/>
                <a:lumMod val="10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in Event" id="{AC372BB4-D83D-411E-B849-B641926BA760}" vid="{F1EFBDE3-1A95-4E3D-81AD-1F53D65BEA0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9341</TotalTime>
  <Pages>5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天夫 张</dc:creator>
  <cp:keywords/>
  <dc:description/>
  <cp:lastModifiedBy>天夫 张</cp:lastModifiedBy>
  <cp:revision>18</cp:revision>
  <dcterms:created xsi:type="dcterms:W3CDTF">2026-06-28T08:29:00Z</dcterms:created>
  <dcterms:modified xsi:type="dcterms:W3CDTF">2026-09-07T03:03:00Z</dcterms:modified>
</cp:coreProperties>
</file>