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问题高发人员统计报告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聚合监督力量，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{{start_year}}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{{start_month}}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{{start_day}}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{{end_year}}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{{end_month}}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{{end_day}}</w:t>
      </w:r>
      <w:r>
        <w:rPr>
          <w:rFonts w:ascii="仿宋" w:hAnsi="仿宋" w:eastAsia="仿宋" w:cs="仿宋"/>
          <w:sz w:val="32"/>
          <w:u w:color="auto"/>
        </w:rPr>
        <w:t>日问题高发人员情况报告如下：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一、问题高发民警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cr/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{{minjing_desc}}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二、问题高发辅警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{{fujing_desc}}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管理中心</w:t>
      </w:r>
    </w:p>
    <w:p>
      <w:pPr>
        <w:numPr>
          <w:ilvl w:val="0"/>
          <w:numId w:val="0"/>
        </w:numPr>
        <w:wordWrap w:val="0"/>
        <w:ind w:left="0" w:leftChars="0" w:firstLine="0" w:firstLineChars="0"/>
        <w:jc w:val="right"/>
        <w:rPr>
          <w:rFonts w:ascii="仿宋" w:hAnsi="仿宋" w:eastAsia="仿宋" w:cs="仿宋"/>
          <w:sz w:val="32"/>
          <w:szCs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{{current_year}}</w:t>
      </w:r>
      <w:r>
        <w:rPr>
          <w:rFonts w:ascii="仿宋" w:hAnsi="仿宋" w:eastAsia="仿宋" w:cs="仿宋"/>
          <w:sz w:val="32"/>
          <w:szCs w:val="32"/>
          <w:u w:color="auto"/>
        </w:rPr>
        <w:t>年</w:t>
      </w:r>
      <w:r>
        <w:rPr>
          <w:rFonts w:hint="eastAsia" w:ascii="仿宋" w:hAnsi="仿宋" w:eastAsia="仿宋" w:cs="仿宋"/>
          <w:sz w:val="32"/>
          <w:szCs w:val="32"/>
          <w:u w:color="auto"/>
        </w:rPr>
        <w:t>{{current_month}}</w:t>
      </w:r>
      <w:r>
        <w:rPr>
          <w:rFonts w:ascii="仿宋" w:hAnsi="仿宋" w:eastAsia="仿宋" w:cs="仿宋"/>
          <w:sz w:val="32"/>
          <w:szCs w:val="32"/>
          <w:u w:color="auto"/>
        </w:rPr>
        <w:t>月</w:t>
      </w:r>
      <w:r>
        <w:rPr>
          <w:rFonts w:hint="eastAsia" w:ascii="仿宋" w:hAnsi="仿宋" w:eastAsia="仿宋" w:cs="仿宋"/>
          <w:sz w:val="32"/>
          <w:szCs w:val="32"/>
          <w:u w:color="auto"/>
        </w:rPr>
        <w:t>{{current_day}}</w:t>
      </w:r>
      <w:r>
        <w:rPr>
          <w:rFonts w:ascii="仿宋" w:hAnsi="仿宋" w:eastAsia="仿宋" w:cs="仿宋"/>
          <w:sz w:val="32"/>
          <w:szCs w:val="32"/>
          <w:u w:color="auto"/>
        </w:rPr>
        <w:t>日</w:t>
      </w:r>
    </w:p>
    <w:p>
      <w:pPr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color="auto"/>
          <w:lang w:val="en-US" w:eastAsia="zh-CN"/>
        </w:rPr>
        <w:br w:type="page"/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附表：</w:t>
      </w: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一、问题高发民警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{{minjing_nothing}}</w:t>
      </w:r>
    </w:p>
    <w:tbl>
      <w:tblPr>
        <w:tblStyle w:val="3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833"/>
        <w:gridCol w:w="2642"/>
        <w:gridCol w:w="1335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minjing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046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014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60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department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739" w:type="pc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detail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二、问题高发辅警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fu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jing_nothing}}</w:t>
      </w:r>
    </w:p>
    <w:tbl>
      <w:tblPr>
        <w:tblStyle w:val="3"/>
        <w:tblW w:w="90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72"/>
        <w:gridCol w:w="2004"/>
        <w:gridCol w:w="1572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fujing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人名（警号）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0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department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15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3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detail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              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1994F32"/>
    <w:rsid w:val="14051BB9"/>
    <w:rsid w:val="229A0964"/>
    <w:rsid w:val="2A74641F"/>
    <w:rsid w:val="2BBC1222"/>
    <w:rsid w:val="318B7333"/>
    <w:rsid w:val="36D33CF3"/>
    <w:rsid w:val="3FB12FB2"/>
    <w:rsid w:val="431518AF"/>
    <w:rsid w:val="4537689D"/>
    <w:rsid w:val="4EE3324C"/>
    <w:rsid w:val="54F750DE"/>
    <w:rsid w:val="65C75519"/>
    <w:rsid w:val="71C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422</Words>
  <Characters>469</Characters>
  <Lines>0</Lines>
  <Paragraphs>0</Paragraphs>
  <TotalTime>8</TotalTime>
  <ScaleCrop>false</ScaleCrop>
  <LinksUpToDate>false</LinksUpToDate>
  <CharactersWithSpaces>505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2023-04-06T12:09:00Z</dcterms:created>
  <dc:creator>20858</dc:creator>
  <cp:lastModifiedBy>Administrator</cp:lastModifiedBy>
  <dcterms:modified xsi:type="dcterms:W3CDTF">2023-04-19T02:30:13Z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9A7F8249B000427BA957A366A0B5C6E3_13</vt:lpwstr>
  </property>
</Properties>
</file>