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before="0" w:after="200" w:line="283" w:lineRule="auto"/>
        <w:jc w:val="center"/>
      </w:pPr>
      <w:r>
        <w:rPr>
          <w:rFonts w:ascii="Calibri" w:hAnsi="Calibri"/>
          <w:color w:val="262626"/>
          <w:sz w:val="22"/>
        </w:rPr>
        <w:t>by</w:t>
      </w:r>
    </w:p>
    <w:p>
      <w:pPr>
        <w:spacing w:before="0" w:after="720" w:line="283" w:lineRule="auto"/>
        <w:jc w:val="center"/>
      </w:pPr>
      <w:r>
        <w:rPr>
          <w:rFonts w:ascii="Calibri" w:hAnsi="Calibri"/>
          <w:color w:val="262626"/>
          <w:sz w:val="22"/>
        </w:rPr>
      </w:r>
      <w:r>
        <w:rPr>
          <w:rFonts w:ascii="Calibri" w:hAnsi="Calibri"/>
          <w:b/>
          <w:color w:val="262626"/>
          <w:sz w:val="22"/>
        </w:rPr>
        <w:t>Shani Nahaissi, Agam Copel, Eran Shahaf, and Ameet Sokolic</w:t>
      </w:r>
      <w:r>
        <w:rPr>
          <w:rFonts w:ascii="Calibri" w:hAnsi="Calibri"/>
          <w:color w:val="262626"/>
          <w:sz w:val="22"/>
        </w:rPr>
      </w:r>
    </w:p>
    <w:p>
      <w:pPr>
        <w:spacing w:before="0" w:after="720" w:line="283" w:lineRule="auto"/>
        <w:jc w:val="center"/>
      </w:pPr>
      <w:r>
        <w:rPr>
          <w:rFonts w:ascii="Calibri" w:hAnsi="Calibri"/>
          <w:color w:val="262626"/>
          <w:sz w:val="22"/>
        </w:rPr>
        <w:t>Approved by the supervisor: Dr. Moshe Butman</w:t>
      </w:r>
    </w:p>
    <w:p>
      <w:pPr>
        <w:spacing w:before="0" w:after="80" w:line="283" w:lineRule="auto"/>
        <w:jc w:val="center"/>
      </w:pPr>
      <w:r>
        <w:rPr>
          <w:rFonts w:ascii="Calibri" w:hAnsi="Calibri"/>
          <w:color w:val="262626"/>
          <w:sz w:val="22"/>
        </w:rPr>
        <w:t>Submitted to the Computer Science Faculty of College of Management</w:t>
      </w:r>
    </w:p>
    <w:p>
      <w:pPr>
        <w:spacing w:before="0" w:after="80" w:line="283" w:lineRule="auto"/>
        <w:jc w:val="center"/>
      </w:pPr>
      <w:r>
        <w:rPr>
          <w:rFonts w:ascii="Calibri" w:hAnsi="Calibri"/>
          <w:color w:val="262626"/>
          <w:sz w:val="22"/>
        </w:rPr>
        <w:t>August 2026</w:t>
      </w:r>
    </w:p>
    <w:p>
      <w:pPr>
        <w:spacing w:before="0" w:after="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express our deepest gratitude to our project supervisor for their invaluable guidance, technical insight, and unwavering support throughout the research, design, and implementation of GUARDIAN.</w:t>
      </w:r>
    </w:p>
    <w:p>
      <w:pPr>
        <w:spacing w:before="0" w:after="100" w:line="283" w:lineRule="auto"/>
      </w:pPr>
      <w:r>
        <w:rPr>
          <w:rFonts w:ascii="Calibri" w:hAnsi="Calibri"/>
          <w:color w:val="262626"/>
          <w:sz w:val="22"/>
        </w:rPr>
        <w:t>We also extend our sincere appreciation to the Computer Science Faculty at the College of Management for providing the academic foundation, resources, and environment necessary to complete this work. Finally, we thank our team members, peers, and families for their continuous encouragement and collaboration.</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(CRITICAL SECTION)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ROC</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Receiver Operating Characteristic</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tc>
      </w:tr>
    </w:tbl>
    <w:p>
      <w:pPr>
        <w:spacing w:before="0" w:after="120"/>
      </w:pP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tc>
      </w:tr>
    </w:tbl>
    <w:p>
      <w:pPr>
        <w:spacing w:before="0" w:after="120"/>
      </w:pP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tc>
      </w:tr>
    </w:tbl>
    <w:p>
      <w:pPr>
        <w:spacing w:before="0" w:after="120"/>
      </w:pP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Adaptive Frame Striding: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xml:space="preserve">), under-represented threat actions (Shooting, Violence) are sampled densely using a very low frame stride (e.g., </w:t>
      </w:r>
      <w:r>
        <w:rPr>
          <w:rFonts w:ascii="Consolas" w:hAnsi="Consolas"/>
          <w:color w:val="991B1B"/>
          <w:sz w:val="19"/>
        </w:rPr>
        <w:t>FRAME_STEP = 1</w:t>
      </w:r>
      <w:r>
        <w:rPr>
          <w:rFonts w:ascii="Calibri" w:hAnsi="Calibri"/>
          <w:color w:val="262626"/>
          <w:sz w:val="22"/>
        </w:rPr>
        <w:t xml:space="preserve"> or </w:t>
      </w:r>
      <w:r>
        <w:rPr>
          <w:rFonts w:ascii="Consolas" w:hAnsi="Consolas"/>
          <w:color w:val="991B1B"/>
          <w:sz w:val="19"/>
        </w:rPr>
        <w:t>2</w:t>
      </w:r>
      <w:r>
        <w:rPr>
          <w:rFonts w:ascii="Calibri" w:hAnsi="Calibri"/>
          <w:color w:val="262626"/>
          <w:sz w:val="22"/>
        </w:rPr>
        <w:t xml:space="preserve"> frames). This captures high-frequency movement. In contrast, common normal behavior is sampled sparsely using a higher stride (e.g., </w:t>
      </w:r>
      <w:r>
        <w:rPr>
          <w:rFonts w:ascii="Consolas" w:hAnsi="Consolas"/>
          <w:color w:val="991B1B"/>
          <w:sz w:val="19"/>
        </w:rPr>
        <w:t>FRAME_STEP = 15</w:t>
      </w:r>
      <w:r>
        <w:rPr>
          <w:rFonts w:ascii="Calibri" w:hAnsi="Calibri"/>
          <w:color w:val="262626"/>
          <w:sz w:val="22"/>
        </w:rPr>
        <w:t xml:space="preserve"> or </w:t>
      </w:r>
      <w:r>
        <w:rPr>
          <w:rFonts w:ascii="Consolas" w:hAnsi="Consolas"/>
          <w:color w:val="991B1B"/>
          <w:sz w:val="19"/>
        </w:rPr>
        <w:t>30</w:t>
      </w:r>
      <w:r>
        <w:rPr>
          <w:rFonts w:ascii="Calibri" w:hAnsi="Calibri"/>
          <w:color w:val="262626"/>
          <w:sz w:val="22"/>
        </w:rPr>
        <w:t>), extracting fewer but more diverse sequence windows from the same background footage.</w:t>
      </w:r>
    </w:p>
    <w:p>
      <w:pPr>
        <w:pStyle w:val="ListBullet"/>
        <w:spacing w:before="0" w:after="60" w:line="276" w:lineRule="auto"/>
      </w:pPr>
      <w:r>
        <w:rPr>
          <w:rFonts w:ascii="Calibri" w:hAnsi="Calibri"/>
          <w:color w:val="262626"/>
          <w:sz w:val="22"/>
        </w:rPr>
      </w:r>
      <w:r>
        <w:rPr>
          <w:rFonts w:ascii="Calibri" w:hAnsi="Calibri"/>
          <w:b/>
          <w:color w:val="262626"/>
          <w:sz w:val="22"/>
        </w:rPr>
        <w:t>Minority Class Augmentation:</w:t>
      </w:r>
      <w:r>
        <w:rPr>
          <w:rFonts w:ascii="Calibri" w:hAnsi="Calibri"/>
          <w:color w:val="262626"/>
          <w:sz w:val="22"/>
        </w:rP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before="0" w:after="60" w:line="276" w:lineRule="auto"/>
      </w:pPr>
      <w:r>
        <w:rPr>
          <w:rFonts w:ascii="Calibri" w:hAnsi="Calibri"/>
          <w:color w:val="262626"/>
          <w:sz w:val="22"/>
        </w:rPr>
      </w:r>
      <w:r>
        <w:rPr>
          <w:rFonts w:ascii="Calibri" w:hAnsi="Calibri"/>
          <w:b/>
          <w:color w:val="262626"/>
          <w:sz w:val="22"/>
        </w:rPr>
        <w:t>Loss Normalization:</w:t>
      </w:r>
      <w:r>
        <w:rPr>
          <w:rFonts w:ascii="Calibri" w:hAnsi="Calibri"/>
          <w:color w:val="262626"/>
          <w:sz w:val="22"/>
        </w:rPr>
        <w:t xml:space="preserve"> Cross-entropy classification loss is calculated using weighted targets to penalize false negatives on Shooting and Violence actions more heavily than false alarms on Normal sequences.</w:t>
      </w:r>
    </w:p>
    <w:p>
      <w:pPr>
        <w:spacing w:before="160" w:after="160"/>
      </w:pPr>
    </w:p>
    <w:p>
      <w:pPr>
        <w:pStyle w:val="Heading3"/>
        <w:spacing w:before="240" w:after="60"/>
      </w:pPr>
      <w:r>
        <w:rPr>
          <w:rFonts w:ascii="Calibri" w:hAnsi="Calibri"/>
          <w:b/>
          <w:color w:val="3A5A80"/>
          <w:sz w:val="23"/>
        </w:rPr>
        <w:t>3.3. Algorithmic &amp; Deep Learning Architecture (CRITICAL SECTION)</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tc>
      </w:tr>
    </w:tbl>
    <w:p>
      <w:pPr>
        <w:spacing w:before="0" w:after="120"/>
      </w:pP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tc>
      </w:tr>
    </w:tbl>
    <w:p>
      <w:pPr>
        <w:spacing w:before="0" w:after="120"/>
      </w:pP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tc>
      </w:tr>
    </w:tbl>
    <w:p>
      <w:pPr>
        <w:spacing w:before="0" w:after="120"/>
      </w:pP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tc>
      </w:tr>
    </w:tbl>
    <w:p>
      <w:pPr>
        <w:spacing w:before="0" w:after="120"/>
      </w:pP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tc>
      </w:tr>
    </w:tbl>
    <w:p>
      <w:pPr>
        <w:spacing w:before="0" w:after="120"/>
      </w:pP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80% Train (11,880), 10% Val (1,485), and 10% Test (1,485). The model was trained using SGD with a learning rate of 0.01 and mosaic augmentations for 150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17.1% while reducing latency by 78% compared to a baseline Faster R-CNN.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tc>
      </w:tr>
    </w:tbl>
    <w:p>
      <w:pPr>
        <w:spacing w:before="0" w:after="120"/>
      </w:pP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tc>
      </w:tr>
    </w:tbl>
    <w:p>
      <w:pPr>
        <w:spacing w:before="0" w:after="120"/>
      </w:pP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6.3x faster</w:t>
      </w:r>
      <w:r>
        <w:rPr>
          <w:rFonts w:ascii="Calibri" w:hAnsi="Calibri"/>
          <w:color w:val="262626"/>
          <w:sz w:val="22"/>
        </w:rPr>
        <w:t xml:space="preserve"> (17.6 ms vs. 112.0 ms) while achieving a higher F1-score. This proves that simple 1D coordinate vectors are more efficient than processing raw video frames.</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tc>
      </w:tr>
    </w:tbl>
    <w:p>
      <w:pPr>
        <w:spacing w:before="0" w:after="120"/>
      </w:pP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tc>
      </w:tr>
    </w:tbl>
    <w:p>
      <w:pPr>
        <w:spacing w:before="0" w:after="120"/>
      </w:pP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tc>
      </w:tr>
    </w:tbl>
    <w:p>
      <w:pPr>
        <w:spacing w:before="0" w:after="120"/>
      </w:pP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tc>
      </w:tr>
    </w:tbl>
    <w:p>
      <w:pPr>
        <w:spacing w:before="0" w:after="120"/>
      </w:pP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