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spacing w:after="120" w:line="276" w:lineRule="auto"/>
      </w:pPr>
      <w:r>
        <w:t>*Note: Manually insert [main_page.png](file:///c:/Users/Shani%20Nahaissi/GUARDIAN/GUARDIAN/frontend/frontend_definition/main_page.png) here. This screenshot displays the GUARDIAN security dashboard view, which contains the list of active cameras, connection state metrics, and alert panels.*</w:t>
      </w:r>
    </w:p>
    <w:p>
      <w:pPr>
        <w:spacing w:after="120" w:line="276" w:lineRule="auto"/>
      </w:pPr>
      <w: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near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Near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(`dataset_builder.py`), under-represented threat actions (Shooting, Violence) are sampled densely using a very low frame stride (e.g., `FRAME_STEP = 1` or `2` frames). This captures high-frequency movement. In contrast, common normal behavior is sampled sparsely using a higher stride (e.g., `FRAME_STEP = 15` or `30`),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standard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(`NumPyCNNClassifier`). The team created a verification test suite (`test_model.py`)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t>*Note: The actual high-resolution graphical plot of the loss curves generated during model training should be manually inserted here in the final compiled Word document.*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t>*Note: Manually insert [current_metrics.png](file:///c:/Users/Shani%20Nahaissi/GUARDIAN/GUARDIAN/metrics/current_metrics.png) or [expected_metrics.png](file:///c:/Users/Shani%20Nahaissi/GUARDIAN/GUARDIAN/metrics/expected_metrics.png) here. This plot displays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Near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