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80"/>
        <w:jc w:val="center"/>
      </w:pPr>
      <w:r>
        <w:rPr>
          <w:rFonts w:ascii="Calibri" w:hAnsi="Calibri"/>
          <w:b/>
          <w:color w:val="1B365D"/>
          <w:sz w:val="56"/>
        </w:rPr>
        <w:t>GUARDIAN</w:t>
      </w:r>
    </w:p>
    <w:p>
      <w:pPr>
        <w:spacing w:before="0" w:after="720"/>
        <w:jc w:val="center"/>
      </w:pPr>
      <w:r>
        <w:rPr>
          <w:rFonts w:ascii="Calibri" w:hAnsi="Calibri"/>
          <w:b/>
          <w:color w:val="2B4C7E"/>
          <w:sz w:val="27"/>
        </w:rPr>
        <w:t>Near Real-Time Multi-Modal Threat and Behavioral Detection in Surveillance Video Streams Using Optimized YOLOv8, ByteTrack, and Temporal 1D-CNN Networks</w:t>
      </w:r>
    </w:p>
    <w:p>
      <w:pPr>
        <w:spacing w:after="200" w:line="276" w:lineRule="auto"/>
        <w:jc w:val="center"/>
      </w:pPr>
      <w:r>
        <w:t>by</w:t>
      </w:r>
    </w:p>
    <w:p>
      <w:pPr>
        <w:spacing w:after="720" w:line="276" w:lineRule="auto"/>
        <w:jc w:val="center"/>
      </w:pPr>
      <w:r/>
      <w:r>
        <w:rPr>
          <w:b/>
        </w:rPr>
        <w:t>Shani Nahaissi, Agam Copel, Eran Shahaf, and Ameet Sokolic</w:t>
      </w:r>
      <w:r/>
    </w:p>
    <w:p>
      <w:pPr>
        <w:spacing w:after="720" w:line="276" w:lineRule="auto"/>
        <w:jc w:val="center"/>
      </w:pPr>
      <w:r>
        <w:t>Approved by the supervisor: Dr. Moshe Butman</w:t>
      </w:r>
    </w:p>
    <w:p>
      <w:pPr>
        <w:spacing w:after="80" w:line="276" w:lineRule="auto"/>
        <w:jc w:val="center"/>
      </w:pPr>
      <w:r>
        <w:t>Submitted to the Computer Science Faculty of College of Management</w:t>
      </w:r>
    </w:p>
    <w:p>
      <w:pPr>
        <w:spacing w:after="80" w:line="276" w:lineRule="auto"/>
        <w:jc w:val="center"/>
      </w:pPr>
      <w:r>
        <w:t>August 2026</w:t>
      </w:r>
    </w:p>
    <w:p>
      <w:pPr>
        <w:spacing w:after="0" w:line="276" w:lineRule="auto"/>
        <w:jc w:val="center"/>
      </w:pPr>
      <w:r>
        <w:t>Rishon LeZion</w:t>
      </w:r>
    </w:p>
    <w:p>
      <w:r>
        <w:br w:type="page"/>
      </w:r>
    </w:p>
    <w:p>
      <w:pPr>
        <w:pStyle w:val="Heading2"/>
        <w:spacing w:before="240" w:after="80"/>
      </w:pPr>
      <w:r>
        <w:t>Acknowledgments</w:t>
      </w:r>
    </w:p>
    <w:p>
      <w:pPr>
        <w:spacing w:after="120" w:line="276" w:lineRule="auto"/>
      </w:pPr>
      <w:r>
        <w:t>We would like to express our deepest gratitude to our project supervisor for their invaluable guidance, technical insight, and unwavering support throughout the research, design, and implementation of GUARDIAN.</w:t>
      </w:r>
    </w:p>
    <w:p>
      <w:pPr>
        <w:spacing w:after="120" w:line="276" w:lineRule="auto"/>
      </w:pPr>
      <w:r>
        <w:t>We also extend our sincere appreciation to the Computer Science Faculty at the College of Management for providing the academic foundation, resources, and environment necessary to complete this work. Finally, we thank our team members, peers, and families for their continuous encouragement and collaboration.</w:t>
      </w:r>
    </w:p>
    <w:p>
      <w:r>
        <w:br w:type="page"/>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92.3%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high accuracy (reaching up to 79.6% F1-score on violent actions and 73.7% overall test accuracy)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BGR video frames are resized to 640x640, converted to RGB, normalized to the range [0.0, 1.0], and formatted as a float32 tensor (1 x 3 x 640 x 640) for ONNX Runtime execution.</w:t>
      </w:r>
    </w:p>
    <w:p>
      <w:pPr>
        <w:pStyle w:val="ListBullet"/>
        <w:spacing w:after="60" w:line="276" w:lineRule="auto"/>
      </w:pPr>
      <w:r/>
      <w:r>
        <w:rPr>
          <w:b/>
        </w:rPr>
        <w:t>Dual-Model Class Remapping &amp;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person detections (remapped to </w:t>
      </w:r>
      <w:r>
        <w:rPr>
          <w:rFonts w:ascii="Consolas" w:hAnsi="Consolas"/>
          <w:color w:val="7F1D1D"/>
          <w:sz w:val="19"/>
        </w:rPr>
        <w:t>Suspect</w:t>
      </w:r>
      <w:r>
        <w:t xml:space="preserve"> [2]) from the pretrained COCO model. Overlapping suspect bounding boxes from both models are de-duplicated using cross-model Non-Maximum Suppression (NMS) via OpenCV (</w:t>
      </w:r>
      <w:r>
        <w:rPr>
          <w:rFonts w:ascii="Consolas" w:hAnsi="Consolas"/>
          <w:color w:val="7F1D1D"/>
          <w:sz w:val="19"/>
        </w:rPr>
        <w:t>cv2.dnn.NMSBoxes</w:t>
      </w:r>
      <w:r>
        <w:t>) with an IoU threshold of 0.50 before passing active tracks to ByteTrack (</w:t>
      </w:r>
      <w:r>
        <w:rPr>
          <w:b/>
        </w:rPr>
        <w:t>Code Snippet 3.1</w:t>
      </w:r>
      <w:r>
        <w:t>).</w:t>
      </w:r>
    </w:p>
    <w:p>
      <w:pPr>
        <w:spacing w:after="160" w:before="80"/>
        <w:ind w:left="288" w:right="288"/>
      </w:pPr>
      <w:r>
        <w:rPr>
          <w:rFonts w:ascii="Consolas" w:hAnsi="Consolas"/>
          <w:color w:val="1F2937"/>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Track Promotion &amp; EMA Smoothing:</w:t>
      </w:r>
      <w:r>
        <w:t xml:space="preserve"> Traditional MOT algorithms hold new detections in a tentative state for 3–5 frames before display, causing UI visual lag. GUARDIAN promotes valid detections (</w:t>
      </w:r>
      <w:r>
        <w:rPr>
          <w:rFonts w:ascii="Consolas" w:hAnsi="Consolas"/>
          <w:color w:val="7F1D1D"/>
          <w:sz w:val="19"/>
        </w:rPr>
        <w:t>conf &gt;= 0.25</w:t>
      </w:r>
      <w:r>
        <w:t>) instantly on Frame 1 and applies exponential moving average (EMA) coordinate smoothing (alpha = 0.60) to eliminate frame jitter without trajectory delay:</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29,053 feature sequences split into 70% Train (20,335), 15% Val (4,357), and 15% Test (4,361). Training was performed with the Adam optimizer (learning rate 0.001, batch size 32) for up to 300 epochs with early stopping patience of 8 (halting at epoch 49).</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17.1%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92.3%      | 14.6 ms (68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92.3%]</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b/>
        </w:rPr>
        <w:t>Figure 4.2</w:t>
      </w:r>
      <w:r>
        <w:t xml:space="preserve"> shows that training loss decreases steadily while validation loss plateaus around epoch 30, with the gap between the two curves indicating mild overfitting in later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1"/>
                    <a:stretch>
                      <a:fillRect/>
                    </a:stretch>
                  </pic:blipFill>
                  <pic:spPr>
                    <a:xfrm>
                      <a:off x="0" y="0"/>
                      <a:ext cx="5303520" cy="1989378"/>
                    </a:xfrm>
                    <a:prstGeom prst="rect"/>
                  </pic:spPr>
                </pic:pic>
              </a:graphicData>
            </a:graphic>
          </wp:inline>
        </w:drawing>
      </w:r>
    </w:p>
    <w:p>
      <w:pPr>
        <w:spacing w:before="80" w:after="240"/>
        <w:jc w:val="center"/>
      </w:pPr>
      <w:r>
        <w:rPr>
          <w:color w:val="525252"/>
          <w:sz w:val="19"/>
        </w:rPr>
        <w:t>Training and validation cross-entropy loss and accuracy curves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303520" cy="5046068"/>
                    </a:xfrm>
                    <a:prstGeom prst="rect"/>
                  </pic:spPr>
                </pic:pic>
              </a:graphicData>
            </a:graphic>
          </wp:inline>
        </w:drawing>
      </w:r>
    </w:p>
    <w:p>
      <w:pPr>
        <w:spacing w:before="80" w:after="240"/>
        <w:jc w:val="center"/>
      </w:pPr>
      <w:r>
        <w:rPr>
          <w:color w:val="525252"/>
          <w:sz w:val="19"/>
        </w:rPr>
        <w:t>Test-set confusion matrix showing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92.3%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3"/>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4"/>
                    <a:stretch>
                      <a:fillRect/>
                    </a:stretch>
                  </pic:blipFill>
                  <pic:spPr>
                    <a:xfrm>
                      <a:off x="0" y="0"/>
                      <a:ext cx="5303520" cy="2619301"/>
                    </a:xfrm>
                    <a:prstGeom prst="rect"/>
                  </pic:spPr>
                </pic:pic>
              </a:graphicData>
            </a:graphic>
          </wp:inline>
        </w:drawing>
      </w:r>
    </w:p>
    <w:p>
      <w:pPr>
        <w:spacing w:before="80" w:after="240"/>
        <w:jc w:val="center"/>
      </w:pPr>
      <w:r>
        <w:rPr>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92.3%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five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Edge-Assisted Surveillance &amp; On-Device Deployment:</w:t>
      </w:r>
      <w: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after="60" w:line="276" w:lineRule="auto"/>
      </w:pPr>
      <w:r/>
      <w:r>
        <w:rPr>
          <w:b/>
        </w:rPr>
        <w:t>TensorRT Quantization:</w:t>
      </w:r>
      <w:r>
        <w:t xml:space="preserve"> Compiling the YOLOv8 and 1D-CNN weights into INT8 precision using NVIDIA TensorRT would reduce inference latency below 8 ms per frame, further maximizing throughput on embedded hardware.</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