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928      |      40      |     394      |  (1362 Total)</w:t>
        <w:br/>
        <w:t>ACTUAL +------------+--------------+--------------+--------------+</w:t>
        <w:br/>
        <w:t>CLASS  | Shooting(1)|      34      |     189      |     360      |  (583 Total)</w:t>
        <w:br/>
        <w:t xml:space="preserve">       +------------+--------------+--------------+--------------+</w:t>
        <w:br/>
        <w:t xml:space="preserve">       | Violence(2)|     266      |      53      |    2097      |  (2416 Total)</w:t>
        <w:br/>
        <w:t xml:space="preserve">       +------------+--------------+--------------+--------------+</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(360 instances of actual Shooting predicted as Violence, and 53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low (less than 5.8% for Shooting and 11.0%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