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26"/>
          <w:szCs w:val="26"/>
        </w:rPr>
        <w:t xml:space="preserve">QSCP Hamilton Inspection Department</w:t>
      </w:r>
    </w:p>
    <w:p>
      <w:r>
        <w:rPr>
          <w:b w:val="false"/>
          <w:bCs w:val="false"/>
          <w:sz w:val="18"/>
          <w:szCs w:val="18"/>
        </w:rPr>
        <w:t xml:space="preserve">Site: Hamilton Plant</w:t>
      </w:r>
    </w:p>
    <w:p>
      <w:r>
        <w:rPr>
          <w:b/>
          <w:bCs/>
          <w:sz w:val="22"/>
          <w:szCs w:val="22"/>
        </w:rPr>
        <w:t xml:space="preserve">MOC</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E8E8E8" w:color="auto" w:val="clear"/>
          </w:tcPr>
          <w:p>
            <w:r>
              <w:rPr>
                <w:b/>
                <w:bCs/>
                <w:sz w:val="14"/>
                <w:szCs w:val="14"/>
              </w:rPr>
              <w:t xml:space="preserve">No.</w:t>
            </w:r>
          </w:p>
        </w:tc>
        <w:tc>
          <w:tcPr>
            <w:shd w:fill="E8E8E8" w:color="auto" w:val="clear"/>
          </w:tcPr>
          <w:p>
            <w:r>
              <w:rPr>
                <w:b/>
                <w:bCs/>
                <w:sz w:val="14"/>
                <w:szCs w:val="14"/>
              </w:rPr>
              <w:t xml:space="preserve">Status</w:t>
            </w:r>
          </w:p>
        </w:tc>
        <w:tc>
          <w:tcPr>
            <w:shd w:fill="E8E8E8" w:color="auto" w:val="clear"/>
          </w:tcPr>
          <w:p>
            <w:r>
              <w:rPr>
                <w:b/>
                <w:bCs/>
                <w:sz w:val="14"/>
                <w:szCs w:val="14"/>
              </w:rPr>
              <w:t xml:space="preserve">Date</w:t>
            </w:r>
          </w:p>
        </w:tc>
      </w:tr>
      <w:tr>
        <w:trPr>
          <w:cantSplit/>
        </w:trPr>
        <w:tc>
          <w:p>
            <w:r>
              <w:rPr>
                <w:b w:val="false"/>
                <w:bCs w:val="false"/>
                <w:sz w:val="14"/>
                <w:szCs w:val="14"/>
              </w:rPr>
              <w:t xml:space="preserve">QSCP-MOC-2014-017</w:t>
            </w:r>
          </w:p>
        </w:tc>
        <w:tc>
          <w:p>
            <w:r>
              <w:rPr>
                <w:b w:val="false"/>
                <w:bCs w:val="false"/>
                <w:sz w:val="14"/>
                <w:szCs w:val="14"/>
              </w:rPr>
              <w:t xml:space="preserve">Issued</w:t>
            </w:r>
          </w:p>
        </w:tc>
        <w:tc>
          <w:p>
            <w:r>
              <w:rPr>
                <w:b w:val="false"/>
                <w:bCs w:val="false"/>
                <w:sz w:val="14"/>
                <w:szCs w:val="14"/>
              </w:rPr>
              <w:t xml:space="preserve">2014-06-20</w:t>
            </w:r>
          </w:p>
        </w:tc>
      </w:tr>
    </w:tbl>
    <w:p>
      <w:pPr>
        <w:pStyle w:val="Heading1"/>
      </w:pPr>
      <w:r>
        <w:t xml:space="preserve">MOC - DEA Strength Increase to 30 wt%</w:t>
      </w:r>
    </w:p>
    <w:p>
      <w:pPr>
        <w:pStyle w:val="Heading2"/>
      </w:pPr>
      <w:r>
        <w:t xml:space="preserve">Scope and Objective</w:t>
      </w:r>
    </w:p>
    <w:p>
      <w:r>
        <w:rPr>
          <w:b w:val="false"/>
          <w:bCs w:val="false"/>
          <w:sz w:val="18"/>
          <w:szCs w:val="18"/>
        </w:rPr>
        <w:t xml:space="preserve">This Management of Change document addresses the process modification within ATU-100 to increase the Diethanolamine (DEA) concentration from 25 wt% to 30 wt%. The primary objective of this adjustment is to facilitate a higher sour-gas throughput across the unit while maintaining treated gas specifications. Robert Hendricks is responsible for the engineering oversight and technical validation of this concentration shift.</w:t>
      </w:r>
    </w:p>
    <w:p>
      <w:r>
        <w:rPr>
          <w:b w:val="false"/>
          <w:bCs w:val="false"/>
          <w:sz w:val="18"/>
          <w:szCs w:val="18"/>
        </w:rPr>
        <w:t xml:space="preserve">The increase in amine strength necessitates a review of the existing integrity barriers and corrosion monitoring strategies. Because higher amine concentrations can accelerate specific degradation mechanisms, this document establishes the technical basis for continued safe operation under the revised process parameters at the Hamilton Plant.</w:t>
      </w:r>
    </w:p>
    <w:p>
      <w:pPr>
        <w:pStyle w:val="Heading2"/>
      </w:pPr>
      <w:r>
        <w:t xml:space="preserve">Integrity and Degradation Assessment</w:t>
      </w:r>
    </w:p>
    <w:p>
      <w:r>
        <w:rPr>
          <w:b w:val="false"/>
          <w:bCs w:val="false"/>
          <w:sz w:val="18"/>
          <w:szCs w:val="18"/>
        </w:rPr>
        <w:t xml:space="preserve">The assessment of potential damage mechanisms associated with increased DEA concentrations is conducted in accordance with API RP 571. Specifically, the risks of alkaline stress corrosion cracking and localized CO2 corrosion in the regenerator overhead and rich-amine circuits are prioritized. The change in wt% requires a re-evaluation of the current corrosion rates to ensure they remain within the predicted envelopes for carbon steel and stainless steel components.</w:t>
      </w:r>
    </w:p>
    <w:p>
      <w:r>
        <w:rPr>
          <w:b w:val="false"/>
          <w:bCs w:val="false"/>
          <w:sz w:val="18"/>
          <w:szCs w:val="18"/>
        </w:rPr>
        <w:t xml:space="preserve">Robert Hendricks has determined that the increased amine strength may impact the lean/rich heat exchangers and the regenerator overhead circuit. Per site rules, the regenerator overhead circuit remains on a 3-year thickness interval to monitor for aggressive thinning. Any thickness reading found to be below the line t-min shall be raised as an NCR immediately.</w:t>
      </w:r>
    </w:p>
    <w:p>
      <w:pPr>
        <w:pStyle w:val="Heading2"/>
      </w:pPr>
      <w:r>
        <w:t xml:space="preserve">Inspection Strategy and CUI Program</w:t>
      </w:r>
    </w:p>
    <w:p>
      <w:r>
        <w:rPr>
          <w:b w:val="false"/>
          <w:bCs w:val="false"/>
          <w:sz w:val="18"/>
          <w:szCs w:val="18"/>
        </w:rPr>
        <w:t xml:space="preserve">The existing InspectionPlan QSCP-IP-ATU100 Rev 2 remains the governing document for NDE activities within the unit. This plan incorporates a CUI program where insulated lines operating within the CUI range are subject to profile RT or insulation windows every 5 years. The increase to 30 wt% DEA does not alter the temperature-driven CUI susceptibility, but the increased throughput may affect flow-induced localized thinning.</w:t>
      </w:r>
    </w:p>
    <w:p>
      <w:r>
        <w:rPr>
          <w:b w:val="false"/>
          <w:bCs w:val="false"/>
          <w:sz w:val="18"/>
          <w:szCs w:val="18"/>
        </w:rPr>
        <w:t xml:space="preserve">For A312 TP316 lines within the unit, all ultrasonic thickness measurements must be performed using the specific stainless-steel velocity setting. The Hamilton Inspection Department will continue to utilize the 5-year interval for profile RT as specified in QSCP-IP-ATU100 Rev 2 to ensure that external corrosion under insulation is not exacerbated by changes in unit thermal profiles.</w:t>
      </w:r>
    </w:p>
    <w:p>
      <w:pPr>
        <w:pStyle w:val="Heading2"/>
      </w:pPr>
      <w:r>
        <w:t xml:space="preserve">Corrosion Rate and Remaining Life Calculations</w:t>
      </w:r>
    </w:p>
    <w:p>
      <w:r>
        <w:rPr>
          <w:b w:val="false"/>
          <w:bCs w:val="false"/>
          <w:sz w:val="18"/>
          <w:szCs w:val="18"/>
        </w:rPr>
        <w:t xml:space="preserve">Corrosion rates for all circuits affected by the 30 wt% DEA change will be calculated as the larger of the long-term rate and the short-term rate, provided the latest readings are at least 3 years apart. Remaining life is defined by the formula (t - t-min) / rate. These calculations are mandatory for determining if the increased amine strength necessitates a reduction in the current inspection intervals.</w:t>
      </w:r>
    </w:p>
    <w:p>
      <w:r>
        <w:rPr>
          <w:b w:val="false"/>
          <w:bCs w:val="false"/>
          <w:sz w:val="18"/>
          <w:szCs w:val="18"/>
        </w:rPr>
        <w:t xml:space="preserve">The next thickness reading for Class 2 circuits, including amine and treated gas lines, is due at no more than half the remaining life, with a maximum interval of 10 years. If the increased sour-gas throughput results in a higher short-term corrosion rate, Robert Hendricks will update the inspection schedule to reflect the reduced remaining life and ensure compliance with the Hamilton Plant safety margins.</w:t>
      </w:r>
    </w:p>
    <w:p>
      <w:pPr>
        <w:pStyle w:val="Heading2"/>
      </w:pPr>
      <w:r>
        <w:t xml:space="preserve">Responsibilities and Compliance</w:t>
      </w:r>
    </w:p>
    <w:p>
      <w:r>
        <w:rPr>
          <w:b w:val="false"/>
          <w:bCs w:val="false"/>
          <w:sz w:val="18"/>
          <w:szCs w:val="18"/>
        </w:rPr>
        <w:t xml:space="preserve">The Hamilton Inspection Department is responsible for executing the NDE scope defined in QSCP-IP-ATU100 Rev 2 and reporting any deviations from the expected corrosion rates. Robert Hendricks, as the Unit Engineer for ATU-100, is responsible for the final review of all thickness data and the authorization of the process fluid change to 30 wt% DEA.</w:t>
      </w:r>
    </w:p>
    <w:p>
      <w:r>
        <w:rPr>
          <w:b w:val="false"/>
          <w:bCs w:val="false"/>
          <w:sz w:val="18"/>
          <w:szCs w:val="18"/>
        </w:rPr>
        <w:t xml:space="preserve">All inspection intervals must adhere to the class maxima: Class 1 at 5 years for thickness and external visual, and Class 2 at 10 years for thickness and 5 years for external visual. Adherence to API RP 571 guidelines for amine service is mandatory to mitigate the risk of environmental cracking and thinning during the transition to higher throughput.</w:t>
      </w:r>
    </w:p>
    <w:p>
      <w:r>
        <w:rPr>
          <w:b w:val="false"/>
          <w:bCs w:val="false"/>
          <w:sz w:val="18"/>
          <w:szCs w:val="18"/>
        </w:rPr>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E8E8E8" w:color="auto" w:val="clear"/>
          </w:tcPr>
          <w:p>
            <w:r>
              <w:rPr>
                <w:b/>
                <w:bCs/>
                <w:sz w:val="14"/>
                <w:szCs w:val="14"/>
              </w:rPr>
              <w:t xml:space="preserve">Sign-off</w:t>
            </w:r>
          </w:p>
        </w:tc>
        <w:tc>
          <w:tcPr>
            <w:shd w:fill="E8E8E8" w:color="auto" w:val="clear"/>
          </w:tcPr>
          <w:p>
            <w:r>
              <w:rPr>
                <w:b/>
                <w:bCs/>
                <w:sz w:val="14"/>
                <w:szCs w:val="14"/>
              </w:rPr>
              <w:t xml:space="preserve">Name</w:t>
            </w:r>
          </w:p>
        </w:tc>
        <w:tc>
          <w:tcPr>
            <w:shd w:fill="E8E8E8" w:color="auto" w:val="clear"/>
          </w:tcPr>
          <w:p>
            <w:r>
              <w:rPr>
                <w:b/>
                <w:bCs/>
                <w:sz w:val="14"/>
                <w:szCs w:val="14"/>
              </w:rPr>
              <w:t xml:space="preserve">Function</w:t>
            </w:r>
          </w:p>
        </w:tc>
        <w:tc>
          <w:tcPr>
            <w:shd w:fill="E8E8E8" w:color="auto" w:val="clear"/>
          </w:tcPr>
          <w:p>
            <w:r>
              <w:rPr>
                <w:b/>
                <w:bCs/>
                <w:sz w:val="14"/>
                <w:szCs w:val="14"/>
              </w:rPr>
              <w:t xml:space="preserve">Date</w:t>
            </w:r>
          </w:p>
        </w:tc>
        <w:tc>
          <w:tcPr>
            <w:shd w:fill="E8E8E8" w:color="auto" w:val="clear"/>
          </w:tcPr>
          <w:p>
            <w:r>
              <w:rPr>
                <w:b/>
                <w:bCs/>
                <w:sz w:val="14"/>
                <w:szCs w:val="14"/>
              </w:rPr>
              <w:t xml:space="preserve">Signature</w:t>
            </w:r>
          </w:p>
        </w:tc>
      </w:tr>
      <w:tr>
        <w:trPr>
          <w:cantSplit/>
        </w:trPr>
        <w:tc>
          <w:p>
            <w:r>
              <w:rPr>
                <w:b w:val="false"/>
                <w:bCs w:val="false"/>
                <w:sz w:val="14"/>
                <w:szCs w:val="14"/>
              </w:rPr>
              <w:t xml:space="preserve">Prepared</w:t>
            </w:r>
          </w:p>
        </w:tc>
        <w:tc>
          <w:p>
            <w:r>
              <w:rPr>
                <w:b w:val="false"/>
                <w:bCs w:val="false"/>
                <w:sz w:val="14"/>
                <w:szCs w:val="14"/>
              </w:rPr>
              <w:t xml:space="preserve">Robert Hendricks</w:t>
            </w:r>
          </w:p>
        </w:tc>
        <w:tc>
          <w:p>
            <w:r>
              <w:rPr>
                <w:b w:val="false"/>
                <w:bCs w:val="false"/>
                <w:sz w:val="14"/>
                <w:szCs w:val="14"/>
              </w:rPr>
              <w:t xml:space="preserve">Unit Engineer ATU-100, P.Eng.</w:t>
            </w:r>
          </w:p>
        </w:tc>
        <w:tc>
          <w:p>
            <w:r>
              <w:rPr>
                <w:b w:val="false"/>
                <w:bCs w:val="false"/>
                <w:sz w:val="14"/>
                <w:szCs w:val="14"/>
              </w:rPr>
              <w:t xml:space="preserve">2014-06-20</w:t>
            </w:r>
          </w:p>
        </w:tc>
        <w:tc>
          <w:p>
            <w:r>
              <w:rPr>
                <w:b w:val="false"/>
                <w:bCs w:val="false"/>
                <w:sz w:val="14"/>
                <w:szCs w:val="14"/>
              </w:rPr>
              <w:t xml:space="preserve">______________</w:t>
            </w:r>
          </w:p>
        </w:tc>
      </w:tr>
    </w:tbl>
    <w:sectPr>
      <w:footerReference w:type="default" r:id="rId6"/>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sz w:val="16"/>
        <w:szCs w:val="16"/>
      </w:rPr>
      <w:t xml:space="preserve">QSCP-MOC-2014-017 |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2026-10-06T00:03:26.342Z</dcterms:created>
  <dcterms:modified xsi:type="dcterms:W3CDTF">2026-10-06T00:03:26.342Z</dcterms:modified>
</cp:coreProperties>
</file>

<file path=docProps/custom.xml><?xml version="1.0" encoding="utf-8"?>
<Properties xmlns="http://schemas.openxmlformats.org/officeDocument/2006/custom-properties" xmlns:vt="http://schemas.openxmlformats.org/officeDocument/2006/docPropsVTypes"/>
</file>