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QSCP Hamilton Inspection Department</w:t>
      </w:r>
    </w:p>
    <w:p>
      <w:r>
        <w:rPr>
          <w:b w:val="false"/>
          <w:bCs w:val="false"/>
          <w:sz w:val="18"/>
          <w:szCs w:val="18"/>
        </w:rPr>
        <w:t xml:space="preserve">Site: Hamilton Plant</w:t>
      </w:r>
    </w:p>
    <w:p>
      <w:r>
        <w:rPr>
          <w:b/>
          <w:bCs/>
          <w:sz w:val="22"/>
          <w:szCs w:val="22"/>
        </w:rPr>
        <w:t xml:space="preserve">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8E8E8" w:color="auto" w:val="clear"/>
          </w:tcPr>
          <w:p>
            <w:r>
              <w:rPr>
                <w:b/>
                <w:bCs/>
                <w:sz w:val="14"/>
                <w:szCs w:val="14"/>
              </w:rPr>
              <w:t xml:space="preserve">No.</w:t>
            </w:r>
          </w:p>
        </w:tc>
        <w:tc>
          <w:tcPr>
            <w:shd w:fill="E8E8E8" w:color="auto" w:val="clear"/>
          </w:tcPr>
          <w:p>
            <w:r>
              <w:rPr>
                <w:b/>
                <w:bCs/>
                <w:sz w:val="14"/>
                <w:szCs w:val="14"/>
              </w:rPr>
              <w:t xml:space="preserve">Status</w:t>
            </w:r>
          </w:p>
        </w:tc>
        <w:tc>
          <w:tcPr>
            <w:shd w:fill="E8E8E8" w:color="auto" w:val="clear"/>
          </w:tcPr>
          <w:p>
            <w:r>
              <w:rPr>
                <w:b/>
                <w:bCs/>
                <w:sz w:val="14"/>
                <w:szCs w:val="14"/>
              </w:rPr>
              <w:t xml:space="preserve">Date</w:t>
            </w:r>
          </w:p>
        </w:tc>
      </w:tr>
      <w:tr>
        <w:trPr>
          <w:cantSplit/>
        </w:trPr>
        <w:tc>
          <w:p>
            <w:r>
              <w:rPr>
                <w:b w:val="false"/>
                <w:bCs w:val="false"/>
                <w:sz w:val="14"/>
                <w:szCs w:val="14"/>
              </w:rPr>
              <w:t xml:space="preserve">QSCP-RFQ-2024-089</w:t>
            </w:r>
          </w:p>
        </w:tc>
        <w:tc>
          <w:p>
            <w:r>
              <w:rPr>
                <w:b w:val="false"/>
                <w:bCs w:val="false"/>
                <w:sz w:val="14"/>
                <w:szCs w:val="14"/>
              </w:rPr>
              <w:t xml:space="preserve">Issued</w:t>
            </w:r>
          </w:p>
        </w:tc>
        <w:tc>
          <w:p>
            <w:r>
              <w:rPr>
                <w:b w:val="false"/>
                <w:bCs w:val="false"/>
                <w:sz w:val="14"/>
                <w:szCs w:val="14"/>
              </w:rPr>
              <w:t xml:space="preserve">2024-10-15</w:t>
            </w:r>
          </w:p>
        </w:tc>
      </w:tr>
    </w:tbl>
    <w:p>
      <w:pPr>
        <w:pStyle w:val="Heading1"/>
      </w:pPr>
      <w:r>
        <w:t xml:space="preserve">Request for Quotation - ATU-100 Five-Year UT Thickness Survey</w:t>
      </w:r>
    </w:p>
    <w:p>
      <w:pPr>
        <w:pStyle w:val="Heading2"/>
      </w:pPr>
      <w:r>
        <w:t xml:space="preserve">Scope of Work</w:t>
      </w:r>
    </w:p>
    <w:p>
      <w:r>
        <w:rPr>
          <w:b w:val="false"/>
          <w:bCs w:val="false"/>
          <w:sz w:val="18"/>
          <w:szCs w:val="18"/>
        </w:rPr>
        <w:t xml:space="preserve">Jennifer Walsh, acting as the Inspection Coordinator, requires a comprehensive ultrasonic thickness survey for the ATU-100. This RFQ covers the 5-year survey cycle for all piping circuits within the Amine Treating Unit, including Class 1 sour gas and regenerator overhead lines, Class 2 amine and treated gas lines, and Class 3 utility services. The selected contractor shall perform all measurements in accordance with the site-specific requirements for Hamilton Plant.</w:t>
      </w:r>
    </w:p>
    <w:p>
      <w:r>
        <w:rPr>
          <w:b w:val="false"/>
          <w:bCs w:val="false"/>
          <w:sz w:val="18"/>
          <w:szCs w:val="18"/>
        </w:rPr>
        <w:t xml:space="preserve">The scope includes the acquisition of data at all established CML locations. For insulated lines within the CUI temperature range, the contractor must coordinate the installation of insulation windows or perform profile RT as specified in the site CUI program. All work must comply with the inspection practices defined in API 570 and the piping design principles of ASME B31.3.</w:t>
      </w:r>
    </w:p>
    <w:p>
      <w:pPr>
        <w:pStyle w:val="Heading2"/>
      </w:pPr>
      <w:r>
        <w:t xml:space="preserve">Technical Requirements and NDE Procedures</w:t>
      </w:r>
    </w:p>
    <w:p>
      <w:r>
        <w:rPr>
          <w:b w:val="false"/>
          <w:bCs w:val="false"/>
          <w:sz w:val="18"/>
          <w:szCs w:val="18"/>
        </w:rPr>
        <w:t xml:space="preserve">All ultrasonic thickness measurements must be executed per QSCP-NDT-001 Rev 3. This procedure requires the use of the updated CML-id format and digital export of all data. The technician is responsible for providing a photo of the gauge display for any readings that fall below the alert level. Calibration must follow the specific calibration-interval table and the 3-year interval requirements established in the revised procedure.</w:t>
      </w:r>
    </w:p>
    <w:p>
      <w:r>
        <w:rPr>
          <w:b w:val="false"/>
          <w:bCs w:val="false"/>
          <w:sz w:val="18"/>
          <w:szCs w:val="18"/>
        </w:rPr>
        <w:t xml:space="preserve">NDE personnel shall be qualified in accordance with ASME BPVC Section V. For piping systems constructed of A312 TP316, the contractor must ensure the ultrasonic equipment is calibrated using the specific stainless-steel velocity setting. General inspection arrangements and piping component identification shall follow the guidelines set forth in API 574.</w:t>
      </w:r>
    </w:p>
    <w:p>
      <w:pPr>
        <w:pStyle w:val="Heading2"/>
      </w:pPr>
      <w:r>
        <w:t xml:space="preserve">Data Analysis and Corrosion Rate Calculation</w:t>
      </w:r>
    </w:p>
    <w:p>
      <w:r>
        <w:rPr>
          <w:b w:val="false"/>
          <w:bCs w:val="false"/>
          <w:sz w:val="18"/>
          <w:szCs w:val="18"/>
        </w:rPr>
        <w:t xml:space="preserve">The corrosion rate for each CML will be determined by Jennifer Walsh using the larger of the long-term rate since the first reading and the short-term rate calculated over the latest pair of readings at least 3 years apart. Remaining life is defined as the current thickness minus the retirement thickness, divided by the calculated rate. The retirement thickness is strictly defined as the line t-min.</w:t>
      </w:r>
    </w:p>
    <w:p>
      <w:r>
        <w:rPr>
          <w:b w:val="false"/>
          <w:bCs w:val="false"/>
          <w:sz w:val="18"/>
          <w:szCs w:val="18"/>
        </w:rPr>
        <w:t xml:space="preserve">Any reading recorded below the t-min must be immediately raised as an NCR. The next inspection interval will be set at no more than half the remaining life, not to exceed the class maxima. For the ATU-100, these maxima are 5 years for Class 1 and 10 years for Class 2 and Class 3 systems, unless the RBI interval dictates a 3-year or 6-year frequency.</w:t>
      </w:r>
    </w:p>
    <w:p>
      <w:pPr>
        <w:pStyle w:val="Heading2"/>
      </w:pPr>
      <w:r>
        <w:t xml:space="preserve">Contractor Responsibilities</w:t>
      </w:r>
    </w:p>
    <w:p>
      <w:r>
        <w:rPr>
          <w:b w:val="false"/>
          <w:bCs w:val="false"/>
          <w:sz w:val="18"/>
          <w:szCs w:val="18"/>
        </w:rPr>
        <w:t xml:space="preserve">The contractor is responsible for providing all NDE equipment, consumables, and qualified personnel to complete the survey within the ATU-100. All digital data exports must be compatible with the QSCP Hamilton Inspection Department database. The contractor must verify that all field findings are aligned with the requirements of QSCP-NDT-001 Rev 3 before final submission.</w:t>
      </w:r>
    </w:p>
    <w:p>
      <w:r>
        <w:rPr>
          <w:b w:val="false"/>
          <w:bCs w:val="false"/>
          <w:sz w:val="18"/>
          <w:szCs w:val="18"/>
        </w:rPr>
        <w:t xml:space="preserve">Jennifer Walsh will provide access to the unit and existing CML maps. The contractor must ensure that all technicians are familiar with the specific reporting requirements for rich amine and sour gas services, particularly regarding the 3-year RBI intervals applicable to these high-consequence circuits. Final reports must include all digital gauge photos for low-reading verification.</w:t>
      </w:r>
    </w:p>
    <w:p>
      <w:r>
        <w:rPr>
          <w:b w:val="false"/>
          <w:bCs w:val="false"/>
          <w:sz w:val="18"/>
          <w:szCs w:val="18"/>
        </w:rP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color="auto" w:val="clear"/>
          </w:tcPr>
          <w:p>
            <w:r>
              <w:rPr>
                <w:b/>
                <w:bCs/>
                <w:sz w:val="14"/>
                <w:szCs w:val="14"/>
              </w:rPr>
              <w:t xml:space="preserve">Sign-off</w:t>
            </w:r>
          </w:p>
        </w:tc>
        <w:tc>
          <w:tcPr>
            <w:shd w:fill="E8E8E8" w:color="auto" w:val="clear"/>
          </w:tcPr>
          <w:p>
            <w:r>
              <w:rPr>
                <w:b/>
                <w:bCs/>
                <w:sz w:val="14"/>
                <w:szCs w:val="14"/>
              </w:rPr>
              <w:t xml:space="preserve">Name</w:t>
            </w:r>
          </w:p>
        </w:tc>
        <w:tc>
          <w:tcPr>
            <w:shd w:fill="E8E8E8" w:color="auto" w:val="clear"/>
          </w:tcPr>
          <w:p>
            <w:r>
              <w:rPr>
                <w:b/>
                <w:bCs/>
                <w:sz w:val="14"/>
                <w:szCs w:val="14"/>
              </w:rPr>
              <w:t xml:space="preserve">Function</w:t>
            </w:r>
          </w:p>
        </w:tc>
        <w:tc>
          <w:tcPr>
            <w:shd w:fill="E8E8E8" w:color="auto" w:val="clear"/>
          </w:tcPr>
          <w:p>
            <w:r>
              <w:rPr>
                <w:b/>
                <w:bCs/>
                <w:sz w:val="14"/>
                <w:szCs w:val="14"/>
              </w:rPr>
              <w:t xml:space="preserve">Date</w:t>
            </w:r>
          </w:p>
        </w:tc>
        <w:tc>
          <w:tcPr>
            <w:shd w:fill="E8E8E8" w:color="auto" w:val="clear"/>
          </w:tcPr>
          <w:p>
            <w:r>
              <w:rPr>
                <w:b/>
                <w:bCs/>
                <w:sz w:val="14"/>
                <w:szCs w:val="14"/>
              </w:rPr>
              <w:t xml:space="preserve">Signature</w:t>
            </w:r>
          </w:p>
        </w:tc>
      </w:tr>
      <w:tr>
        <w:trPr>
          <w:cantSplit/>
        </w:trPr>
        <w:tc>
          <w:p>
            <w:r>
              <w:rPr>
                <w:b w:val="false"/>
                <w:bCs w:val="false"/>
                <w:sz w:val="14"/>
                <w:szCs w:val="14"/>
              </w:rPr>
              <w:t xml:space="preserve">Prepared</w:t>
            </w:r>
          </w:p>
        </w:tc>
        <w:tc>
          <w:p>
            <w:r>
              <w:rPr>
                <w:b w:val="false"/>
                <w:bCs w:val="false"/>
                <w:sz w:val="14"/>
                <w:szCs w:val="14"/>
              </w:rPr>
              <w:t xml:space="preserve">Jennifer Walsh</w:t>
            </w:r>
          </w:p>
        </w:tc>
        <w:tc>
          <w:p>
            <w:r>
              <w:rPr>
                <w:b w:val="false"/>
                <w:bCs w:val="false"/>
                <w:sz w:val="14"/>
                <w:szCs w:val="14"/>
              </w:rPr>
              <w:t xml:space="preserve">Inspection Coordinator, API 570 inspector</w:t>
            </w:r>
          </w:p>
        </w:tc>
        <w:tc>
          <w:p>
            <w:r>
              <w:rPr>
                <w:b w:val="false"/>
                <w:bCs w:val="false"/>
                <w:sz w:val="14"/>
                <w:szCs w:val="14"/>
              </w:rPr>
              <w:t xml:space="preserve">2024-10-15</w:t>
            </w:r>
          </w:p>
        </w:tc>
        <w:tc>
          <w:p>
            <w:r>
              <w:rPr>
                <w:b w:val="false"/>
                <w:bCs w:val="false"/>
                <w:sz w:val="14"/>
                <w:szCs w:val="14"/>
              </w:rPr>
              <w:t xml:space="preserve">______________</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6"/>
        <w:szCs w:val="16"/>
      </w:rPr>
      <w:t xml:space="preserve">QSCP-RFQ-2024-089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2026-10-06T00:03:28.127Z</dcterms:created>
  <dcterms:modified xsi:type="dcterms:W3CDTF">2026-10-06T00:03:28.127Z</dcterms:modified>
</cp:coreProperties>
</file>

<file path=docProps/custom.xml><?xml version="1.0" encoding="utf-8"?>
<Properties xmlns="http://schemas.openxmlformats.org/officeDocument/2006/custom-properties" xmlns:vt="http://schemas.openxmlformats.org/officeDocument/2006/docPropsVTypes"/>
</file>