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NCR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QSCP-NCR-2010-007</w:t>
            </w:r>
          </w:p>
        </w:tc>
        <w:tc>
          <w:p>
            <w:r>
              <w:rPr>
                <w:b w:val="false"/>
                <w:bCs w:val="false"/>
                <w:sz w:val="14"/>
                <w:szCs w:val="14"/>
              </w:rPr>
              <w:t xml:space="preserve">Issued</w:t>
            </w:r>
          </w:p>
        </w:tc>
        <w:tc>
          <w:p>
            <w:r>
              <w:rPr>
                <w:b w:val="false"/>
                <w:bCs w:val="false"/>
                <w:sz w:val="14"/>
                <w:szCs w:val="14"/>
              </w:rPr>
              <w:t xml:space="preserve">2010-06-21</w:t>
            </w:r>
          </w:p>
        </w:tc>
      </w:tr>
    </w:tbl>
    <w:p>
      <w:pPr>
        <w:pStyle w:val="Heading1"/>
      </w:pPr>
      <w:r>
        <w:t xml:space="preserve">Nonconformance - 4-RA-104 External CUI Below t-min</w:t>
      </w:r>
    </w:p>
    <w:p>
      <w:pPr>
        <w:pStyle w:val="Heading2"/>
      </w:pPr>
      <w:r>
        <w:t xml:space="preserve">Scope and Responsibilities</w:t>
      </w:r>
    </w:p>
    <w:p>
      <w:r>
        <w:rPr>
          <w:b w:val="false"/>
          <w:bCs w:val="false"/>
          <w:sz w:val="18"/>
          <w:szCs w:val="18"/>
        </w:rPr>
        <w:t xml:space="preserve">This nonconformance report addresses wall loss identified on 4-RA-104 within the ATU-100. The scope is limited to two specific locations on the rich-side exchanger line where external corrosion under insulation was confirmed following the removal of thermal lagging. Douglas Ferreira, as the Inspection Supervisor, is responsible for the technical review of these findings and the determination of the required disposition based on site retirement criteria.</w:t>
      </w:r>
    </w:p>
    <w:p>
      <w:r>
        <w:rPr>
          <w:b w:val="false"/>
          <w:bCs w:val="false"/>
          <w:sz w:val="18"/>
          <w:szCs w:val="18"/>
        </w:rPr>
        <w:t xml:space="preserve">The inspection activities and data acquisition were performed by Halward Inspection Services Ltd. personnel. Douglas Ferreira ensures that all assessments comply with the Hamilton Plant quality management system and that the reported wall thicknesses are evaluated against the design limits of 862 kPa(g) and 127 °C specified for this A106 Gr.B piping.</w:t>
      </w:r>
    </w:p>
    <w:p>
      <w:pPr>
        <w:pStyle w:val="Heading2"/>
      </w:pPr>
      <w:r>
        <w:t xml:space="preserve">Background and Inspection History</w:t>
      </w:r>
    </w:p>
    <w:p>
      <w:r>
        <w:rPr>
          <w:b w:val="false"/>
          <w:bCs w:val="false"/>
          <w:sz w:val="18"/>
          <w:szCs w:val="18"/>
        </w:rPr>
        <w:t xml:space="preserve">During a 5-yearly external visual inspection on 2010-05-10, damaged jacketing and wet insulation were noted on 4-RA-104, leading to a recommendation for targeted CUI inspection. Subsequent profile radiography on 2010-06-07 indicated wall loss at two locations on this line, while the adjacent 4-LA-104 showed only superficial external pitting of 0.5 mm or less.</w:t>
      </w:r>
    </w:p>
    <w:p>
      <w:r>
        <w:rPr>
          <w:b w:val="false"/>
          <w:bCs w:val="false"/>
          <w:sz w:val="18"/>
          <w:szCs w:val="18"/>
        </w:rPr>
        <w:t xml:space="preserve">The mechanism for this degradation is identified as external corrosion under insulation, consistent with the damage mechanisms described in API RP 571. The presence of moisture trapped against the 114.3 mm OD pipe surface has resulted in localized metal loss exceeding the corrosion allowance provided for the 8.56 mm nominal wall thickness.</w:t>
      </w:r>
    </w:p>
    <w:p>
      <w:pPr>
        <w:pStyle w:val="Heading2"/>
      </w:pPr>
      <w:r>
        <w:t xml:space="preserve">Summary of Findings</w:t>
      </w:r>
    </w:p>
    <w:p>
      <w:r>
        <w:rPr>
          <w:b w:val="false"/>
          <w:bCs w:val="false"/>
          <w:sz w:val="18"/>
          <w:szCs w:val="18"/>
        </w:rPr>
        <w:t xml:space="preserve">Following the stripping of insulation, ultrasonic thickness measurements were recorded in HIS-2010-0251. The report confirms that wall thickness has degraded below the calculated t-min of 3.81 mm at two distinct points. Specifically, CUI location 1, on the insulated spool carrying CMLs -03 to -05, recorded a value of 3.64 mm. CUI location 2, within the same spool, recorded a value of 3.72 mm.</w:t>
      </w:r>
    </w:p>
    <w:p>
      <w:r>
        <w:rPr>
          <w:b w:val="false"/>
          <w:bCs w:val="false"/>
          <w:sz w:val="18"/>
          <w:szCs w:val="18"/>
        </w:rPr>
        <w:t xml:space="preserve">These readings represent a violation of the site retirement thickness rules. Per HIS-2010-0251, the external CUI has progressed to a state where the remaining wall is insufficient to meet the minimum design requirements for the current service conditions in the ATU-100.</w:t>
      </w:r>
    </w:p>
    <w:p>
      <w:pPr>
        <w:pStyle w:val="Heading2"/>
      </w:pPr>
      <w:r>
        <w:t xml:space="preserve">Technical Evaluation</w:t>
      </w:r>
    </w:p>
    <w:p>
      <w:r>
        <w:rPr>
          <w:b w:val="false"/>
          <w:bCs w:val="false"/>
          <w:sz w:val="18"/>
          <w:szCs w:val="18"/>
        </w:rPr>
        <w:t xml:space="preserve">The site rules mandate that any reading below t-min be raised as an NCR. Because the current readings of 3.64 mm and 3.72 mm are less than the 3.81 mm limit, the piping at these locations is considered unfit for continued long-term operation without repair or replacement. The corrosion rate must be determined using the larger of the long-term and short-term rates to calculate remaining life.</w:t>
      </w:r>
    </w:p>
    <w:p>
      <w:r>
        <w:rPr>
          <w:b w:val="false"/>
          <w:bCs w:val="false"/>
          <w:sz w:val="18"/>
          <w:szCs w:val="18"/>
        </w:rPr>
        <w:t xml:space="preserve">Douglas Ferreira will oversee the final remaining life calculations. As this circuit is part of the amine system, it is subject to Class 2 inspection intervals. However, the specific findings in HIS-2010-0251 necessitate immediate corrective action before the line can be returned to service under the design parameters of 862 kPa(g).</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Douglas Ferreira</w:t>
            </w:r>
          </w:p>
        </w:tc>
        <w:tc>
          <w:p>
            <w:r>
              <w:rPr>
                <w:b w:val="false"/>
                <w:bCs w:val="false"/>
                <w:sz w:val="14"/>
                <w:szCs w:val="14"/>
              </w:rPr>
              <w:t xml:space="preserve">Inspection Supervisor, API 570 inspector</w:t>
            </w:r>
          </w:p>
        </w:tc>
        <w:tc>
          <w:p>
            <w:r>
              <w:rPr>
                <w:b w:val="false"/>
                <w:bCs w:val="false"/>
                <w:sz w:val="14"/>
                <w:szCs w:val="14"/>
              </w:rPr>
              <w:t xml:space="preserve">2010-06-21</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QSCP-NCR-2010-007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2026-10-06T00:03:25.539Z</dcterms:created>
  <dcterms:modified xsi:type="dcterms:W3CDTF">2026-10-06T00:03:25.539Z</dcterms:modified>
</cp:coreProperties>
</file>

<file path=docProps/custom.xml><?xml version="1.0" encoding="utf-8"?>
<Properties xmlns="http://schemas.openxmlformats.org/officeDocument/2006/custom-properties" xmlns:vt="http://schemas.openxmlformats.org/officeDocument/2006/docPropsVTypes"/>
</file>