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6"/>
          <w:szCs w:val="26"/>
        </w:rPr>
        <w:t xml:space="preserve">QSCP Hamilton Inspection Department</w:t>
      </w:r>
    </w:p>
    <w:p>
      <w:r>
        <w:rPr>
          <w:b w:val="false"/>
          <w:bCs w:val="false"/>
          <w:sz w:val="18"/>
          <w:szCs w:val="18"/>
        </w:rPr>
        <w:t xml:space="preserve">Site: Hamilton Plant</w:t>
      </w:r>
    </w:p>
    <w:p>
      <w:r>
        <w:rPr>
          <w:b/>
          <w:bCs/>
          <w:sz w:val="22"/>
          <w:szCs w:val="22"/>
        </w:rPr>
        <w:t xml:space="preserve">NCR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No.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Date</w:t>
            </w:r>
          </w:p>
        </w:tc>
      </w:tr>
      <w:tr>
        <w:trPr>
          <w:cantSplit/>
        </w:trP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QSCP-NCR-2024-031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Issued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2024-11-05</w:t>
            </w:r>
          </w:p>
        </w:tc>
      </w:tr>
    </w:tbl>
    <w:p>
      <w:pPr>
        <w:pStyle w:val="Heading1"/>
      </w:pPr>
      <w:r>
        <w:t xml:space="preserve">Nonconformance - 4-RA-101-06 Below t-min</w:t>
      </w:r>
    </w:p>
    <w:p>
      <w:pPr>
        <w:pStyle w:val="Heading2"/>
      </w:pPr>
      <w:r>
        <w:t xml:space="preserve">Scope and Responsibilities</w:t>
      </w:r>
    </w:p>
    <w:p>
      <w:r>
        <w:rPr>
          <w:b w:val="false"/>
          <w:bCs w:val="false"/>
          <w:sz w:val="18"/>
          <w:szCs w:val="18"/>
        </w:rPr>
        <w:t xml:space="preserve">This document addresses a critical wall loss condition identified during the 2024 thickness survey of the ATU-100. The scope is limited to the rich amine piping circuit 4-RA-101, specifically the localized thinning at 4-RA-101-06. Jennifer Walsh, acting as the Inspection Coordinator and API 570 inspector, is responsible for the technical validation of the ultrasonic data and the issuance of this nonconformance report.</w:t>
      </w:r>
    </w:p>
    <w:p>
      <w:r>
        <w:rPr>
          <w:b w:val="false"/>
          <w:bCs w:val="false"/>
          <w:sz w:val="18"/>
          <w:szCs w:val="18"/>
        </w:rPr>
        <w:t xml:space="preserve">The field data acquisition was performed by Larkhall NDE Services Inc. under the requirements of QSCP-IP-ATU100 Rev 3. Jennifer Walsh has reviewed the findings against the site retirement thickness criteria to determine the necessary mitigation and repair strategies for the Hamilton Plant asset integrity program.</w:t>
      </w:r>
    </w:p>
    <w:p>
      <w:pPr>
        <w:pStyle w:val="Heading2"/>
      </w:pPr>
      <w:r>
        <w:t xml:space="preserve">Inspection Findings and Data Analysis</w:t>
      </w:r>
    </w:p>
    <w:p>
      <w:r>
        <w:rPr>
          <w:b w:val="false"/>
          <w:bCs w:val="false"/>
          <w:sz w:val="18"/>
          <w:szCs w:val="18"/>
        </w:rPr>
        <w:t xml:space="preserve">During the execution of LNDE-FN-20241025-031, a thickness reading of 3.59 mm was recorded at 4-RA-101-06 on 2024-11-04. This value is below the established t-min of 3.81 mm for the 114.3 mm OD A106 Gr.B piping. The current reading indicates a significant acceleration in the corrosion rate compared to historical data recorded in 2014, 2016, and 2019.</w:t>
      </w:r>
    </w:p>
    <w:p>
      <w:r>
        <w:rPr>
          <w:b w:val="false"/>
          <w:bCs w:val="false"/>
          <w:sz w:val="18"/>
          <w:szCs w:val="18"/>
        </w:rPr>
        <w:t xml:space="preserve">The short-term corrosion rate has increased to 0.664 mm/y, resulting in an expired remaining life. This exceeds the 0.253 mm/y rate observed during the 2019 survey. Per the site rules for rich amine service, which is subject to a 3-year RBI interval under QSCP-IP-ATU100 Rev 3, the current wall thickness fails to meet the minimum structural requirements for the design limits of 862 kPa(g) and 82 °C.</w:t>
      </w:r>
    </w:p>
    <w:p>
      <w:pPr>
        <w:pStyle w:val="Heading2"/>
      </w:pPr>
      <w:r>
        <w:t xml:space="preserve">Nonconformance Description</w:t>
      </w:r>
    </w:p>
    <w:p>
      <w:r>
        <w:rPr>
          <w:b w:val="false"/>
          <w:bCs w:val="false"/>
          <w:sz w:val="18"/>
          <w:szCs w:val="18"/>
        </w:rPr>
        <w:t xml:space="preserve">The nonconformance is characterized by localized thinning at 4-RA-101-06 that has breached the retirement limit. While the nominal thickness of 4-RA-101 is 8.56 mm, the measured 3.59 mm represents a total loss of 4.97 mm. This condition was identified during the 150 CML survey documented in LNDE-FN-20241025-031.</w:t>
      </w:r>
    </w:p>
    <w:p>
      <w:r>
        <w:rPr>
          <w:b w:val="false"/>
          <w:bCs w:val="false"/>
          <w:sz w:val="18"/>
          <w:szCs w:val="18"/>
        </w:rPr>
        <w:t xml:space="preserve">The accelerated metal loss in this rich amine circuit indicates that the previous inspection interval was insufficient to capture the change in degradation morphology. The current state of 4-RA-101-06 violates the safety factors required for continued operation of the ATU-100 piping systems.</w:t>
      </w:r>
    </w:p>
    <w:p>
      <w:pPr>
        <w:pStyle w:val="Heading2"/>
      </w:pPr>
      <w:r>
        <w:t xml:space="preserve">Required Actions</w:t>
      </w:r>
    </w:p>
    <w:p>
      <w:r>
        <w:rPr>
          <w:b w:val="false"/>
          <w:bCs w:val="false"/>
          <w:sz w:val="18"/>
          <w:szCs w:val="18"/>
        </w:rPr>
        <w:t xml:space="preserve">Immediate engineering evaluation is required to determine if a temporary repair or a full component replacement is necessary before the next operational cycle. Jennifer Walsh will oversee the verification of the repair plan to ensure compliance with the site rules regarding t-min and remaining life calculations.</w:t>
      </w:r>
    </w:p>
    <w:p>
      <w:r>
        <w:rPr>
          <w:b w:val="false"/>
          <w:bCs w:val="false"/>
          <w:sz w:val="18"/>
          <w:szCs w:val="18"/>
        </w:rPr>
        <w:t xml:space="preserve">The inspection frequency for 4-RA-101 must be reassessed in QSCP-IP-ATU100 Rev 3 to account for the 0.664 mm/y corrosion rate. All future surveys must prioritize this circuit to prevent further excursions below the 3.81 mm retirement threshold.</w:t>
      </w:r>
    </w:p>
    <w:p>
      <w:r>
        <w:rPr>
          <w:b w:val="false"/>
          <w:bCs w:val="false"/>
          <w:sz w:val="18"/>
          <w:szCs w:val="18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Sign-off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Name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Function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Signature</w:t>
            </w:r>
          </w:p>
        </w:tc>
      </w:tr>
      <w:tr>
        <w:trPr>
          <w:cantSplit/>
        </w:trP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Prepared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Jennifer Walsh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Inspection Coordinator, API 570 inspector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2024-11-05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______________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QSCP-NCR-2024-031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2026-10-06T00:03:28.272Z</dcterms:created>
  <dcterms:modified xsi:type="dcterms:W3CDTF">2026-10-06T00:03:28.272Z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