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NCR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QSCP-NCR-2024-032</w:t>
            </w:r>
          </w:p>
        </w:tc>
        <w:tc>
          <w:p>
            <w:r>
              <w:rPr>
                <w:b w:val="false"/>
                <w:bCs w:val="false"/>
                <w:sz w:val="14"/>
                <w:szCs w:val="14"/>
              </w:rPr>
              <w:t xml:space="preserve">Issued</w:t>
            </w:r>
          </w:p>
        </w:tc>
        <w:tc>
          <w:p>
            <w:r>
              <w:rPr>
                <w:b w:val="false"/>
                <w:bCs w:val="false"/>
                <w:sz w:val="14"/>
                <w:szCs w:val="14"/>
              </w:rPr>
              <w:t xml:space="preserve">2024-11-07</w:t>
            </w:r>
          </w:p>
        </w:tc>
      </w:tr>
    </w:tbl>
    <w:p>
      <w:pPr>
        <w:pStyle w:val="Heading1"/>
      </w:pPr>
      <w:r>
        <w:t xml:space="preserve">Nonconformance - 2-RF-102 CMLs -04 to -07 Below t-min</w:t>
      </w:r>
    </w:p>
    <w:p>
      <w:pPr>
        <w:pStyle w:val="Heading2"/>
      </w:pPr>
      <w:r>
        <w:t xml:space="preserve">Scope and Responsibilities</w:t>
      </w:r>
    </w:p>
    <w:p>
      <w:r>
        <w:rPr>
          <w:b w:val="false"/>
          <w:bCs w:val="false"/>
          <w:sz w:val="18"/>
          <w:szCs w:val="18"/>
        </w:rPr>
        <w:t xml:space="preserve">This document identifies a nonconforming condition discovered during the 2024 thickness survey of the ATU-100. Jennifer Walsh, acting as the Inspection Coordinator, is responsible for the technical review of the ultrasonic data and the formal issuance of this nonconformance report. The scope of this report is limited to the reflux piping downstream of the flow-control valve where wall loss has exceeded the retirement limits established by site rules.</w:t>
      </w:r>
    </w:p>
    <w:p>
      <w:r>
        <w:rPr>
          <w:b w:val="false"/>
          <w:bCs w:val="false"/>
          <w:sz w:val="18"/>
          <w:szCs w:val="18"/>
        </w:rPr>
        <w:t xml:space="preserve">Larkhall NDE Services Inc. performed the field measurements under the direction of the QSCP Hamilton Inspection Department. The data provided in LNDE-FN-20241025-031 serves as the basis for this assessment. Jennifer Walsh has verified that the readings for 2-RF-102 were obtained using the correct stainless-steel velocity settings for A312 TP316 material to ensure accuracy against the design t-min of 2.16 mm.</w:t>
      </w:r>
    </w:p>
    <w:p>
      <w:pPr>
        <w:pStyle w:val="Heading2"/>
      </w:pPr>
      <w:r>
        <w:t xml:space="preserve">Description of Nonconformance</w:t>
      </w:r>
    </w:p>
    <w:p>
      <w:r>
        <w:rPr>
          <w:b w:val="false"/>
          <w:bCs w:val="false"/>
          <w:sz w:val="18"/>
          <w:szCs w:val="18"/>
        </w:rPr>
        <w:t xml:space="preserve">During the execution of QSCP-IP-ATU100 Rev 3, four specific monitoring locations on line 2-RF-102 were found to be below the retirement thickness. Specifically, 2-RF-102-04 measured 1.94 mm, 2-RF-102-05 measured 1.92 mm, 2-RF-102-06 measured 1.92 mm, and 2-RF-102-07 measured 1.86 mm. These values are significantly below the 2.16 mm t-min required for this 60.3 mm OD reflux line, which is rated for 517 kPa(g) and 104 °C.</w:t>
      </w:r>
    </w:p>
    <w:p>
      <w:r>
        <w:rPr>
          <w:b w:val="false"/>
          <w:bCs w:val="false"/>
          <w:sz w:val="18"/>
          <w:szCs w:val="18"/>
        </w:rPr>
        <w:t xml:space="preserve">The wall loss is localized to the section downstream of the reflux flow-control valve. Comparison with the 2019 survey data shows a loss of approximately 0.9 mm at each of these locations over the last five years. In contrast, the upstream line 3-RF-101, an 88.9 mm OD reflux line, shows near-nil loss, indicating that the corrosion mechanism is specific to the flow conditions or turbulence downstream of the valve on 2-RF-102.</w:t>
      </w:r>
    </w:p>
    <w:p>
      <w:pPr>
        <w:pStyle w:val="Heading2"/>
      </w:pPr>
      <w:r>
        <w:t xml:space="preserve">Data Analysis and Corrosion Rates</w:t>
      </w:r>
    </w:p>
    <w:p>
      <w:r>
        <w:rPr>
          <w:b w:val="false"/>
          <w:bCs w:val="false"/>
          <w:sz w:val="18"/>
          <w:szCs w:val="18"/>
        </w:rPr>
        <w:t xml:space="preserve">The short-term corrosion rates calculated from LNDE-FN-20241025-031 indicate an acceleration of metal loss. For example, 2-RF-102-07 showed a rate of 0.204 mm/y in 2019, which has continued at 0.190 mm/y through 2024. Similarly, 2-RF-102-04 has increased from a 2016 rate of 0.043 mm/y to a current rate of 0.176 mm/y. These rates have resulted in the remaining life for 2-RF-102-04, 2-RF-102-05, 2-RF-102-06, and 2-RF-102-07 being recorded as expired.</w:t>
      </w:r>
    </w:p>
    <w:p>
      <w:r>
        <w:rPr>
          <w:b w:val="false"/>
          <w:bCs w:val="false"/>
          <w:sz w:val="18"/>
          <w:szCs w:val="18"/>
        </w:rPr>
        <w:t xml:space="preserve">Per the site rules for Class 2 reflux piping, the remaining life is now zero as the current thickness (t) is less than the t-min. While QSCP-IP-ATU100 Rev 3 originally set a 6-year RBI interval for these lines, the accelerated thinning observed since 2016 has bypassed the predicted retirement dates. The 3-RF-101 line remains within acceptable limits, but the 2-RF-102 locations require immediate disposition.</w:t>
      </w:r>
    </w:p>
    <w:p>
      <w:pPr>
        <w:pStyle w:val="Heading2"/>
      </w:pPr>
      <w:r>
        <w:t xml:space="preserve">Required Actions</w:t>
      </w:r>
    </w:p>
    <w:p>
      <w:r>
        <w:rPr>
          <w:b w:val="false"/>
          <w:bCs w:val="false"/>
          <w:sz w:val="18"/>
          <w:szCs w:val="18"/>
        </w:rPr>
        <w:t xml:space="preserve">Jennifer Walsh and the QSCP Hamilton Inspection Department require a formal engineering evaluation to determine if the affected sections of 2-RF-102 can remain in service until the next turnaround or if immediate replacement is necessary. The localized nature of the thinning suggests a flow-induced corrosion mechanism that is not present on 3-RF-101.</w:t>
      </w:r>
    </w:p>
    <w:p>
      <w:r>
        <w:rPr>
          <w:b w:val="false"/>
          <w:bCs w:val="false"/>
          <w:sz w:val="18"/>
          <w:szCs w:val="18"/>
        </w:rPr>
        <w:t xml:space="preserve">All future inspections for the ATU-100 reflux circuit must account for these accelerated rates. The data from LNDE-FN-20241025-031 shall be used to update the piping inspection database, and the inspection intervals for the downstream sections of 2-RF-102 must be revised to reflect the increased risk of wall loss exceeding the 2.16 mm threshold.</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Jennifer Walsh</w:t>
            </w:r>
          </w:p>
        </w:tc>
        <w:tc>
          <w:p>
            <w:r>
              <w:rPr>
                <w:b w:val="false"/>
                <w:bCs w:val="false"/>
                <w:sz w:val="14"/>
                <w:szCs w:val="14"/>
              </w:rPr>
              <w:t xml:space="preserve">Inspection Coordinator, API 570 inspector</w:t>
            </w:r>
          </w:p>
        </w:tc>
        <w:tc>
          <w:p>
            <w:r>
              <w:rPr>
                <w:b w:val="false"/>
                <w:bCs w:val="false"/>
                <w:sz w:val="14"/>
                <w:szCs w:val="14"/>
              </w:rPr>
              <w:t xml:space="preserve">2024-11-07</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QSCP-NCR-2024-032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2026-10-06T00:03:28.301Z</dcterms:created>
  <dcterms:modified xsi:type="dcterms:W3CDTF">2026-10-06T00:03:28.301Z</dcterms:modified>
</cp:coreProperties>
</file>

<file path=docProps/custom.xml><?xml version="1.0" encoding="utf-8"?>
<Properties xmlns="http://schemas.openxmlformats.org/officeDocument/2006/custom-properties" xmlns:vt="http://schemas.openxmlformats.org/officeDocument/2006/docPropsVTypes"/>
</file>