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Deutschland GmbH, Werk Niederrhein</w:t>
      </w:r>
    </w:p>
    <w:p>
      <w:r>
        <w:rPr>
          <w:b w:val="false"/>
          <w:bCs w:val="false"/>
          <w:sz w:val="18"/>
          <w:szCs w:val="18"/>
        </w:rPr>
        <w:t xml:space="preserve">Standort: Werk Niederrhein</w:t>
      </w:r>
    </w:p>
    <w:p>
      <w:r>
        <w:rPr>
          <w:b/>
          <w:bCs/>
          <w:sz w:val="22"/>
          <w:szCs w:val="22"/>
        </w:rPr>
        <w:t xml:space="preserve">Änderungsantrag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Nr.</w:t>
            </w:r>
          </w:p>
        </w:tc>
        <w:tc>
          <w:tcPr>
            <w:shd w:fill="E8E8E8" w:color="auto" w:val="clear"/>
          </w:tcPr>
          <w:p>
            <w:r>
              <w:rPr>
                <w:b/>
                <w:bCs/>
                <w:sz w:val="14"/>
                <w:szCs w:val="14"/>
              </w:rPr>
              <w:t xml:space="preserve">Status</w:t>
            </w:r>
          </w:p>
        </w:tc>
        <w:tc>
          <w:tcPr>
            <w:shd w:fill="E8E8E8" w:color="auto" w:val="clear"/>
          </w:tcPr>
          <w:p>
            <w:r>
              <w:rPr>
                <w:b/>
                <w:bCs/>
                <w:sz w:val="14"/>
                <w:szCs w:val="14"/>
              </w:rPr>
              <w:t xml:space="preserve">Datum</w:t>
            </w:r>
          </w:p>
        </w:tc>
      </w:tr>
      <w:tr>
        <w:trPr>
          <w:cantSplit/>
        </w:trPr>
        <w:tc>
          <w:p>
            <w:r>
              <w:rPr>
                <w:b w:val="false"/>
                <w:bCs w:val="false"/>
                <w:sz w:val="14"/>
                <w:szCs w:val="14"/>
              </w:rPr>
              <w:t xml:space="preserve">NR-MOC-2011-04</w:t>
            </w:r>
          </w:p>
        </w:tc>
        <w:tc>
          <w:p>
            <w:r>
              <w:rPr>
                <w:b w:val="false"/>
                <w:bCs w:val="false"/>
                <w:sz w:val="14"/>
                <w:szCs w:val="14"/>
              </w:rPr>
              <w:t xml:space="preserve">Endfassung</w:t>
            </w:r>
          </w:p>
        </w:tc>
        <w:tc>
          <w:p>
            <w:r>
              <w:rPr>
                <w:b w:val="false"/>
                <w:bCs w:val="false"/>
                <w:sz w:val="14"/>
                <w:szCs w:val="14"/>
              </w:rPr>
              <w:t xml:space="preserve">21.03.2011</w:t>
            </w:r>
          </w:p>
        </w:tc>
      </w:tr>
    </w:tbl>
    <w:p>
      <w:pPr>
        <w:pStyle w:val="Heading1"/>
      </w:pPr>
      <w:r>
        <w:t xml:space="preserve">Änderungsantrag - Erhöhung Sumpftemperatur K-2101 auf 110 °C</w:t>
      </w:r>
    </w:p>
    <w:p>
      <w:pPr>
        <w:pStyle w:val="Heading2"/>
      </w:pPr>
      <w:r>
        <w:t xml:space="preserve">Gegenstand und Zielsetzung</w:t>
      </w:r>
    </w:p>
    <w:p>
      <w:r>
        <w:rPr>
          <w:b w:val="false"/>
          <w:bCs w:val="false"/>
          <w:sz w:val="18"/>
          <w:szCs w:val="18"/>
        </w:rPr>
        <w:t xml:space="preserve">Dieser Änderungsantrag (MOC) behandelt die prozesstechnische Anpassung der Sumpftemperatur in der Kolonne K-2101 innerhalb der ANLAGE-21. Zur Steigerung des Durchsatzes in der Lösemittelrückgewinnung ist eine Anhebung der Betriebstemperatur von bisher 95 °C auf nunmehr 110 °C vorgesehen.</w:t>
      </w:r>
    </w:p>
    <w:p>
      <w:r>
        <w:rPr>
          <w:b w:val="false"/>
          <w:bCs w:val="false"/>
          <w:sz w:val="18"/>
          <w:szCs w:val="18"/>
        </w:rPr>
        <w:t xml:space="preserve">Die Änderung betrifft primär die Leitung NR-21-L-0412, welche den Sumpfabzug zur Einheit E-2104 führt. Da das Medium heiße wässrige Phasen mit Chloridanteilen enthält, ist die thermische Belastung hinsichtlich der Werkstoffbeständigkeit und der bestehenden Prüfkonzepte neu zu bewerten.</w:t>
      </w:r>
    </w:p>
    <w:p>
      <w:pPr>
        <w:pStyle w:val="Heading2"/>
      </w:pPr>
      <w:r>
        <w:t xml:space="preserve">Technische Daten und Werkstoffprüfung</w:t>
      </w:r>
    </w:p>
    <w:p>
      <w:r>
        <w:rPr>
          <w:b w:val="false"/>
          <w:bCs w:val="false"/>
          <w:sz w:val="18"/>
          <w:szCs w:val="18"/>
        </w:rPr>
        <w:t xml:space="preserve">Die betroffene Leitung NR-21-L-0412 ist im Werkstoff 1.4404 ausgeführt und weist die Abmessungen 88,9 mm x 3,2 mm auf. Mit einem zulässigen maximalen Betriebsdruck (PS) von 10 bar(g) und einer zulässigen maximalen Betriebstemperatur (TS) von 150 °C bietet das System ausreichende Reserven für die geplante Erhöhung auf 110 °C.</w:t>
      </w:r>
    </w:p>
    <w:p>
      <w:r>
        <w:rPr>
          <w:b w:val="false"/>
          <w:bCs w:val="false"/>
          <w:sz w:val="18"/>
          <w:szCs w:val="18"/>
        </w:rPr>
        <w:t xml:space="preserve">Gemäß QSCP Werksnorm gilt für diese Nennweite eine Mindestwanddicke von 2,0 mm. Da bei austenitischen Leitungen des Typs 1.4404 erfahrungsgemäß keine messbare flächige Wanddickenabnahme vorliegt, liegt der Fokus der Integritätsüberwachung auf dem Ausschluss von Rissanzeigen durch Cl-SpRK.</w:t>
      </w:r>
    </w:p>
    <w:p>
      <w:pPr>
        <w:pStyle w:val="Heading2"/>
      </w:pPr>
      <w:r>
        <w:t xml:space="preserve">Sicherheitstechnische Bewertung</w:t>
      </w:r>
    </w:p>
    <w:p>
      <w:r>
        <w:rPr>
          <w:b w:val="false"/>
          <w:bCs w:val="false"/>
          <w:sz w:val="18"/>
          <w:szCs w:val="18"/>
        </w:rPr>
        <w:t xml:space="preserve">Die Gefährdungsbeurteilung NR-GBU-21-2003 dient als Grundlage für die Festlegung der Prüffristen und Überwachungsmaßnahmen. Die Erhöhung der Betriebstemperatur bleibt innerhalb der durch die Gefährdungsbeurteilung Rohrleitungen Anlage 21 gesteckten Grenzen, sofern die Intervalle für die zerstörungsfreie Prüfung strikt eingehalten werden.</w:t>
      </w:r>
    </w:p>
    <w:p>
      <w:r>
        <w:rPr>
          <w:b w:val="false"/>
          <w:bCs w:val="false"/>
          <w:sz w:val="18"/>
          <w:szCs w:val="18"/>
        </w:rPr>
        <w:t xml:space="preserve">Dr.-Ing. Katrin Holtkamp hat als Betriebsleiterin die Einhaltung der Betriebsparameter sicherzustellen. Eine Überschreitung der TS von 150 °C ist durch die Prozessleittechnik verriegelt, sodass die mechanische Integrität der Leitung NR-21-L-0412 unter den neuen Bedingungen gewahrt bleibt.</w:t>
      </w:r>
    </w:p>
    <w:p>
      <w:pPr>
        <w:pStyle w:val="Heading2"/>
      </w:pPr>
      <w:r>
        <w:t xml:space="preserve">Prüfwesen und Überwachung</w:t>
      </w:r>
    </w:p>
    <w:p>
      <w:r>
        <w:rPr>
          <w:b w:val="false"/>
          <w:bCs w:val="false"/>
          <w:sz w:val="18"/>
          <w:szCs w:val="18"/>
        </w:rPr>
        <w:t xml:space="preserve">Die Festigkeitsprüfung wird weiterhin gemäß BetrSichV 2002 § 15 Abs. 10 durch die UVNL als ZÜS mittels zerstörungsfreier Prüfung durchgeführt. Hierbei erfolgt eine UT-Wanddickenmessung sowie eine PT-Prüfung an relevanten Bereichen, um unzulässige Rissanzeigen auszuschließen.</w:t>
      </w:r>
    </w:p>
    <w:p>
      <w:r>
        <w:rPr>
          <w:b w:val="false"/>
          <w:bCs w:val="false"/>
          <w:sz w:val="18"/>
          <w:szCs w:val="18"/>
        </w:rPr>
        <w:t xml:space="preserve">Zusätzlich zu den 5-jährigen Prüfungen durch die ZÜS führt die zur Prüfung befähigte Person der QSCP Deutschland GmbH zwischenzeitliche Wanddickenmessungen an den Kondensatleitungen durch. Jede Messstelle ist dabei gegen den Werksnorm-Grenzwert von 2,0 mm zu prüfen; eine Unterschreitung ist als Abweichung zu dokumentieren.</w:t>
      </w:r>
    </w:p>
    <w:p>
      <w:pPr>
        <w:pStyle w:val="Heading2"/>
      </w:pPr>
      <w:r>
        <w:t xml:space="preserve">Verantwortlichkeiten und Freigabe</w:t>
      </w:r>
    </w:p>
    <w:p>
      <w:r>
        <w:rPr>
          <w:b w:val="false"/>
          <w:bCs w:val="false"/>
          <w:sz w:val="18"/>
          <w:szCs w:val="18"/>
        </w:rPr>
        <w:t xml:space="preserve">Die Gesamtverantwortung für die Umsetzung der Temperaturerhöhung in der ANLAGE-21 liegt bei Dr.-Ing. Katrin Holtkamp. Dies umfasst die Aktualisierung der Betriebsanweisungen und die Unterweisung des Personals bezüglich der geänderten Fahrweise der Kolonne K-2101.</w:t>
      </w:r>
    </w:p>
    <w:p>
      <w:r>
        <w:rPr>
          <w:b w:val="false"/>
          <w:bCs w:val="false"/>
          <w:sz w:val="18"/>
          <w:szCs w:val="18"/>
        </w:rPr>
        <w:t xml:space="preserve">Die Überwachung der Korrosionsraten und die Durchführung der UT-Messungen erfolgen nach Justierung am Vergleichskörper durch das qualifizierte Prüfpersonal. Die Ergebnisse sind im Rahmen der Dokumentation zur NR-GBU-21-2003 zu hinterlegen, um die Langzeitsicherheit der Leitung NR-21-L-0412 zu gewährleisten.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Vorgang</w:t>
            </w:r>
          </w:p>
        </w:tc>
        <w:tc>
          <w:tcPr>
            <w:shd w:fill="E8E8E8" w:color="auto" w:val="clear"/>
          </w:tcPr>
          <w:p>
            <w:r>
              <w:rPr>
                <w:b/>
                <w:bCs/>
                <w:sz w:val="14"/>
                <w:szCs w:val="14"/>
              </w:rPr>
              <w:t xml:space="preserve">Name</w:t>
            </w:r>
          </w:p>
        </w:tc>
        <w:tc>
          <w:tcPr>
            <w:shd w:fill="E8E8E8" w:color="auto" w:val="clear"/>
          </w:tcPr>
          <w:p>
            <w:r>
              <w:rPr>
                <w:b/>
                <w:bCs/>
                <w:sz w:val="14"/>
                <w:szCs w:val="14"/>
              </w:rPr>
              <w:t xml:space="preserve">Funktion</w:t>
            </w:r>
          </w:p>
        </w:tc>
        <w:tc>
          <w:tcPr>
            <w:shd w:fill="E8E8E8" w:color="auto" w:val="clear"/>
          </w:tcPr>
          <w:p>
            <w:r>
              <w:rPr>
                <w:b/>
                <w:bCs/>
                <w:sz w:val="14"/>
                <w:szCs w:val="14"/>
              </w:rPr>
              <w:t xml:space="preserve">Datum</w:t>
            </w:r>
          </w:p>
        </w:tc>
        <w:tc>
          <w:tcPr>
            <w:shd w:fill="E8E8E8" w:color="auto" w:val="clear"/>
          </w:tcPr>
          <w:p>
            <w:r>
              <w:rPr>
                <w:b/>
                <w:bCs/>
                <w:sz w:val="14"/>
                <w:szCs w:val="14"/>
              </w:rPr>
              <w:t xml:space="preserve">Unterschrift</w:t>
            </w:r>
          </w:p>
        </w:tc>
      </w:tr>
      <w:tr>
        <w:trPr>
          <w:cantSplit/>
        </w:trPr>
        <w:tc>
          <w:p>
            <w:r>
              <w:rPr>
                <w:b w:val="false"/>
                <w:bCs w:val="false"/>
                <w:sz w:val="14"/>
                <w:szCs w:val="14"/>
              </w:rPr>
              <w:t xml:space="preserve">Erstellt</w:t>
            </w:r>
          </w:p>
        </w:tc>
        <w:tc>
          <w:p>
            <w:r>
              <w:rPr>
                <w:b w:val="false"/>
                <w:bCs w:val="false"/>
                <w:sz w:val="14"/>
                <w:szCs w:val="14"/>
              </w:rPr>
              <w:t xml:space="preserve">Dr.-Ing. Katrin Holtkamp</w:t>
            </w:r>
          </w:p>
        </w:tc>
        <w:tc>
          <w:p>
            <w:r>
              <w:rPr>
                <w:b w:val="false"/>
                <w:bCs w:val="false"/>
                <w:sz w:val="14"/>
                <w:szCs w:val="14"/>
              </w:rPr>
              <w:t xml:space="preserve">Betriebsleiterin Anlage 21</w:t>
            </w:r>
          </w:p>
        </w:tc>
        <w:tc>
          <w:p>
            <w:r>
              <w:rPr>
                <w:b w:val="false"/>
                <w:bCs w:val="false"/>
                <w:sz w:val="14"/>
                <w:szCs w:val="14"/>
              </w:rPr>
              <w:t xml:space="preserve">21.03.2011</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NR-MOC-2011-04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2026-10-06T00:03:25.818Z</dcterms:created>
  <dcterms:modified xsi:type="dcterms:W3CDTF">2026-10-06T00:03:25.818Z</dcterms:modified>
</cp:coreProperties>
</file>

<file path=docProps/custom.xml><?xml version="1.0" encoding="utf-8"?>
<Properties xmlns="http://schemas.openxmlformats.org/officeDocument/2006/custom-properties" xmlns:vt="http://schemas.openxmlformats.org/officeDocument/2006/docPropsVTypes"/>
</file>