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26"/>
          <w:szCs w:val="26"/>
        </w:rPr>
        <w:t xml:space="preserve">QSCP Deutschland GmbH, Werk Niederrhein</w:t>
      </w:r>
    </w:p>
    <w:p>
      <w:r>
        <w:rPr>
          <w:b w:val="false"/>
          <w:bCs w:val="false"/>
          <w:sz w:val="18"/>
          <w:szCs w:val="18"/>
        </w:rPr>
        <w:t xml:space="preserve">Standort: Werk Niederrhein</w:t>
      </w:r>
    </w:p>
    <w:p>
      <w:r>
        <w:rPr>
          <w:b/>
          <w:bCs/>
          <w:sz w:val="22"/>
          <w:szCs w:val="22"/>
        </w:rPr>
        <w:t xml:space="preserve">Abweichungsbericht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E8E8E8" w:color="auto" w:val="clear"/>
          </w:tcPr>
          <w:p>
            <w:r>
              <w:rPr>
                <w:b/>
                <w:bCs/>
                <w:sz w:val="14"/>
                <w:szCs w:val="14"/>
              </w:rPr>
              <w:t xml:space="preserve">Nr.</w:t>
            </w:r>
          </w:p>
        </w:tc>
        <w:tc>
          <w:tcPr>
            <w:shd w:fill="E8E8E8" w:color="auto" w:val="clear"/>
          </w:tcPr>
          <w:p>
            <w:r>
              <w:rPr>
                <w:b/>
                <w:bCs/>
                <w:sz w:val="14"/>
                <w:szCs w:val="14"/>
              </w:rPr>
              <w:t xml:space="preserve">Status</w:t>
            </w:r>
          </w:p>
        </w:tc>
        <w:tc>
          <w:tcPr>
            <w:shd w:fill="E8E8E8" w:color="auto" w:val="clear"/>
          </w:tcPr>
          <w:p>
            <w:r>
              <w:rPr>
                <w:b/>
                <w:bCs/>
                <w:sz w:val="14"/>
                <w:szCs w:val="14"/>
              </w:rPr>
              <w:t xml:space="preserve">Datum</w:t>
            </w:r>
          </w:p>
        </w:tc>
      </w:tr>
      <w:tr>
        <w:trPr>
          <w:cantSplit/>
        </w:trPr>
        <w:tc>
          <w:p>
            <w:r>
              <w:rPr>
                <w:b w:val="false"/>
                <w:bCs w:val="false"/>
                <w:sz w:val="14"/>
                <w:szCs w:val="14"/>
              </w:rPr>
              <w:t xml:space="preserve">NR-AB-2014-03</w:t>
            </w:r>
          </w:p>
        </w:tc>
        <w:tc>
          <w:p>
            <w:r>
              <w:rPr>
                <w:b w:val="false"/>
                <w:bCs w:val="false"/>
                <w:sz w:val="14"/>
                <w:szCs w:val="14"/>
              </w:rPr>
              <w:t xml:space="preserve">Endfassung</w:t>
            </w:r>
          </w:p>
        </w:tc>
        <w:tc>
          <w:p>
            <w:r>
              <w:rPr>
                <w:b w:val="false"/>
                <w:bCs w:val="false"/>
                <w:sz w:val="14"/>
                <w:szCs w:val="14"/>
              </w:rPr>
              <w:t xml:space="preserve">14.03.2014</w:t>
            </w:r>
          </w:p>
        </w:tc>
      </w:tr>
    </w:tbl>
    <w:p>
      <w:pPr>
        <w:pStyle w:val="Heading1"/>
      </w:pPr>
      <w:r>
        <w:t xml:space="preserve">Abweichungsbericht - Rissanzeigen NR-21-L-0412</w:t>
      </w:r>
    </w:p>
    <w:p>
      <w:pPr>
        <w:pStyle w:val="Heading2"/>
      </w:pPr>
      <w:r>
        <w:t xml:space="preserve">Gegenstand und Anlass der Feststellung</w:t>
      </w:r>
    </w:p>
    <w:p>
      <w:r>
        <w:rPr>
          <w:b w:val="false"/>
          <w:bCs w:val="false"/>
          <w:sz w:val="18"/>
          <w:szCs w:val="18"/>
        </w:rPr>
        <w:t xml:space="preserve">Dieser Bericht dokumentiert eine schwerwiegende Abweichung an der Rohrleitung NR-21-L-0412 innerhalb der ANLAGE-21. Die betroffene Leitung führt heißes, chloridhaltiges wässriges Medium vom Sumpf der Kolonne K-2101 zum Wärmetauscher E-2104. Die Auslegungsdaten sind mit einem zulässigen Betriebsdruck PS von 10 bar(g) und einer zulässigen Betriebstemperatur TS von 150 °C festgelegt. Als Werkstoff kommt der austenitische Edelstahl 1.4404 zum Einsatz.</w:t>
      </w:r>
    </w:p>
    <w:p>
      <w:r>
        <w:rPr>
          <w:b w:val="false"/>
          <w:bCs w:val="false"/>
          <w:sz w:val="18"/>
          <w:szCs w:val="18"/>
        </w:rPr>
        <w:t xml:space="preserve">Im Rahmen der wiederkehrenden Überwachung wurde die Leitung aufgrund vorliegender Mängel außer Betrieb genommen. Die Feststellung der Abweichung erfolgte nach der Entfernung der Isolierung, welche durch die Erlaubnis NR-ES-2014-00382 autorisiert wurde. Der Anlass für diese Maßnahme war ein bereits seit 2013 bekannter Mangel an der Blechummantelung und die damit verbundene Durchfeuchtung der Isolierung, wie in ANG-DA-2013-04120 durch die ZÜS dokumentiert.</w:t>
      </w:r>
    </w:p>
    <w:p>
      <w:pPr>
        <w:pStyle w:val="Heading2"/>
      </w:pPr>
      <w:r>
        <w:t xml:space="preserve">Prüfbefund und Referenzen</w:t>
      </w:r>
    </w:p>
    <w:p>
      <w:r>
        <w:rPr>
          <w:b w:val="false"/>
          <w:bCs w:val="false"/>
          <w:sz w:val="18"/>
          <w:szCs w:val="18"/>
        </w:rPr>
        <w:t xml:space="preserve">Nach Freilegung der Rohrleitungsoberfläche wurde eine zerstörungsfreie Prüfung durchgeführt. Gemäß RLW-PB-2014-0098 wurden bei der Eindringprüfung an drei verschiedenen Positionen verzweigte Rissanzeigen unter der feuchten Isolierung festgestellt. Da Rissanzeigen nach den geltenden Werksnormen grundsätzlich unzulässig sind, wurde die Leitung unmittelbar gesperrt.</w:t>
      </w:r>
    </w:p>
    <w:p>
      <w:r>
        <w:rPr>
          <w:b w:val="false"/>
          <w:bCs w:val="false"/>
          <w:sz w:val="18"/>
          <w:szCs w:val="18"/>
        </w:rPr>
        <w:t xml:space="preserve">Die Ergebnisse im RLW-PB-2014-0098 bestätigen das Vorliegen von Oberflächenfehlern, wobei das Verfahren der Eindringprüfung naturgemäß keine Aussage über die tatsächliche Rissliefe zulässt. Die betroffenen Bereiche befinden sich an der Rohrleitung NR-21-L-0412 mit den Abmessungen 88,9 mm x 3,2 mm. Eine ausreichende Ankopplung für ergänzende Ultraschallprüfungen zur Wanddickenmessung war an den geschädigten Stellen nicht Gegenstand dieser spezifischen Feststellung.</w:t>
      </w:r>
    </w:p>
    <w:p>
      <w:pPr>
        <w:pStyle w:val="Heading2"/>
      </w:pPr>
      <w:r>
        <w:t xml:space="preserve">Technische Bewertung der Abweichung</w:t>
      </w:r>
    </w:p>
    <w:p>
      <w:r>
        <w:rPr>
          <w:b w:val="false"/>
          <w:bCs w:val="false"/>
          <w:sz w:val="18"/>
          <w:szCs w:val="18"/>
        </w:rPr>
        <w:t xml:space="preserve">Die vorliegenden Befunde deuten auf externe Cl-SpRK hin, welche bei isolierten Leitungen aus 1.4404 oberhalb von 60 °C unter feuchter Isolierung auftreten kann. Obwohl austenitische Leitungen dieses Typs üblicherweise keinen messbaren flächigen Abtrag zeigen, führen die Rissanzeigen zum Verlust der Integrität. Die Werksnorm schreibt eine Mindestwanddicke von 2,0 mm für diesen Nennweitenbereich vor, jedoch ist die Rissfreiheit das primäre Kriterium.</w:t>
      </w:r>
    </w:p>
    <w:p>
      <w:r>
        <w:rPr>
          <w:b w:val="false"/>
          <w:bCs w:val="false"/>
          <w:sz w:val="18"/>
          <w:szCs w:val="18"/>
        </w:rPr>
        <w:t xml:space="preserve">Thomas Brüggemann hat als Prüfkoordinator und zur Prüfung befähigte Person der QSCP Deutschland GmbH die Koordination der Maßnahmen übernommen. Die vorliegende Abweichung steht im direkten Zusammenhang mit der Mängelliste der ZÜS aus der Prüfung gemäß BetrSichV 2002 § 15 Abs. 10, bei der die Festigkeitsprüfung durch zerstörungsfreie Prüfverfahren anstelle einer Druckprüfung durchgeführt wird. Die dokumentierten Mängel an der Ummantelung führten letztlich zum Versagen des Korrosionsschutzes unter der Isolierung.</w:t>
      </w:r>
    </w:p>
    <w:p>
      <w:pPr>
        <w:pStyle w:val="Heading2"/>
      </w:pPr>
      <w:r>
        <w:t xml:space="preserve">Verantwortlichkeiten und weitere Maßnahmen</w:t>
      </w:r>
    </w:p>
    <w:p>
      <w:r>
        <w:rPr>
          <w:b w:val="false"/>
          <w:bCs w:val="false"/>
          <w:sz w:val="18"/>
          <w:szCs w:val="18"/>
        </w:rPr>
        <w:t xml:space="preserve">Die Verantwortung für die Überwachung der Instandsetzung und die abschließende Bewertung der Reparaturmaßnahmen liegt bei der QSCP Deutschland GmbH, Werk Niederrhein. Thomas Brüggemann ist für die Dokumentation der technischen Konformität und die Abstimmung mit der zuständigen ZÜS verantwortlich. Die Leitung NR-21-L-0412 bleibt bis zur vollständigen Beseitigung der Mängel und einer erfolgreichen Wiederholungsprüfung gesperrt.</w:t>
      </w:r>
    </w:p>
    <w:p>
      <w:r>
        <w:rPr>
          <w:b w:val="false"/>
          <w:bCs w:val="false"/>
          <w:sz w:val="18"/>
          <w:szCs w:val="18"/>
        </w:rPr>
        <w:t xml:space="preserve">In der ANLAGE-21 sind zudem die angrenzenden Bereiche auf ähnliche Schadensbilder zu untersuchen, insbesondere da die Durchfeuchtung der Isolierung als systematischer Fehler identifiziert wurde. Alle weiteren Schritte zur Wiederherstellung des ordnungsgemäßen Zustands müssen die Anforderungen der äußeren Prüfung und der Festigkeitsprüfung erfüllen, bevor eine Wiederinbetriebnahme erfolgen kann.</w:t>
      </w:r>
    </w:p>
    <w:p>
      <w:r>
        <w:rPr>
          <w:b w:val="false"/>
          <w:bCs w:val="false"/>
          <w:sz w:val="18"/>
          <w:szCs w:val="18"/>
        </w:rPr>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E8E8E8" w:color="auto" w:val="clear"/>
          </w:tcPr>
          <w:p>
            <w:r>
              <w:rPr>
                <w:b/>
                <w:bCs/>
                <w:sz w:val="14"/>
                <w:szCs w:val="14"/>
              </w:rPr>
              <w:t xml:space="preserve">Vorgang</w:t>
            </w:r>
          </w:p>
        </w:tc>
        <w:tc>
          <w:tcPr>
            <w:shd w:fill="E8E8E8" w:color="auto" w:val="clear"/>
          </w:tcPr>
          <w:p>
            <w:r>
              <w:rPr>
                <w:b/>
                <w:bCs/>
                <w:sz w:val="14"/>
                <w:szCs w:val="14"/>
              </w:rPr>
              <w:t xml:space="preserve">Name</w:t>
            </w:r>
          </w:p>
        </w:tc>
        <w:tc>
          <w:tcPr>
            <w:shd w:fill="E8E8E8" w:color="auto" w:val="clear"/>
          </w:tcPr>
          <w:p>
            <w:r>
              <w:rPr>
                <w:b/>
                <w:bCs/>
                <w:sz w:val="14"/>
                <w:szCs w:val="14"/>
              </w:rPr>
              <w:t xml:space="preserve">Funktion</w:t>
            </w:r>
          </w:p>
        </w:tc>
        <w:tc>
          <w:tcPr>
            <w:shd w:fill="E8E8E8" w:color="auto" w:val="clear"/>
          </w:tcPr>
          <w:p>
            <w:r>
              <w:rPr>
                <w:b/>
                <w:bCs/>
                <w:sz w:val="14"/>
                <w:szCs w:val="14"/>
              </w:rPr>
              <w:t xml:space="preserve">Datum</w:t>
            </w:r>
          </w:p>
        </w:tc>
        <w:tc>
          <w:tcPr>
            <w:shd w:fill="E8E8E8" w:color="auto" w:val="clear"/>
          </w:tcPr>
          <w:p>
            <w:r>
              <w:rPr>
                <w:b/>
                <w:bCs/>
                <w:sz w:val="14"/>
                <w:szCs w:val="14"/>
              </w:rPr>
              <w:t xml:space="preserve">Unterschrift</w:t>
            </w:r>
          </w:p>
        </w:tc>
      </w:tr>
      <w:tr>
        <w:trPr>
          <w:cantSplit/>
        </w:trPr>
        <w:tc>
          <w:p>
            <w:r>
              <w:rPr>
                <w:b w:val="false"/>
                <w:bCs w:val="false"/>
                <w:sz w:val="14"/>
                <w:szCs w:val="14"/>
              </w:rPr>
              <w:t xml:space="preserve">Erstellt</w:t>
            </w:r>
          </w:p>
        </w:tc>
        <w:tc>
          <w:p>
            <w:r>
              <w:rPr>
                <w:b w:val="false"/>
                <w:bCs w:val="false"/>
                <w:sz w:val="14"/>
                <w:szCs w:val="14"/>
              </w:rPr>
              <w:t xml:space="preserve">Thomas Brüggemann</w:t>
            </w:r>
          </w:p>
        </w:tc>
        <w:tc>
          <w:p>
            <w:r>
              <w:rPr>
                <w:b w:val="false"/>
                <w:bCs w:val="false"/>
                <w:sz w:val="14"/>
                <w:szCs w:val="14"/>
              </w:rPr>
              <w:t xml:space="preserve">Prüfkoordinator, zur Prüfung befähigte Person</w:t>
            </w:r>
          </w:p>
        </w:tc>
        <w:tc>
          <w:p>
            <w:r>
              <w:rPr>
                <w:b w:val="false"/>
                <w:bCs w:val="false"/>
                <w:sz w:val="14"/>
                <w:szCs w:val="14"/>
              </w:rPr>
              <w:t xml:space="preserve">14.03.2014</w:t>
            </w:r>
          </w:p>
        </w:tc>
        <w:tc>
          <w:p>
            <w:r>
              <w:rPr>
                <w:b w:val="false"/>
                <w:bCs w:val="false"/>
                <w:sz w:val="14"/>
                <w:szCs w:val="14"/>
              </w:rPr>
              <w:t xml:space="preserve">______________</w:t>
            </w:r>
          </w:p>
        </w:tc>
      </w:tr>
    </w:tbl>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sz w:val="16"/>
        <w:szCs w:val="16"/>
      </w:rPr>
      <w:t xml:space="preserve">NR-AB-2014-03 | 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2026-10-06T00:03:26.199Z</dcterms:created>
  <dcterms:modified xsi:type="dcterms:W3CDTF">2026-10-06T00:03:26.199Z</dcterms:modified>
</cp:coreProperties>
</file>

<file path=docProps/custom.xml><?xml version="1.0" encoding="utf-8"?>
<Properties xmlns="http://schemas.openxmlformats.org/officeDocument/2006/custom-properties" xmlns:vt="http://schemas.openxmlformats.org/officeDocument/2006/docPropsVTypes"/>
</file>