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095E" w14:textId="77777777" w:rsidR="002C3F1E" w:rsidRPr="002C3F1E" w:rsidRDefault="002C3F1E" w:rsidP="002C3F1E">
      <w:p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Research Highlights</w:t>
      </w:r>
    </w:p>
    <w:p w14:paraId="39AB4F23" w14:textId="77777777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Novel Multi-Modal Framework:</w:t>
      </w:r>
      <w:r w:rsidRPr="002C3F1E">
        <w:rPr>
          <w:rFonts w:ascii="Times New Roman" w:hAnsi="Times New Roman" w:cs="Times New Roman"/>
          <w:sz w:val="24"/>
          <w:szCs w:val="24"/>
        </w:rPr>
        <w:t xml:space="preserve"> Proposes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HybridForensicsNetV3</w:t>
      </w:r>
      <w:r w:rsidRPr="002C3F1E">
        <w:rPr>
          <w:rFonts w:ascii="Times New Roman" w:hAnsi="Times New Roman" w:cs="Times New Roman"/>
          <w:sz w:val="24"/>
          <w:szCs w:val="24"/>
        </w:rPr>
        <w:t>, a unified architecture that fuses five distinct forensic modalities—RGB, FFT, Wavelet, ELA, and Noise residuals—to detect synthetic artifacts invisible to the human eye.</w:t>
      </w:r>
    </w:p>
    <w:p w14:paraId="7C07D272" w14:textId="77777777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Adaptive Forensic Mechanism:</w:t>
      </w:r>
      <w:r w:rsidRPr="002C3F1E">
        <w:rPr>
          <w:rFonts w:ascii="Times New Roman" w:hAnsi="Times New Roman" w:cs="Times New Roman"/>
          <w:sz w:val="24"/>
          <w:szCs w:val="24"/>
        </w:rPr>
        <w:t xml:space="preserve"> Introduces a dynamic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Mixture-of-Experts (MoE)</w:t>
      </w:r>
      <w:r w:rsidRPr="002C3F1E">
        <w:rPr>
          <w:rFonts w:ascii="Times New Roman" w:hAnsi="Times New Roman" w:cs="Times New Roman"/>
          <w:sz w:val="24"/>
          <w:szCs w:val="24"/>
        </w:rPr>
        <w:t xml:space="preserve"> gating system coupled with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Cross-Attention fusion</w:t>
      </w:r>
      <w:r w:rsidRPr="002C3F1E">
        <w:rPr>
          <w:rFonts w:ascii="Times New Roman" w:hAnsi="Times New Roman" w:cs="Times New Roman"/>
          <w:sz w:val="24"/>
          <w:szCs w:val="24"/>
        </w:rPr>
        <w:t>, allowing the model to adaptively weigh spectral vs. spatial cues based on the specific generator type (GAN or Diffusion).</w:t>
      </w:r>
    </w:p>
    <w:p w14:paraId="53214C5C" w14:textId="77777777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State-of-the-Art Performance:</w:t>
      </w:r>
      <w:r w:rsidRPr="002C3F1E">
        <w:rPr>
          <w:rFonts w:ascii="Times New Roman" w:hAnsi="Times New Roman" w:cs="Times New Roman"/>
          <w:sz w:val="24"/>
          <w:szCs w:val="24"/>
        </w:rPr>
        <w:t xml:space="preserve"> Achieves near-perfect detection with an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F1-score of 99.5%</w:t>
      </w:r>
      <w:r w:rsidRPr="002C3F1E">
        <w:rPr>
          <w:rFonts w:ascii="Times New Roman" w:hAnsi="Times New Roman" w:cs="Times New Roman"/>
          <w:sz w:val="24"/>
          <w:szCs w:val="24"/>
        </w:rPr>
        <w:t xml:space="preserve"> and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100% Recall</w:t>
      </w:r>
      <w:r w:rsidRPr="002C3F1E">
        <w:rPr>
          <w:rFonts w:ascii="Times New Roman" w:hAnsi="Times New Roman" w:cs="Times New Roman"/>
          <w:sz w:val="24"/>
          <w:szCs w:val="24"/>
        </w:rPr>
        <w:t>, demonstrating statistically significant improvements (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p &lt; 0.01</w:t>
      </w:r>
      <w:r w:rsidRPr="002C3F1E">
        <w:rPr>
          <w:rFonts w:ascii="Times New Roman" w:hAnsi="Times New Roman" w:cs="Times New Roman"/>
          <w:sz w:val="24"/>
          <w:szCs w:val="24"/>
        </w:rPr>
        <w:t>) over traditional single-domain baselines like ResNet-50 and Xception.</w:t>
      </w:r>
    </w:p>
    <w:p w14:paraId="3F7B4375" w14:textId="65A022E1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Cross-Gnerator Generalization:</w:t>
      </w:r>
      <w:r w:rsidRPr="002C3F1E">
        <w:rPr>
          <w:rFonts w:ascii="Times New Roman" w:hAnsi="Times New Roman" w:cs="Times New Roman"/>
          <w:sz w:val="24"/>
          <w:szCs w:val="24"/>
        </w:rPr>
        <w:t xml:space="preserve"> Effectively bridges the "Diffusion Gap," validating robust performance across diverse architectures including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ProGAN, StyleGAN3, Stable Diffusion XL, and Midjourney</w:t>
      </w:r>
      <w:r w:rsidRPr="002C3F1E">
        <w:rPr>
          <w:rFonts w:ascii="Times New Roman" w:hAnsi="Times New Roman" w:cs="Times New Roman"/>
          <w:sz w:val="24"/>
          <w:szCs w:val="24"/>
        </w:rPr>
        <w:t>.</w:t>
      </w:r>
    </w:p>
    <w:p w14:paraId="76D7B7C4" w14:textId="77777777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Curriculum Learning Strategy:</w:t>
      </w:r>
      <w:r w:rsidRPr="002C3F1E">
        <w:rPr>
          <w:rFonts w:ascii="Times New Roman" w:hAnsi="Times New Roman" w:cs="Times New Roman"/>
          <w:sz w:val="24"/>
          <w:szCs w:val="24"/>
        </w:rPr>
        <w:t xml:space="preserve"> Validates a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"Clean-then-Hard" training protocol</w:t>
      </w:r>
      <w:r w:rsidRPr="002C3F1E">
        <w:rPr>
          <w:rFonts w:ascii="Times New Roman" w:hAnsi="Times New Roman" w:cs="Times New Roman"/>
          <w:sz w:val="24"/>
          <w:szCs w:val="24"/>
        </w:rPr>
        <w:t xml:space="preserve"> that stabilizes initial learning before fine-tuning on hard examples, significantly refining decision boundaries for ambiguous samples.</w:t>
      </w:r>
    </w:p>
    <w:p w14:paraId="4CB1D95B" w14:textId="77777777" w:rsidR="002C3F1E" w:rsidRPr="002C3F1E" w:rsidRDefault="002C3F1E" w:rsidP="002C3F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F1E">
        <w:rPr>
          <w:rFonts w:ascii="Times New Roman" w:hAnsi="Times New Roman" w:cs="Times New Roman"/>
          <w:b/>
          <w:bCs/>
          <w:sz w:val="24"/>
          <w:szCs w:val="24"/>
        </w:rPr>
        <w:t>Reproducible Benchmarking:</w:t>
      </w:r>
      <w:r w:rsidRPr="002C3F1E">
        <w:rPr>
          <w:rFonts w:ascii="Times New Roman" w:hAnsi="Times New Roman" w:cs="Times New Roman"/>
          <w:sz w:val="24"/>
          <w:szCs w:val="24"/>
        </w:rPr>
        <w:t xml:space="preserve"> rigorous evaluation conducted exclusively on the </w:t>
      </w:r>
      <w:r w:rsidRPr="002C3F1E">
        <w:rPr>
          <w:rFonts w:ascii="Times New Roman" w:hAnsi="Times New Roman" w:cs="Times New Roman"/>
          <w:b/>
          <w:bCs/>
          <w:sz w:val="24"/>
          <w:szCs w:val="24"/>
        </w:rPr>
        <w:t>Real and Fake AI-Generated Standardized 512px Dataset</w:t>
      </w:r>
      <w:r w:rsidRPr="002C3F1E">
        <w:rPr>
          <w:rFonts w:ascii="Times New Roman" w:hAnsi="Times New Roman" w:cs="Times New Roman"/>
          <w:sz w:val="24"/>
          <w:szCs w:val="24"/>
        </w:rPr>
        <w:t xml:space="preserve"> (IEEE Dataport), ensuring transparency and standardization for future comparative research.</w:t>
      </w:r>
    </w:p>
    <w:p w14:paraId="2FEA3143" w14:textId="77777777" w:rsidR="006A6EE7" w:rsidRPr="00CF7A5A" w:rsidRDefault="006A6EE7">
      <w:pPr>
        <w:rPr>
          <w:rFonts w:ascii="Times New Roman" w:hAnsi="Times New Roman" w:cs="Times New Roman"/>
          <w:sz w:val="24"/>
          <w:szCs w:val="24"/>
        </w:rPr>
      </w:pPr>
    </w:p>
    <w:sectPr w:rsidR="006A6EE7" w:rsidRPr="00CF7A5A" w:rsidSect="00AD7000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B78A3"/>
    <w:multiLevelType w:val="multilevel"/>
    <w:tmpl w:val="BF7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5325C"/>
    <w:multiLevelType w:val="multilevel"/>
    <w:tmpl w:val="514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9903">
    <w:abstractNumId w:val="1"/>
  </w:num>
  <w:num w:numId="2" w16cid:durableId="173762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71"/>
    <w:rsid w:val="002C3F1E"/>
    <w:rsid w:val="002C6800"/>
    <w:rsid w:val="004D3DCA"/>
    <w:rsid w:val="006A6EE7"/>
    <w:rsid w:val="00706B71"/>
    <w:rsid w:val="00AD7000"/>
    <w:rsid w:val="00B91621"/>
    <w:rsid w:val="00CF7A5A"/>
    <w:rsid w:val="00E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6FC8"/>
  <w15:chartTrackingRefBased/>
  <w15:docId w15:val="{6F7DB49A-A8AF-49BC-85E7-041AFDFF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3</cp:revision>
  <dcterms:created xsi:type="dcterms:W3CDTF">2025-12-09T17:33:00Z</dcterms:created>
  <dcterms:modified xsi:type="dcterms:W3CDTF">2025-12-11T04:51:00Z</dcterms:modified>
</cp:coreProperties>
</file>