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3CC5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Resume Dataset</w:t>
      </w:r>
      <w:r>
        <w:rPr>
          <w:rFonts w:ascii="Times New Roman" w:hAnsi="Times New Roman" w:eastAsia="Times New Roman" w:cs="Times New Roman"/>
          <w:color w:val="000000"/>
          <w:sz w:val="24"/>
        </w:rPr>
        <w:t xml:space="preserve"> is a professionally curated collection of over 2,400 real-world resumes scraped from livecareer.com. Each entry is available in both raw string and HTML formats and is meticulously labeled into 24 distinct job categories, such as Information Technology, H</w:t>
      </w:r>
      <w:r>
        <w:rPr>
          <w:rFonts w:ascii="Times New Roman" w:hAnsi="Times New Roman" w:eastAsia="Times New Roman" w:cs="Times New Roman"/>
          <w:color w:val="000000"/>
          <w:sz w:val="24"/>
        </w:rPr>
        <w:t xml:space="preserve">ealthcare, Engineering, and Finance. This diversity makes it a "Gold Standard" for projects requiring high-quality, industry-specific text data.</w:t>
      </w:r>
      <w:r/>
    </w:p>
    <w:p w14:paraId="563A30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In this project, the dataset serves as the </w:t>
      </w:r>
      <w:r>
        <w:rPr>
          <w:rFonts w:ascii="Times New Roman" w:hAnsi="Times New Roman" w:eastAsia="Times New Roman" w:cs="Times New Roman"/>
          <w:b/>
          <w:color w:val="000000"/>
          <w:sz w:val="24"/>
        </w:rPr>
        <w:t xml:space="preserve">foundational knowledge base</w:t>
      </w:r>
      <w:r>
        <w:rPr>
          <w:rFonts w:ascii="Times New Roman" w:hAnsi="Times New Roman" w:eastAsia="Times New Roman" w:cs="Times New Roman"/>
          <w:color w:val="000000"/>
          <w:sz w:val="24"/>
        </w:rPr>
        <w:t xml:space="preserve"> for our Retrieval-Augmented Generation (RAG) system. Its primary purpose is to ground the AI’s suggestions in reality; by retrieving actual successful resumes from specific domains, the system can identify industry-standard keywords and structural pattern</w:t>
      </w:r>
      <w:r>
        <w:rPr>
          <w:rFonts w:ascii="Times New Roman" w:hAnsi="Times New Roman" w:eastAsia="Times New Roman" w:cs="Times New Roman"/>
          <w:color w:val="000000"/>
          <w:sz w:val="24"/>
        </w:rPr>
        <w:t xml:space="preserve">s. This allows the AI to move beyond generic responses and provide users with highly tailored, ATS-optimized content that reflects the true expectations of recruiters in their specific field.This also helps the user understand the gaps between his resume or skill set to that of the professional Resume in the same particular domain the user has opted to generate a resume. This can be a huge benefit for the user to upskill or learn new things to add upon in his skillset.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2026-02-21T17:33:03Z</dcterms:modified>
</cp:coreProperties>
</file>