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Ayurvedic Polyherbal Formulation Specification</w:t>
      </w:r>
    </w:p>
    <w:p>
      <w:pPr>
        <w:pStyle w:val="Heading1"/>
      </w:pPr>
      <w:r>
        <w:t>1. Invention Title</w:t>
      </w:r>
    </w:p>
    <w:p>
      <w:r>
        <w:t>Novel Synergistic Formulation of Withania somnifera (Ashwagandha) and Curcuma longa (Turmeric) for Enhanced Bioavailability.</w:t>
      </w:r>
    </w:p>
    <w:p>
      <w:pPr>
        <w:pStyle w:val="Heading1"/>
      </w:pPr>
      <w:r>
        <w:t>2. Prior Art and Traditional Knowledge Disclosure</w:t>
      </w:r>
    </w:p>
    <w:p>
      <w:r>
        <w:t>While Ashwagandha and Turmeric are documented in classical Ayurvedic texts (Charaka Samhita, Chikitsa Sthana), the present invention utilizes a proprietary supercritical CO2 extraction ratio (3:1:0.5) achieving 4.2x enhanced withanolide absorption without hepatic toxicity.</w:t>
      </w:r>
    </w:p>
    <w:p>
      <w:pPr>
        <w:pStyle w:val="Heading1"/>
      </w:pPr>
      <w:r>
        <w:t>3. NBA and Biodiversity Compliance</w:t>
      </w:r>
    </w:p>
    <w:p>
      <w:r>
        <w:t>Raw biological resources were sourced from registered cultivator cooperatives in Madhya Pradesh. An application under Section 19/20 of the Biological Diversity Act 2002 has been initiated with the National Biodiversity Authority (Form III).</w:t>
      </w:r>
    </w:p>
    <w:p>
      <w:pPr>
        <w:pStyle w:val="Heading1"/>
      </w:pPr>
      <w:r>
        <w:t>4. Claims and Section 3(p) Non-Obviousness Defense</w:t>
      </w:r>
    </w:p>
    <w:p>
      <w:r>
        <w:t>Claim 1: A pharmaceutical composition comprising nano-encapsulated withanolides and curcuminoids in a self-emulsifying phospholipid carrier. This is not a mere aggregation of known properties under Section 3(e) or traditional knowledge under Section 3(p) due to the synergistic inhibition of inflammatory cytokines demonstrated in vitro.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