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0DA60" w14:textId="5F450DB9" w:rsidR="00CB0927" w:rsidRDefault="00434ED2">
      <w:pPr>
        <w:pBdr>
          <w:top w:val="single" w:sz="18" w:space="0" w:color="1F4E79"/>
          <w:bottom w:val="single" w:sz="4" w:space="0" w:color="2E74B5"/>
        </w:pBdr>
        <w:shd w:val="clear" w:color="auto" w:fill="DEEAF1"/>
        <w:jc w:val="center"/>
      </w:pPr>
      <w:r w:rsidRPr="00434ED2">
        <w:rPr>
          <w:rFonts w:ascii="Arial" w:eastAsia="Arial" w:hAnsi="Arial" w:cs="Arial"/>
          <w:b/>
          <w:bCs/>
          <w:color w:val="1F4E79"/>
          <w:sz w:val="20"/>
          <w:szCs w:val="20"/>
        </w:rPr>
        <w:t>Medical Image Processing and Visualization</w:t>
      </w:r>
    </w:p>
    <w:p w14:paraId="2F0ABD10" w14:textId="77777777" w:rsidR="00CB0927" w:rsidRDefault="00000000">
      <w:pPr>
        <w:spacing w:before="480" w:after="80"/>
        <w:jc w:val="center"/>
      </w:pPr>
      <w:r>
        <w:rPr>
          <w:rFonts w:ascii="Arial" w:eastAsia="Arial" w:hAnsi="Arial" w:cs="Arial"/>
          <w:b/>
          <w:bCs/>
          <w:color w:val="1F4E79"/>
          <w:sz w:val="44"/>
          <w:szCs w:val="44"/>
        </w:rPr>
        <w:t>Preprocessing and Visualization of Functional MRI Brain Images</w:t>
      </w:r>
    </w:p>
    <w:p w14:paraId="4A03CAFB" w14:textId="77777777" w:rsidR="00CB0927" w:rsidRDefault="00000000">
      <w:pPr>
        <w:spacing w:after="80"/>
        <w:jc w:val="center"/>
      </w:pPr>
      <w:r>
        <w:rPr>
          <w:rFonts w:ascii="Arial" w:eastAsia="Arial" w:hAnsi="Arial" w:cs="Arial"/>
          <w:b/>
          <w:bCs/>
          <w:color w:val="1F4E79"/>
          <w:sz w:val="44"/>
          <w:szCs w:val="44"/>
        </w:rPr>
        <w:t>for Identification and Highlighting of Regions of Interest</w:t>
      </w:r>
    </w:p>
    <w:p w14:paraId="0E8ED38E" w14:textId="77777777" w:rsidR="00CB0927" w:rsidRDefault="00000000">
      <w:pPr>
        <w:spacing w:after="320"/>
        <w:jc w:val="center"/>
      </w:pPr>
      <w:r>
        <w:rPr>
          <w:rFonts w:ascii="Arial" w:eastAsia="Arial" w:hAnsi="Arial" w:cs="Arial"/>
          <w:i/>
          <w:iCs/>
          <w:color w:val="2E74B5"/>
          <w:sz w:val="26"/>
          <w:szCs w:val="26"/>
        </w:rPr>
        <w:t>A Complete MATLAB-Based fMRI Analysis Pipeline Applied to Real 3T Scanner Data</w:t>
      </w:r>
    </w:p>
    <w:p w14:paraId="1856B64C" w14:textId="4B967FE2" w:rsidR="00CB0927" w:rsidRDefault="00000000">
      <w:pPr>
        <w:spacing w:before="240" w:after="80"/>
        <w:jc w:val="center"/>
      </w:pPr>
      <w:r>
        <w:rPr>
          <w:rFonts w:ascii="Arial" w:eastAsia="Arial" w:hAnsi="Arial" w:cs="Arial"/>
          <w:b/>
          <w:bCs/>
          <w:color w:val="000000"/>
          <w:sz w:val="26"/>
          <w:szCs w:val="26"/>
        </w:rPr>
        <w:t>Shanmukha Sai Prakash Jeelakarra¹ and Dhana Lakshmi Kakumanu¹</w:t>
      </w:r>
    </w:p>
    <w:p w14:paraId="519C2E91" w14:textId="77777777" w:rsidR="00CB0927" w:rsidRDefault="00000000">
      <w:pPr>
        <w:spacing w:after="80"/>
        <w:jc w:val="center"/>
      </w:pPr>
      <w:r>
        <w:rPr>
          <w:rFonts w:ascii="Arial" w:eastAsia="Arial" w:hAnsi="Arial" w:cs="Arial"/>
          <w:i/>
          <w:iCs/>
          <w:color w:val="595959"/>
        </w:rPr>
        <w:t>¹ Department of Health Informatics, Rutgers School of Health Professions, Newark, NJ 07107, USA</w:t>
      </w:r>
    </w:p>
    <w:p w14:paraId="6FB349EA" w14:textId="77777777" w:rsidR="00CB0927" w:rsidRDefault="00000000">
      <w:pPr>
        <w:spacing w:after="80"/>
        <w:jc w:val="center"/>
      </w:pPr>
      <w:r>
        <w:rPr>
          <w:rFonts w:ascii="Arial" w:eastAsia="Arial" w:hAnsi="Arial" w:cs="Arial"/>
          <w:color w:val="595959"/>
          <w:sz w:val="20"/>
          <w:szCs w:val="20"/>
        </w:rPr>
        <w:t>Correspondence: Shanmukha Sai Prakash Jeelakarra | Rutgers University, Newark, NJ</w:t>
      </w:r>
    </w:p>
    <w:p w14:paraId="4C277CA9" w14:textId="77777777" w:rsidR="00CB0927" w:rsidRDefault="00CB0927"/>
    <w:p w14:paraId="21E6338B" w14:textId="77777777" w:rsidR="00CB0927" w:rsidRDefault="00CB0927">
      <w:pPr>
        <w:pBdr>
          <w:bottom w:val="single" w:sz="8" w:space="0" w:color="2E74B5"/>
        </w:pBdr>
        <w:spacing w:after="320"/>
      </w:pPr>
    </w:p>
    <w:p w14:paraId="17540E4D" w14:textId="30621F7B" w:rsidR="00CB0927" w:rsidRDefault="00000000" w:rsidP="00434ED2">
      <w:pPr>
        <w:pBdr>
          <w:top w:val="single" w:sz="4" w:space="0" w:color="2E74B5"/>
          <w:left w:val="single" w:sz="4" w:space="0" w:color="2E74B5"/>
          <w:bottom w:val="single" w:sz="4" w:space="0" w:color="2E74B5"/>
          <w:right w:val="single" w:sz="4" w:space="0" w:color="2E74B5"/>
        </w:pBdr>
        <w:shd w:val="clear" w:color="auto" w:fill="EBF3FB"/>
        <w:spacing w:before="80" w:after="80"/>
      </w:pPr>
      <w:r>
        <w:rPr>
          <w:rFonts w:ascii="Arial" w:eastAsia="Arial" w:hAnsi="Arial" w:cs="Arial"/>
          <w:color w:val="595959"/>
          <w:sz w:val="20"/>
          <w:szCs w:val="20"/>
        </w:rPr>
        <w:t xml:space="preserve">BINF 7550 </w:t>
      </w:r>
      <w:r w:rsidR="00434ED2">
        <w:rPr>
          <w:rFonts w:ascii="Arial" w:eastAsia="Arial" w:hAnsi="Arial" w:cs="Arial"/>
          <w:color w:val="595959"/>
          <w:sz w:val="20"/>
          <w:szCs w:val="20"/>
        </w:rPr>
        <w:t>-</w:t>
      </w:r>
      <w:r>
        <w:rPr>
          <w:rFonts w:ascii="Arial" w:eastAsia="Arial" w:hAnsi="Arial" w:cs="Arial"/>
          <w:color w:val="595959"/>
          <w:sz w:val="20"/>
          <w:szCs w:val="20"/>
        </w:rPr>
        <w:t xml:space="preserve"> Medical Image Processing and Visualization | Instructor: </w:t>
      </w:r>
      <w:r w:rsidR="00434ED2">
        <w:rPr>
          <w:rFonts w:ascii="Arial" w:eastAsia="Arial" w:hAnsi="Arial" w:cs="Arial"/>
          <w:color w:val="595959"/>
          <w:sz w:val="20"/>
          <w:szCs w:val="20"/>
        </w:rPr>
        <w:t>Dr</w:t>
      </w:r>
      <w:r>
        <w:rPr>
          <w:rFonts w:ascii="Arial" w:eastAsia="Arial" w:hAnsi="Arial" w:cs="Arial"/>
          <w:color w:val="595959"/>
          <w:sz w:val="20"/>
          <w:szCs w:val="20"/>
        </w:rPr>
        <w:t>. Dinesh P. Mital</w:t>
      </w:r>
      <w:r w:rsidR="00434ED2">
        <w:rPr>
          <w:rFonts w:ascii="Arial" w:eastAsia="Arial" w:hAnsi="Arial" w:cs="Arial"/>
          <w:color w:val="595959"/>
          <w:sz w:val="20"/>
          <w:szCs w:val="20"/>
        </w:rPr>
        <w:t xml:space="preserve"> | Spring 2026</w:t>
      </w:r>
    </w:p>
    <w:p w14:paraId="0EB5594C" w14:textId="77777777" w:rsidR="00CB0927" w:rsidRDefault="00CB0927"/>
    <w:p w14:paraId="5E2F6A5C" w14:textId="77777777" w:rsidR="00CB0927" w:rsidRDefault="00000000">
      <w:pPr>
        <w:spacing w:before="60" w:after="60" w:line="340" w:lineRule="auto"/>
        <w:jc w:val="center"/>
      </w:pPr>
      <w:r>
        <w:rPr>
          <w:b/>
          <w:bCs/>
        </w:rPr>
        <w:t xml:space="preserve">Keywords: </w:t>
      </w:r>
      <w:r>
        <w:t>functional MRI (fMRI); BOLD signal; General Linear Model; Region of Interest; Functional Connectivity; Gaussian smoothing; Histogram equalization; Morphological operations; Motor cortex; MATLAB; Digital image processing</w:t>
      </w:r>
    </w:p>
    <w:p w14:paraId="5C103CA3" w14:textId="77777777" w:rsidR="00CB0927" w:rsidRDefault="00000000">
      <w:r>
        <w:br w:type="page"/>
      </w:r>
    </w:p>
    <w:p w14:paraId="75F324A9" w14:textId="77777777" w:rsidR="00CB0927" w:rsidRDefault="00CB0927">
      <w:pPr>
        <w:sectPr w:rsidR="00CB0927">
          <w:pgSz w:w="12240" w:h="15840"/>
          <w:pgMar w:top="1440" w:right="1440" w:bottom="1440" w:left="1440" w:header="708" w:footer="708" w:gutter="0"/>
          <w:cols w:space="720"/>
          <w:docGrid w:linePitch="360"/>
        </w:sectPr>
      </w:pPr>
    </w:p>
    <w:p w14:paraId="0BD2535F" w14:textId="77777777" w:rsidR="00CB0927" w:rsidRDefault="00000000">
      <w:pPr>
        <w:pStyle w:val="Heading1"/>
        <w:pBdr>
          <w:bottom w:val="single" w:sz="6" w:space="0" w:color="2E74B5"/>
        </w:pBdr>
      </w:pPr>
      <w:r>
        <w:lastRenderedPageBreak/>
        <w:t>Abstract</w:t>
      </w:r>
    </w:p>
    <w:p w14:paraId="1ED50D40" w14:textId="2EEFCE04" w:rsidR="00CB0927" w:rsidRDefault="00000000" w:rsidP="00B82B60">
      <w:pPr>
        <w:pBdr>
          <w:left w:val="single" w:sz="18" w:space="0" w:color="2E74B5"/>
        </w:pBdr>
        <w:shd w:val="clear" w:color="auto" w:fill="EBF3FB"/>
        <w:spacing w:before="80" w:after="80" w:line="340" w:lineRule="auto"/>
        <w:jc w:val="both"/>
      </w:pPr>
      <w:r>
        <w:rPr>
          <w:b/>
          <w:bCs/>
        </w:rPr>
        <w:t xml:space="preserve">Background: </w:t>
      </w:r>
      <w:r>
        <w:t xml:space="preserve">Functional magnetic resonance imaging (fMRI) provides non-invasive, millimeter-resolution mapping of neural activity through blood-oxygen-level-dependent (BOLD) signal changes. Raw fMRI data require rigorous preprocessing before clinical or scientific interpretation is possible. </w:t>
      </w:r>
      <w:r>
        <w:rPr>
          <w:b/>
          <w:bCs/>
        </w:rPr>
        <w:t xml:space="preserve">Methods: </w:t>
      </w:r>
      <w:r>
        <w:t xml:space="preserve">We developed and validated a complete, six-stage fMRI processing pipeline in </w:t>
      </w:r>
      <w:r w:rsidR="00B82B60">
        <w:t>MATLAB, including NIfTI</w:t>
      </w:r>
      <w:r>
        <w:t xml:space="preserve"> data loading, preprocessing (motion correction, temporal high-pass filtering, spatial Gaussian smoothing), feature extraction via temporal SNR and the General Linear Model (GLM), region-of-interest (ROI) identification through statistical thresholding and connected-component analysis, functional connectivity via Pearson correlation with Fisher z-transform, and image enhancement (histogram equalization, Canny/Sobel edge detection, morphological operations) plus multi-dimensional visualization. The pipeline was validated on both synthetic data and real 3T fMRI data from the publicly available OpenNeuro ds000114 dataset (finger/foot/lips motor task, subject 01, session test; 64×64×30 voxels, 184 volumes, TR=2.5 s). Task event timings were obtained directly from the accompanying BIDS events TSV file. </w:t>
      </w:r>
      <w:r>
        <w:rPr>
          <w:b/>
          <w:bCs/>
        </w:rPr>
        <w:t xml:space="preserve">Results: </w:t>
      </w:r>
      <w:r>
        <w:t xml:space="preserve">Applied to real data, the pipeline detected 510 significantly activated voxels (p &lt; 0.001, uncorrected; peak t = 5.13) encompassing bilateral primary motor cortex, supplementary motor area, left sensory cortex, and cerebellum — regions consistent with the known motor network engaged during the finger/foot/lips paradigm. Mean temporal SNR was 41.4, confirming adequate data quality. A 10-node functional connectivity network was extracted, revealing strong bilateral motor coupling (Fisher z ≈ 0.94) and tight M1–S1 connectivity (z ≈ 1.08). </w:t>
      </w:r>
      <w:r>
        <w:rPr>
          <w:b/>
          <w:bCs/>
        </w:rPr>
        <w:t xml:space="preserve">Conclusion: </w:t>
      </w:r>
      <w:r>
        <w:t>The pipeline reproducibly identifies clinically meaningful ROIs from real fMRI data using standard digital image processing methods. All results, source code, and figures are made available for reproducibility.</w:t>
      </w:r>
    </w:p>
    <w:p w14:paraId="6E6A0A64" w14:textId="77777777" w:rsidR="00CB0927" w:rsidRDefault="00CB0927"/>
    <w:p w14:paraId="751D9CBB" w14:textId="77777777" w:rsidR="00CB0927" w:rsidRDefault="00000000">
      <w:pPr>
        <w:spacing w:before="60" w:after="60" w:line="340" w:lineRule="auto"/>
        <w:jc w:val="both"/>
      </w:pPr>
      <w:r>
        <w:rPr>
          <w:b/>
          <w:bCs/>
        </w:rPr>
        <w:t xml:space="preserve">Keywords: </w:t>
      </w:r>
      <w:r>
        <w:t>fMRI; BOLD; General Linear Model; Region of Interest; Functional Connectivity; Gaussian smoothing; Histogram equalization; Morphological operations; Motor cortex; MATLAB</w:t>
      </w:r>
    </w:p>
    <w:p w14:paraId="0C129C43" w14:textId="77777777" w:rsidR="00CB0927" w:rsidRDefault="00CB0927"/>
    <w:p w14:paraId="4101603A" w14:textId="77777777" w:rsidR="00CB0927" w:rsidRDefault="00000000">
      <w:pPr>
        <w:pStyle w:val="Heading1"/>
        <w:pBdr>
          <w:bottom w:val="single" w:sz="6" w:space="0" w:color="2E74B5"/>
        </w:pBdr>
      </w:pPr>
      <w:r>
        <w:t>1.  Introduction</w:t>
      </w:r>
    </w:p>
    <w:p w14:paraId="6CD55926" w14:textId="35F706DB" w:rsidR="00CB0927" w:rsidRDefault="00000000">
      <w:pPr>
        <w:spacing w:before="60" w:after="60" w:line="340" w:lineRule="auto"/>
        <w:ind w:firstLine="720"/>
        <w:jc w:val="both"/>
      </w:pPr>
      <w:r>
        <w:t>Medical imaging has fundamentally transformed clinical diagnosis by enabling non-invasive, quantitative visualization of human anatomy and physiology. The discipline of digital image processing</w:t>
      </w:r>
      <w:r w:rsidR="00B82B60">
        <w:t>, encompassing acquisition, enhancement, segmentation, statistical analysis, and visualization,</w:t>
      </w:r>
      <w:r>
        <w:t xml:space="preserve"> underpins the entire computational chain from raw scanner data to actionable clinical information [1]. Functional magnetic resonance imaging (fMRI) represents one of the most data-intensive and methodologically demanding medical imaging modalities, generating four-dimensional datasets that require multi-stage processing before meaningful interpretation is possible.</w:t>
      </w:r>
    </w:p>
    <w:p w14:paraId="4FC9FCF7" w14:textId="7211F423" w:rsidR="00CB0927" w:rsidRDefault="00000000">
      <w:pPr>
        <w:spacing w:before="60" w:after="60" w:line="340" w:lineRule="auto"/>
        <w:ind w:firstLine="720"/>
        <w:jc w:val="both"/>
      </w:pPr>
      <w:r>
        <w:t xml:space="preserve">The blood-oxygen-level-dependent (BOLD) signal measured by fMRI [2] provides a window into neural activity through neurovascular coupling: increased synaptic activity drives local arteriolar dilation and an oversupply of oxygenated hemoglobin, producing a measurable </w:t>
      </w:r>
      <w:r w:rsidR="00B82B60">
        <w:t xml:space="preserve">increase in T2*-weighted MRI signal </w:t>
      </w:r>
      <w:r>
        <w:t>of 1–5%. The temporal dynamics of this response are characterized by the hemodynamic response function (HRF) [3], a double-</w:t>
      </w:r>
      <w:r>
        <w:lastRenderedPageBreak/>
        <w:t>gamma function peaking at approximately 5 seconds post-stimulus and returning to baseline via a post-undershoot at ∼15 seconds. Accurate modeling of the HRF is central to the General Linear Model (GLM) framework [4] that forms the statistical core of task-based fMRI analysis.</w:t>
      </w:r>
    </w:p>
    <w:p w14:paraId="12FA7ACE" w14:textId="37AA7182" w:rsidR="00CB0927" w:rsidRDefault="00000000">
      <w:pPr>
        <w:spacing w:before="60" w:after="60" w:line="340" w:lineRule="auto"/>
        <w:ind w:firstLine="720"/>
        <w:jc w:val="both"/>
      </w:pPr>
      <w:r>
        <w:t>The rapid progress of artificial intelligence in medical imaging</w:t>
      </w:r>
      <w:r w:rsidR="00B82B60">
        <w:t>,</w:t>
      </w:r>
      <w:r>
        <w:t xml:space="preserve"> including deep learning architectures for real-time endoscopic polyp detection that achieve 27–61 frames per second with relative adenoma detection improvements of 43–58% over standard colonoscopy [5,6]</w:t>
      </w:r>
      <w:r w:rsidR="00B82B60">
        <w:t>,</w:t>
      </w:r>
      <w:r>
        <w:t xml:space="preserve"> illustrates the potential of computational image analysis across modalities. The convolutional, spectral, and morphological operations that form the foundation of CNN-based detection systems [7,8] are the same mathematical operations applied in fMRI preprocessing: Gaussian convolution for spatial smoothing, FFT-based temporal filtering, and morphological operations for binary mask refinement. This methodological continuity motivates a rigorous, first-principles implementation of the fMRI processing pipeline.</w:t>
      </w:r>
    </w:p>
    <w:p w14:paraId="2E45F9F8" w14:textId="77777777" w:rsidR="00CB0927" w:rsidRDefault="00000000">
      <w:pPr>
        <w:spacing w:before="60" w:after="60" w:line="340" w:lineRule="auto"/>
        <w:ind w:firstLine="720"/>
        <w:jc w:val="both"/>
      </w:pPr>
      <w:r>
        <w:t>This paper makes the following contributions: (1) a complete, transparent, toolbox-independent MATLAB fMRI processing pipeline validated against real 3T scanner data; (2) quantitative characterization of bilateral motor network activation and functional connectivity from a publicly available benchmark dataset; (3) systematic demonstration of digital image processing techniques applied to neuroimaging, including spatial filtering, frequency-domain analysis, histogram processing, edge detection, and morphological operations; and (4) a reproducible research artifact suitable for extension to clinical neuroimaging studies in neurorehabilitation research.</w:t>
      </w:r>
    </w:p>
    <w:p w14:paraId="4D935D5C" w14:textId="77777777" w:rsidR="00CB0927" w:rsidRDefault="00000000">
      <w:pPr>
        <w:pStyle w:val="Heading1"/>
        <w:pBdr>
          <w:bottom w:val="single" w:sz="6" w:space="0" w:color="2E74B5"/>
        </w:pBdr>
      </w:pPr>
      <w:r>
        <w:t>2.  Background and Related Work</w:t>
      </w:r>
    </w:p>
    <w:p w14:paraId="29716A17" w14:textId="38F3F0C4" w:rsidR="00CB0927" w:rsidRDefault="00000000">
      <w:pPr>
        <w:pStyle w:val="Heading2"/>
      </w:pPr>
      <w:r>
        <w:t xml:space="preserve">2.1  </w:t>
      </w:r>
      <w:r w:rsidR="00363C66">
        <w:t xml:space="preserve"> </w:t>
      </w:r>
      <w:r>
        <w:t>fMRI Signal Physics</w:t>
      </w:r>
    </w:p>
    <w:p w14:paraId="7EFFBBC2" w14:textId="14B5CF65" w:rsidR="00CB0927" w:rsidRDefault="00000000">
      <w:pPr>
        <w:spacing w:before="60" w:after="60" w:line="340" w:lineRule="auto"/>
        <w:ind w:firstLine="720"/>
        <w:jc w:val="both"/>
      </w:pPr>
      <w:r>
        <w:t xml:space="preserve">The physical basis of the BOLD fMRI signal is the differential magnetic susceptibility of oxygenated and deoxygenated hemoglobin. Deoxyhemoglobin is paramagnetic and acts as an endogenous contrast agent, reducing local T2* relaxation time and MRI signal intensity. When neurons fire, a local neurovascular response delivers oxygenated blood in excess of metabolic demand, reducing the deoxyhemoglobin fraction and increasing </w:t>
      </w:r>
      <w:r w:rsidR="00B82B60">
        <w:t>the T2*-weighted signal,</w:t>
      </w:r>
      <w:r>
        <w:t xml:space="preserve"> the BOLD response first characterized by Ogawa et al. [2]. The response is temporally blurred by the hemodynamic response function (HRF), modeled as a double-gamma function with </w:t>
      </w:r>
      <w:r w:rsidR="00B82B60">
        <w:t xml:space="preserve">a characteristic peak at </w:t>
      </w:r>
      <w:r w:rsidR="00B82B60">
        <w:rPr>
          <w:rFonts w:ascii="Cambria Math" w:hAnsi="Cambria Math" w:cs="Cambria Math"/>
        </w:rPr>
        <w:t>∼</w:t>
      </w:r>
      <w:r w:rsidR="00B82B60">
        <w:t xml:space="preserve">5 s, a zero crossing at </w:t>
      </w:r>
      <w:r w:rsidR="00B82B60">
        <w:rPr>
          <w:rFonts w:ascii="Cambria Math" w:hAnsi="Cambria Math" w:cs="Cambria Math"/>
        </w:rPr>
        <w:t>∼</w:t>
      </w:r>
      <w:r w:rsidR="00B82B60">
        <w:t xml:space="preserve">10 s, and an </w:t>
      </w:r>
      <w:r>
        <w:t>undershoot trough at ∼15 s [3]. Accurate HRF convolution with the experimental task boxcar is essential for GLM-based activation detection.</w:t>
      </w:r>
    </w:p>
    <w:p w14:paraId="33D305A7" w14:textId="00C24C40" w:rsidR="00CB0927" w:rsidRDefault="00000000">
      <w:pPr>
        <w:pStyle w:val="Heading2"/>
      </w:pPr>
      <w:r>
        <w:t xml:space="preserve">2.2  </w:t>
      </w:r>
      <w:r w:rsidR="00363C66">
        <w:t xml:space="preserve"> </w:t>
      </w:r>
      <w:r>
        <w:t>Digital Image Processing in Medical Imaging</w:t>
      </w:r>
    </w:p>
    <w:p w14:paraId="418C9B07" w14:textId="61800893" w:rsidR="00CB0927" w:rsidRDefault="00000000">
      <w:pPr>
        <w:spacing w:before="60" w:after="60" w:line="340" w:lineRule="auto"/>
        <w:ind w:firstLine="720"/>
        <w:jc w:val="both"/>
      </w:pPr>
      <w:r>
        <w:t xml:space="preserve">The textbook by Gonzalez and Woods [1] provides the definitive treatment of digital image processing operations applicable to medical imaging: spatial-domain convolution (Gaussian, Laplacian, matched filters), frequency-domain filtering (DFT-based low-pass, high-pass, bandpass), histogram processing (equalization, matching, stretching), morphological analysis (erosion, dilation, opening, closing, gradient, skeleton), image segmentation (thresholding, region growing, watershed), and multi-spectral/color image processing. Each of these operations has a direct and essential </w:t>
      </w:r>
      <w:r w:rsidR="003C07EE">
        <w:t>analog</w:t>
      </w:r>
      <w:r>
        <w:t xml:space="preserve"> in the fMRI processing pipeline described herein.</w:t>
      </w:r>
    </w:p>
    <w:p w14:paraId="4A2440B2" w14:textId="6FAF4E9A" w:rsidR="00CB0927" w:rsidRDefault="00000000">
      <w:pPr>
        <w:spacing w:before="60" w:after="60" w:line="340" w:lineRule="auto"/>
        <w:ind w:firstLine="720"/>
        <w:jc w:val="both"/>
      </w:pPr>
      <w:r>
        <w:lastRenderedPageBreak/>
        <w:t xml:space="preserve">The rapid advances in AI-assisted endoscopy illustrate the clinical impact of computational image processing. Meta-analyses of randomized controlled trials demonstrate that AI-assisted colonoscopy improves </w:t>
      </w:r>
      <w:r w:rsidR="003C07EE">
        <w:t>the adenoma detection rate (ADR) by a relative risk of 1.43</w:t>
      </w:r>
      <w:r w:rsidR="003C07EE" w:rsidRPr="003C07EE">
        <w:rPr>
          <w:b/>
          <w:bCs/>
        </w:rPr>
        <w:t>-</w:t>
      </w:r>
      <w:r w:rsidR="003C07EE">
        <w:t>1.58 and the polyp detection rate (PDR) by 1.44</w:t>
      </w:r>
      <w:r w:rsidR="003C07EE" w:rsidRPr="003C07EE">
        <w:rPr>
          <w:b/>
          <w:bCs/>
        </w:rPr>
        <w:t>-</w:t>
      </w:r>
      <w:r>
        <w:t>1.55 [5,6]. The deep learning architectures driving these improvements</w:t>
      </w:r>
      <w:r w:rsidR="003C07EE">
        <w:t>,</w:t>
      </w:r>
      <w:r>
        <w:t xml:space="preserve"> single-stage YOLO detectors [9], two-stage RetinaNet/Faster R-CNN frameworks [10], transformer-based spatio-temporal models [11], and lightweight segmentation networks including BlazeNeo [12] and HSSAM-Net [13] all incorporate convolutional feature extraction, attention mechanisms, and morphological post-processing that are direct elaborations of the classical image processing operations applied in this work. The explainable AI (XAI) techniques developed for clinical transparency in endoscopy saliency maps</w:t>
      </w:r>
      <w:r w:rsidR="003C07EE">
        <w:t xml:space="preserve"> and attention visualizations [14]</w:t>
      </w:r>
      <w:r>
        <w:t xml:space="preserve"> are analogous to the activation maps and connectivity visualizations produced by the fMRI pipeline.</w:t>
      </w:r>
    </w:p>
    <w:p w14:paraId="6BD2CEBE" w14:textId="7D780770" w:rsidR="00CB0927" w:rsidRDefault="00000000">
      <w:pPr>
        <w:pStyle w:val="Heading2"/>
      </w:pPr>
      <w:r>
        <w:t xml:space="preserve">2.3  </w:t>
      </w:r>
      <w:r w:rsidR="00363C66">
        <w:t xml:space="preserve"> </w:t>
      </w:r>
      <w:r>
        <w:t>Statistical Parametric Mapping and GLM</w:t>
      </w:r>
    </w:p>
    <w:p w14:paraId="11524650" w14:textId="77777777" w:rsidR="00CB0927" w:rsidRDefault="00000000">
      <w:pPr>
        <w:spacing w:before="60" w:after="60" w:line="340" w:lineRule="auto"/>
        <w:ind w:firstLine="720"/>
        <w:jc w:val="both"/>
      </w:pPr>
      <w:r>
        <w:t>Friston et al. [4] established the General Linear Model as the standard statistical framework for task-based fMRI analysis. At each brain voxel independently, the model estimates: β̂ = (X'X)⁻¹X'Y, where Y is the observed BOLD timeseries (n × 1), X is the design matrix (n × p) containing the HRF-convolved task regressor and nuisance variables, and β̂ are the parameter estimates. The task contrast c = [1 0 0]ᵀ is tested with the t-statistic t = cᵀβ̂ / √(cᵀ(X'X)⁻¹c · MSE), generating a voxelwise statistical parametric map. The pseudoinverse estimator β̂ = pinv(X)·Y provides numerical stability for ill-conditioned design matrices arising in real data.</w:t>
      </w:r>
    </w:p>
    <w:p w14:paraId="1C602522" w14:textId="2F702CEB" w:rsidR="00CB0927" w:rsidRDefault="00000000">
      <w:pPr>
        <w:pStyle w:val="Heading2"/>
      </w:pPr>
      <w:r>
        <w:t xml:space="preserve">2.4  </w:t>
      </w:r>
      <w:r w:rsidR="00363C66">
        <w:t xml:space="preserve"> </w:t>
      </w:r>
      <w:r>
        <w:t>Functional Connectivity</w:t>
      </w:r>
    </w:p>
    <w:p w14:paraId="2F7D5A6D" w14:textId="0222DD24" w:rsidR="00CB0927" w:rsidRDefault="00000000">
      <w:pPr>
        <w:spacing w:before="60" w:after="60" w:line="340" w:lineRule="auto"/>
        <w:ind w:firstLine="720"/>
        <w:jc w:val="both"/>
      </w:pPr>
      <w:r>
        <w:t xml:space="preserve">Functional connectivity (FC) analysis [15] quantifies </w:t>
      </w:r>
      <w:r w:rsidR="003C07EE">
        <w:t>temporal correlations</w:t>
      </w:r>
      <w:r>
        <w:t xml:space="preserve"> between spatially distinct brain regions. For each pair of ROI timeseries Y_i(t) and Y_j(t), the Pearson correlation coefficient r(i,j) is computed and Fisher z-transformed z_f = 0.5·ln[(1+r)/(1−r)]</w:t>
      </w:r>
      <w:r w:rsidR="003C07EE">
        <w:t xml:space="preserve"> </w:t>
      </w:r>
      <w:r>
        <w:t>to normalize the sampling distribution and enable parametric inference. The resulting FC matrix encodes the functional architecture of the motor network, revealing bilateral M1–M1 coupling, sensorimotor M1–S1 integration, and prefrontal motor planning circuits.</w:t>
      </w:r>
    </w:p>
    <w:p w14:paraId="7702CF9A" w14:textId="77777777" w:rsidR="00CB0927" w:rsidRDefault="00000000">
      <w:pPr>
        <w:pStyle w:val="Heading1"/>
        <w:pBdr>
          <w:bottom w:val="single" w:sz="6" w:space="0" w:color="2E74B5"/>
        </w:pBdr>
      </w:pPr>
      <w:r>
        <w:t>3.  Materials</w:t>
      </w:r>
    </w:p>
    <w:p w14:paraId="41E33624" w14:textId="77777777" w:rsidR="00CB0927" w:rsidRDefault="00000000">
      <w:pPr>
        <w:spacing w:before="60" w:after="60" w:line="340" w:lineRule="auto"/>
        <w:ind w:firstLine="720"/>
        <w:jc w:val="both"/>
      </w:pPr>
      <w:r>
        <w:t>Data were obtained from the OpenNeuro public repository [16] under the Creative Commons CC0 license. Dataset ds000114 v1.0.2 (Gorgolewski et al., 2022; DOI: 10.18112/openneuro.ds000114.v1.0.2) provides test-retest fMRI data for motor, language, and spatial attention tasks from 10 healthy participants. We analyzed data from subject 01, session test, task finger-foot-lips (FFL). All task event timings were obtained from the accompanying BIDS-formatted events file (task-fingerfootlips_events.tsv). No additional ethics approval was required for analysis of this de-identified, publicly released dataset.</w:t>
      </w:r>
    </w:p>
    <w:p w14:paraId="44A0CBD5" w14:textId="77777777" w:rsidR="00CB0927" w:rsidRDefault="00CB092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B0927" w14:paraId="03A2B5F7" w14:textId="77777777">
        <w:tblPrEx>
          <w:tblCellMar>
            <w:top w:w="0" w:type="dxa"/>
            <w:bottom w:w="0" w:type="dxa"/>
          </w:tblCellMar>
        </w:tblPrEx>
        <w:trPr>
          <w:tblHeader/>
        </w:trPr>
        <w:tc>
          <w:tcPr>
            <w:tcW w:w="3200" w:type="dxa"/>
            <w:tcBorders>
              <w:top w:val="single" w:sz="4" w:space="0" w:color="BDD7EE"/>
              <w:left w:val="single" w:sz="4" w:space="0" w:color="BDD7EE"/>
              <w:bottom w:val="single" w:sz="4" w:space="0" w:color="BDD7EE"/>
              <w:right w:val="single" w:sz="4" w:space="0" w:color="BDD7EE"/>
            </w:tcBorders>
            <w:shd w:val="clear" w:color="auto" w:fill="2E74B5"/>
            <w:tcMar>
              <w:top w:w="80" w:type="dxa"/>
              <w:left w:w="120" w:type="dxa"/>
              <w:bottom w:w="80" w:type="dxa"/>
              <w:right w:w="120" w:type="dxa"/>
            </w:tcMar>
          </w:tcPr>
          <w:p w14:paraId="67B89287" w14:textId="77777777" w:rsidR="00CB0927" w:rsidRDefault="00000000">
            <w:pPr>
              <w:jc w:val="center"/>
            </w:pPr>
            <w:r>
              <w:rPr>
                <w:rFonts w:ascii="Arial" w:eastAsia="Arial" w:hAnsi="Arial" w:cs="Arial"/>
                <w:b/>
                <w:bCs/>
                <w:color w:val="FFFFFF"/>
                <w:sz w:val="20"/>
                <w:szCs w:val="20"/>
              </w:rPr>
              <w:t>Parameter</w:t>
            </w:r>
          </w:p>
        </w:tc>
        <w:tc>
          <w:tcPr>
            <w:tcW w:w="6160" w:type="dxa"/>
            <w:tcBorders>
              <w:top w:val="single" w:sz="4" w:space="0" w:color="BDD7EE"/>
              <w:left w:val="single" w:sz="4" w:space="0" w:color="BDD7EE"/>
              <w:bottom w:val="single" w:sz="4" w:space="0" w:color="BDD7EE"/>
              <w:right w:val="single" w:sz="4" w:space="0" w:color="BDD7EE"/>
            </w:tcBorders>
            <w:shd w:val="clear" w:color="auto" w:fill="2E74B5"/>
            <w:tcMar>
              <w:top w:w="80" w:type="dxa"/>
              <w:left w:w="120" w:type="dxa"/>
              <w:bottom w:w="80" w:type="dxa"/>
              <w:right w:w="120" w:type="dxa"/>
            </w:tcMar>
          </w:tcPr>
          <w:p w14:paraId="2EDA3151" w14:textId="77777777" w:rsidR="00CB0927" w:rsidRDefault="00000000">
            <w:r>
              <w:rPr>
                <w:rFonts w:ascii="Arial" w:eastAsia="Arial" w:hAnsi="Arial" w:cs="Arial"/>
                <w:b/>
                <w:bCs/>
                <w:color w:val="FFFFFF"/>
                <w:sz w:val="20"/>
                <w:szCs w:val="20"/>
              </w:rPr>
              <w:t>Value</w:t>
            </w:r>
          </w:p>
        </w:tc>
      </w:tr>
      <w:tr w:rsidR="00CB0927" w14:paraId="7EA367FA" w14:textId="77777777">
        <w:tblPrEx>
          <w:tblCellMar>
            <w:top w:w="0" w:type="dxa"/>
            <w:bottom w:w="0" w:type="dxa"/>
          </w:tblCellMar>
        </w:tblPrEx>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42B676D" w14:textId="77777777" w:rsidR="00CB0927" w:rsidRDefault="00000000">
            <w:r>
              <w:rPr>
                <w:rFonts w:ascii="Arial" w:eastAsia="Arial" w:hAnsi="Arial" w:cs="Arial"/>
                <w:color w:val="000000"/>
                <w:sz w:val="20"/>
                <w:szCs w:val="20"/>
              </w:rPr>
              <w:t>Scanner</w:t>
            </w:r>
          </w:p>
        </w:tc>
        <w:tc>
          <w:tcPr>
            <w:tcW w:w="61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02B77E5" w14:textId="77777777" w:rsidR="00CB0927" w:rsidRDefault="00000000">
            <w:r>
              <w:rPr>
                <w:rFonts w:ascii="Arial" w:eastAsia="Arial" w:hAnsi="Arial" w:cs="Arial"/>
                <w:color w:val="000000"/>
                <w:sz w:val="20"/>
                <w:szCs w:val="20"/>
              </w:rPr>
              <w:t>Siemens 3T Trio TIM</w:t>
            </w:r>
          </w:p>
        </w:tc>
      </w:tr>
      <w:tr w:rsidR="00CB0927" w14:paraId="456C9F07" w14:textId="77777777">
        <w:tblPrEx>
          <w:tblCellMar>
            <w:top w:w="0" w:type="dxa"/>
            <w:bottom w:w="0" w:type="dxa"/>
          </w:tblCellMar>
        </w:tblPrEx>
        <w:tc>
          <w:tcPr>
            <w:tcW w:w="320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5DD8CF37" w14:textId="77777777" w:rsidR="00CB0927" w:rsidRDefault="00000000">
            <w:r>
              <w:rPr>
                <w:rFonts w:ascii="Arial" w:eastAsia="Arial" w:hAnsi="Arial" w:cs="Arial"/>
                <w:color w:val="000000"/>
                <w:sz w:val="20"/>
                <w:szCs w:val="20"/>
              </w:rPr>
              <w:t>Sequence</w:t>
            </w:r>
          </w:p>
        </w:tc>
        <w:tc>
          <w:tcPr>
            <w:tcW w:w="616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61925250" w14:textId="77777777" w:rsidR="00CB0927" w:rsidRDefault="00000000">
            <w:r>
              <w:rPr>
                <w:rFonts w:ascii="Arial" w:eastAsia="Arial" w:hAnsi="Arial" w:cs="Arial"/>
                <w:color w:val="000000"/>
                <w:sz w:val="20"/>
                <w:szCs w:val="20"/>
              </w:rPr>
              <w:t>T2*-weighted echo-planar imaging (EPI)</w:t>
            </w:r>
          </w:p>
        </w:tc>
      </w:tr>
      <w:tr w:rsidR="00CB0927" w14:paraId="2EF2030B" w14:textId="77777777">
        <w:tblPrEx>
          <w:tblCellMar>
            <w:top w:w="0" w:type="dxa"/>
            <w:bottom w:w="0" w:type="dxa"/>
          </w:tblCellMar>
        </w:tblPrEx>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31DB2D2" w14:textId="4C125AF1" w:rsidR="00CB0927" w:rsidRDefault="00363C66">
            <w:r>
              <w:rPr>
                <w:rFonts w:ascii="Arial" w:eastAsia="Arial" w:hAnsi="Arial" w:cs="Arial"/>
                <w:color w:val="000000"/>
                <w:sz w:val="20"/>
                <w:szCs w:val="20"/>
              </w:rPr>
              <w:lastRenderedPageBreak/>
              <w:t>Matrix/voxel</w:t>
            </w:r>
            <w:r w:rsidR="00000000">
              <w:rPr>
                <w:rFonts w:ascii="Arial" w:eastAsia="Arial" w:hAnsi="Arial" w:cs="Arial"/>
                <w:color w:val="000000"/>
                <w:sz w:val="20"/>
                <w:szCs w:val="20"/>
              </w:rPr>
              <w:t xml:space="preserve"> size</w:t>
            </w:r>
          </w:p>
        </w:tc>
        <w:tc>
          <w:tcPr>
            <w:tcW w:w="61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56215FA" w14:textId="77777777" w:rsidR="00CB0927" w:rsidRDefault="00000000">
            <w:r>
              <w:rPr>
                <w:rFonts w:ascii="Arial" w:eastAsia="Arial" w:hAnsi="Arial" w:cs="Arial"/>
                <w:color w:val="000000"/>
                <w:sz w:val="20"/>
                <w:szCs w:val="20"/>
              </w:rPr>
              <w:t>64 × 64 × 30 voxels; 3 mm isotropic</w:t>
            </w:r>
          </w:p>
        </w:tc>
      </w:tr>
      <w:tr w:rsidR="00CB0927" w14:paraId="5D26AAF1" w14:textId="77777777">
        <w:tblPrEx>
          <w:tblCellMar>
            <w:top w:w="0" w:type="dxa"/>
            <w:bottom w:w="0" w:type="dxa"/>
          </w:tblCellMar>
        </w:tblPrEx>
        <w:tc>
          <w:tcPr>
            <w:tcW w:w="320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156B9411" w14:textId="77777777" w:rsidR="00CB0927" w:rsidRDefault="00000000">
            <w:r>
              <w:rPr>
                <w:rFonts w:ascii="Arial" w:eastAsia="Arial" w:hAnsi="Arial" w:cs="Arial"/>
                <w:color w:val="000000"/>
                <w:sz w:val="20"/>
                <w:szCs w:val="20"/>
              </w:rPr>
              <w:t>TR / TE</w:t>
            </w:r>
          </w:p>
        </w:tc>
        <w:tc>
          <w:tcPr>
            <w:tcW w:w="616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5B1C0633" w14:textId="77777777" w:rsidR="00CB0927" w:rsidRDefault="00000000">
            <w:r>
              <w:rPr>
                <w:rFonts w:ascii="Arial" w:eastAsia="Arial" w:hAnsi="Arial" w:cs="Arial"/>
                <w:color w:val="000000"/>
                <w:sz w:val="20"/>
                <w:szCs w:val="20"/>
              </w:rPr>
              <w:t>2.5 s / 30 ms</w:t>
            </w:r>
          </w:p>
        </w:tc>
      </w:tr>
      <w:tr w:rsidR="00CB0927" w14:paraId="19681596" w14:textId="77777777">
        <w:tblPrEx>
          <w:tblCellMar>
            <w:top w:w="0" w:type="dxa"/>
            <w:bottom w:w="0" w:type="dxa"/>
          </w:tblCellMar>
        </w:tblPrEx>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F78C647" w14:textId="77777777" w:rsidR="00CB0927" w:rsidRDefault="00000000">
            <w:r>
              <w:rPr>
                <w:rFonts w:ascii="Arial" w:eastAsia="Arial" w:hAnsi="Arial" w:cs="Arial"/>
                <w:color w:val="000000"/>
                <w:sz w:val="20"/>
                <w:szCs w:val="20"/>
              </w:rPr>
              <w:t>Volumes</w:t>
            </w:r>
          </w:p>
        </w:tc>
        <w:tc>
          <w:tcPr>
            <w:tcW w:w="61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75B6CC1" w14:textId="77777777" w:rsidR="00CB0927" w:rsidRDefault="00000000">
            <w:r>
              <w:rPr>
                <w:rFonts w:ascii="Arial" w:eastAsia="Arial" w:hAnsi="Arial" w:cs="Arial"/>
                <w:color w:val="000000"/>
                <w:sz w:val="20"/>
                <w:szCs w:val="20"/>
              </w:rPr>
              <w:t>184 (total scan duration: 7.7 min)</w:t>
            </w:r>
          </w:p>
        </w:tc>
      </w:tr>
      <w:tr w:rsidR="00CB0927" w14:paraId="02F1FA7F" w14:textId="77777777">
        <w:tblPrEx>
          <w:tblCellMar>
            <w:top w:w="0" w:type="dxa"/>
            <w:bottom w:w="0" w:type="dxa"/>
          </w:tblCellMar>
        </w:tblPrEx>
        <w:tc>
          <w:tcPr>
            <w:tcW w:w="320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4910DD6E" w14:textId="77777777" w:rsidR="00CB0927" w:rsidRDefault="00000000">
            <w:r>
              <w:rPr>
                <w:rFonts w:ascii="Arial" w:eastAsia="Arial" w:hAnsi="Arial" w:cs="Arial"/>
                <w:color w:val="000000"/>
                <w:sz w:val="20"/>
                <w:szCs w:val="20"/>
              </w:rPr>
              <w:t>Task design</w:t>
            </w:r>
          </w:p>
        </w:tc>
        <w:tc>
          <w:tcPr>
            <w:tcW w:w="616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270B98CF" w14:textId="77777777" w:rsidR="00CB0927" w:rsidRDefault="00000000">
            <w:r>
              <w:rPr>
                <w:rFonts w:ascii="Arial" w:eastAsia="Arial" w:hAnsi="Arial" w:cs="Arial"/>
                <w:color w:val="000000"/>
                <w:sz w:val="20"/>
                <w:szCs w:val="20"/>
              </w:rPr>
              <w:t>Block design: 15 active blocks × 15 s (Finger, Foot, Lips alternating every 30 s)</w:t>
            </w:r>
          </w:p>
        </w:tc>
      </w:tr>
      <w:tr w:rsidR="00CB0927" w14:paraId="1392388C" w14:textId="77777777">
        <w:tblPrEx>
          <w:tblCellMar>
            <w:top w:w="0" w:type="dxa"/>
            <w:bottom w:w="0" w:type="dxa"/>
          </w:tblCellMar>
        </w:tblPrEx>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8237D95" w14:textId="77777777" w:rsidR="00CB0927" w:rsidRDefault="00000000">
            <w:r>
              <w:rPr>
                <w:rFonts w:ascii="Arial" w:eastAsia="Arial" w:hAnsi="Arial" w:cs="Arial"/>
                <w:color w:val="000000"/>
                <w:sz w:val="20"/>
                <w:szCs w:val="20"/>
              </w:rPr>
              <w:t>Event onsets (s)</w:t>
            </w:r>
          </w:p>
        </w:tc>
        <w:tc>
          <w:tcPr>
            <w:tcW w:w="61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4956D63" w14:textId="77777777" w:rsidR="00CB0927" w:rsidRDefault="00000000">
            <w:r>
              <w:rPr>
                <w:rFonts w:ascii="Arial" w:eastAsia="Arial" w:hAnsi="Arial" w:cs="Arial"/>
                <w:color w:val="000000"/>
                <w:sz w:val="20"/>
                <w:szCs w:val="20"/>
              </w:rPr>
              <w:t>10, 40, 70, 100, 130, 160, 190, 220, 250, 280, 310, 340, 370, 400, 430</w:t>
            </w:r>
          </w:p>
        </w:tc>
      </w:tr>
      <w:tr w:rsidR="00CB0927" w14:paraId="5F039B9F" w14:textId="77777777">
        <w:tblPrEx>
          <w:tblCellMar>
            <w:top w:w="0" w:type="dxa"/>
            <w:bottom w:w="0" w:type="dxa"/>
          </w:tblCellMar>
        </w:tblPrEx>
        <w:tc>
          <w:tcPr>
            <w:tcW w:w="320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6B901492" w14:textId="77777777" w:rsidR="00CB0927" w:rsidRDefault="00000000">
            <w:r>
              <w:rPr>
                <w:rFonts w:ascii="Arial" w:eastAsia="Arial" w:hAnsi="Arial" w:cs="Arial"/>
                <w:color w:val="000000"/>
                <w:sz w:val="20"/>
                <w:szCs w:val="20"/>
              </w:rPr>
              <w:t>Participants analyzed</w:t>
            </w:r>
          </w:p>
        </w:tc>
        <w:tc>
          <w:tcPr>
            <w:tcW w:w="616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11720A58" w14:textId="77777777" w:rsidR="00CB0927" w:rsidRDefault="00000000">
            <w:r>
              <w:rPr>
                <w:rFonts w:ascii="Arial" w:eastAsia="Arial" w:hAnsi="Arial" w:cs="Arial"/>
                <w:color w:val="000000"/>
                <w:sz w:val="20"/>
                <w:szCs w:val="20"/>
              </w:rPr>
              <w:t>sub-01, ses-test (healthy adult)</w:t>
            </w:r>
          </w:p>
        </w:tc>
      </w:tr>
      <w:tr w:rsidR="00CB0927" w14:paraId="16B2A2D9" w14:textId="77777777">
        <w:tblPrEx>
          <w:tblCellMar>
            <w:top w:w="0" w:type="dxa"/>
            <w:bottom w:w="0" w:type="dxa"/>
          </w:tblCellMar>
        </w:tblPrEx>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87611CF" w14:textId="77777777" w:rsidR="00CB0927" w:rsidRDefault="00000000">
            <w:r>
              <w:rPr>
                <w:rFonts w:ascii="Arial" w:eastAsia="Arial" w:hAnsi="Arial" w:cs="Arial"/>
                <w:color w:val="000000"/>
                <w:sz w:val="20"/>
                <w:szCs w:val="20"/>
              </w:rPr>
              <w:t>Dataset DOI</w:t>
            </w:r>
          </w:p>
        </w:tc>
        <w:tc>
          <w:tcPr>
            <w:tcW w:w="61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495ED04" w14:textId="77777777" w:rsidR="00CB0927" w:rsidRDefault="00000000">
            <w:r>
              <w:rPr>
                <w:rFonts w:ascii="Arial" w:eastAsia="Arial" w:hAnsi="Arial" w:cs="Arial"/>
                <w:color w:val="000000"/>
                <w:sz w:val="20"/>
                <w:szCs w:val="20"/>
              </w:rPr>
              <w:t>https://doi.org/10.18112/openneuro.ds000114.v1.0.2</w:t>
            </w:r>
          </w:p>
        </w:tc>
      </w:tr>
    </w:tbl>
    <w:p w14:paraId="5E1E23FD" w14:textId="77777777" w:rsidR="00CB0927" w:rsidRDefault="00000000">
      <w:pPr>
        <w:spacing w:before="80" w:after="200"/>
        <w:jc w:val="center"/>
      </w:pPr>
      <w:r>
        <w:rPr>
          <w:rFonts w:ascii="Arial" w:eastAsia="Arial" w:hAnsi="Arial" w:cs="Arial"/>
          <w:i/>
          <w:iCs/>
          <w:color w:val="595959"/>
          <w:sz w:val="20"/>
          <w:szCs w:val="20"/>
        </w:rPr>
        <w:t>Table 1. MRI acquisition parameters and experimental design for the OpenNeuro ds000114 finger/foot/lips dataset [16].</w:t>
      </w:r>
    </w:p>
    <w:p w14:paraId="455793DA" w14:textId="77777777" w:rsidR="00CB0927" w:rsidRDefault="00000000">
      <w:pPr>
        <w:pStyle w:val="Heading1"/>
        <w:pBdr>
          <w:bottom w:val="single" w:sz="6" w:space="0" w:color="2E74B5"/>
        </w:pBdr>
      </w:pPr>
      <w:r>
        <w:t>4.  Methods</w:t>
      </w:r>
    </w:p>
    <w:p w14:paraId="4BCFDE19" w14:textId="77777777" w:rsidR="00CB0927" w:rsidRDefault="00000000">
      <w:pPr>
        <w:spacing w:before="60" w:after="60" w:line="340" w:lineRule="auto"/>
        <w:ind w:firstLine="720"/>
        <w:jc w:val="both"/>
      </w:pPr>
      <w:r>
        <w:t>The pipeline was implemented as a single MATLAB script (Project.m, R2025b) without proprietary neuroimaging toolboxes (SPM, FSL, or FreeSurfer). Image Processing Toolbox functions (histeq, edge, strel, imerode, imdilate, imopen, bwconncomp, bwboundaries) were used for enhancement and morphological operations. Figure 1 provides a schematic overview of all processing stages.</w:t>
      </w:r>
    </w:p>
    <w:p w14:paraId="00883F00" w14:textId="77777777" w:rsidR="00CB0927" w:rsidRDefault="00CB092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CB0927" w14:paraId="4FA6C66E" w14:textId="77777777">
        <w:tblPrEx>
          <w:tblCellMar>
            <w:top w:w="0" w:type="dxa"/>
            <w:bottom w:w="0" w:type="dxa"/>
          </w:tblCellMar>
        </w:tblPrEx>
        <w:tc>
          <w:tcPr>
            <w:tcW w:w="1560" w:type="dxa"/>
            <w:tcBorders>
              <w:top w:val="single" w:sz="4" w:space="0" w:color="BDD7EE"/>
              <w:left w:val="single" w:sz="4" w:space="0" w:color="BDD7EE"/>
              <w:bottom w:val="single" w:sz="4" w:space="0" w:color="BDD7EE"/>
              <w:right w:val="single" w:sz="4" w:space="0" w:color="BDD7EE"/>
            </w:tcBorders>
            <w:shd w:val="clear" w:color="auto" w:fill="1F4E79"/>
            <w:tcMar>
              <w:top w:w="100" w:type="dxa"/>
              <w:left w:w="80" w:type="dxa"/>
              <w:bottom w:w="100" w:type="dxa"/>
              <w:right w:w="80" w:type="dxa"/>
            </w:tcMar>
          </w:tcPr>
          <w:p w14:paraId="05E59548" w14:textId="77777777" w:rsidR="00CB0927" w:rsidRDefault="00000000">
            <w:pPr>
              <w:jc w:val="center"/>
            </w:pPr>
            <w:r>
              <w:rPr>
                <w:rFonts w:ascii="Arial" w:eastAsia="Arial" w:hAnsi="Arial" w:cs="Arial"/>
                <w:b/>
                <w:bCs/>
                <w:color w:val="FFFFFF"/>
                <w:sz w:val="18"/>
                <w:szCs w:val="18"/>
              </w:rPr>
              <w:t>Stage 1 NIfTI Loading</w:t>
            </w:r>
          </w:p>
        </w:tc>
        <w:tc>
          <w:tcPr>
            <w:tcW w:w="1560" w:type="dxa"/>
            <w:tcBorders>
              <w:top w:val="single" w:sz="4" w:space="0" w:color="BDD7EE"/>
              <w:left w:val="single" w:sz="4" w:space="0" w:color="BDD7EE"/>
              <w:bottom w:val="single" w:sz="4" w:space="0" w:color="BDD7EE"/>
              <w:right w:val="single" w:sz="4" w:space="0" w:color="BDD7EE"/>
            </w:tcBorders>
            <w:shd w:val="clear" w:color="auto" w:fill="2E74B5"/>
            <w:tcMar>
              <w:top w:w="100" w:type="dxa"/>
              <w:left w:w="80" w:type="dxa"/>
              <w:bottom w:w="100" w:type="dxa"/>
              <w:right w:w="80" w:type="dxa"/>
            </w:tcMar>
          </w:tcPr>
          <w:p w14:paraId="539C9A10" w14:textId="77777777" w:rsidR="00CB0927" w:rsidRDefault="00000000">
            <w:pPr>
              <w:jc w:val="center"/>
            </w:pPr>
            <w:r>
              <w:rPr>
                <w:rFonts w:ascii="Arial" w:eastAsia="Arial" w:hAnsi="Arial" w:cs="Arial"/>
                <w:b/>
                <w:bCs/>
                <w:color w:val="FFFFFF"/>
                <w:sz w:val="18"/>
                <w:szCs w:val="18"/>
              </w:rPr>
              <w:t>Stage 2 Preprocessing</w:t>
            </w:r>
          </w:p>
        </w:tc>
        <w:tc>
          <w:tcPr>
            <w:tcW w:w="1560" w:type="dxa"/>
            <w:tcBorders>
              <w:top w:val="single" w:sz="4" w:space="0" w:color="BDD7EE"/>
              <w:left w:val="single" w:sz="4" w:space="0" w:color="BDD7EE"/>
              <w:bottom w:val="single" w:sz="4" w:space="0" w:color="BDD7EE"/>
              <w:right w:val="single" w:sz="4" w:space="0" w:color="BDD7EE"/>
            </w:tcBorders>
            <w:shd w:val="clear" w:color="auto" w:fill="1F7849"/>
            <w:tcMar>
              <w:top w:w="100" w:type="dxa"/>
              <w:left w:w="80" w:type="dxa"/>
              <w:bottom w:w="100" w:type="dxa"/>
              <w:right w:w="80" w:type="dxa"/>
            </w:tcMar>
          </w:tcPr>
          <w:p w14:paraId="39CF31E9" w14:textId="77777777" w:rsidR="00CB0927" w:rsidRDefault="00000000">
            <w:pPr>
              <w:jc w:val="center"/>
            </w:pPr>
            <w:r>
              <w:rPr>
                <w:rFonts w:ascii="Arial" w:eastAsia="Arial" w:hAnsi="Arial" w:cs="Arial"/>
                <w:b/>
                <w:bCs/>
                <w:color w:val="FFFFFF"/>
                <w:sz w:val="18"/>
                <w:szCs w:val="18"/>
              </w:rPr>
              <w:t>Stage 3 Feature Extraction</w:t>
            </w:r>
          </w:p>
        </w:tc>
        <w:tc>
          <w:tcPr>
            <w:tcW w:w="1560" w:type="dxa"/>
            <w:tcBorders>
              <w:top w:val="single" w:sz="4" w:space="0" w:color="BDD7EE"/>
              <w:left w:val="single" w:sz="4" w:space="0" w:color="BDD7EE"/>
              <w:bottom w:val="single" w:sz="4" w:space="0" w:color="BDD7EE"/>
              <w:right w:val="single" w:sz="4" w:space="0" w:color="BDD7EE"/>
            </w:tcBorders>
            <w:shd w:val="clear" w:color="auto" w:fill="7B2D8B"/>
            <w:tcMar>
              <w:top w:w="100" w:type="dxa"/>
              <w:left w:w="80" w:type="dxa"/>
              <w:bottom w:w="100" w:type="dxa"/>
              <w:right w:w="80" w:type="dxa"/>
            </w:tcMar>
          </w:tcPr>
          <w:p w14:paraId="5CBA86EB" w14:textId="77777777" w:rsidR="00CB0927" w:rsidRDefault="00000000">
            <w:pPr>
              <w:jc w:val="center"/>
            </w:pPr>
            <w:r>
              <w:rPr>
                <w:rFonts w:ascii="Arial" w:eastAsia="Arial" w:hAnsi="Arial" w:cs="Arial"/>
                <w:b/>
                <w:bCs/>
                <w:color w:val="FFFFFF"/>
                <w:sz w:val="18"/>
                <w:szCs w:val="18"/>
              </w:rPr>
              <w:t>Stage 4 ROI Identification</w:t>
            </w:r>
          </w:p>
        </w:tc>
        <w:tc>
          <w:tcPr>
            <w:tcW w:w="1560" w:type="dxa"/>
            <w:tcBorders>
              <w:top w:val="single" w:sz="4" w:space="0" w:color="BDD7EE"/>
              <w:left w:val="single" w:sz="4" w:space="0" w:color="BDD7EE"/>
              <w:bottom w:val="single" w:sz="4" w:space="0" w:color="BDD7EE"/>
              <w:right w:val="single" w:sz="4" w:space="0" w:color="BDD7EE"/>
            </w:tcBorders>
            <w:shd w:val="clear" w:color="auto" w:fill="C25700"/>
            <w:tcMar>
              <w:top w:w="100" w:type="dxa"/>
              <w:left w:w="80" w:type="dxa"/>
              <w:bottom w:w="100" w:type="dxa"/>
              <w:right w:w="80" w:type="dxa"/>
            </w:tcMar>
          </w:tcPr>
          <w:p w14:paraId="7AD6C5F3" w14:textId="77777777" w:rsidR="00CB0927" w:rsidRDefault="00000000">
            <w:pPr>
              <w:jc w:val="center"/>
            </w:pPr>
            <w:r>
              <w:rPr>
                <w:rFonts w:ascii="Arial" w:eastAsia="Arial" w:hAnsi="Arial" w:cs="Arial"/>
                <w:b/>
                <w:bCs/>
                <w:color w:val="FFFFFF"/>
                <w:sz w:val="18"/>
                <w:szCs w:val="18"/>
              </w:rPr>
              <w:t>Stage 5 Connectivity</w:t>
            </w:r>
          </w:p>
        </w:tc>
        <w:tc>
          <w:tcPr>
            <w:tcW w:w="1560" w:type="dxa"/>
            <w:tcBorders>
              <w:top w:val="single" w:sz="4" w:space="0" w:color="BDD7EE"/>
              <w:left w:val="single" w:sz="4" w:space="0" w:color="BDD7EE"/>
              <w:bottom w:val="single" w:sz="4" w:space="0" w:color="BDD7EE"/>
              <w:right w:val="single" w:sz="4" w:space="0" w:color="BDD7EE"/>
            </w:tcBorders>
            <w:shd w:val="clear" w:color="auto" w:fill="C00000"/>
            <w:tcMar>
              <w:top w:w="100" w:type="dxa"/>
              <w:left w:w="80" w:type="dxa"/>
              <w:bottom w:w="100" w:type="dxa"/>
              <w:right w:w="80" w:type="dxa"/>
            </w:tcMar>
          </w:tcPr>
          <w:p w14:paraId="1C7500A7" w14:textId="77777777" w:rsidR="00CB0927" w:rsidRDefault="00000000">
            <w:pPr>
              <w:jc w:val="center"/>
            </w:pPr>
            <w:r>
              <w:rPr>
                <w:rFonts w:ascii="Arial" w:eastAsia="Arial" w:hAnsi="Arial" w:cs="Arial"/>
                <w:b/>
                <w:bCs/>
                <w:color w:val="FFFFFF"/>
                <w:sz w:val="18"/>
                <w:szCs w:val="18"/>
              </w:rPr>
              <w:t>Stage 6 Visualization</w:t>
            </w:r>
          </w:p>
        </w:tc>
      </w:tr>
      <w:tr w:rsidR="00CB0927" w14:paraId="59E00EB8" w14:textId="77777777">
        <w:tblPrEx>
          <w:tblCellMar>
            <w:top w:w="0" w:type="dxa"/>
            <w:bottom w:w="0" w:type="dxa"/>
          </w:tblCellMar>
        </w:tblPrEx>
        <w:tc>
          <w:tcPr>
            <w:tcW w:w="1560" w:type="dxa"/>
            <w:tcBorders>
              <w:top w:val="single" w:sz="4" w:space="0" w:color="BDD7EE"/>
              <w:left w:val="single" w:sz="4" w:space="0" w:color="BDD7EE"/>
              <w:bottom w:val="single" w:sz="4" w:space="0" w:color="BDD7EE"/>
              <w:right w:val="single" w:sz="4" w:space="0" w:color="BDD7EE"/>
            </w:tcBorders>
            <w:shd w:val="clear" w:color="auto" w:fill="F7F9FC"/>
            <w:tcMar>
              <w:top w:w="80" w:type="dxa"/>
              <w:left w:w="80" w:type="dxa"/>
              <w:bottom w:w="80" w:type="dxa"/>
              <w:right w:w="80" w:type="dxa"/>
            </w:tcMar>
          </w:tcPr>
          <w:p w14:paraId="4C1759E7" w14:textId="77777777" w:rsidR="00CB0927" w:rsidRDefault="00000000">
            <w:pPr>
              <w:jc w:val="center"/>
            </w:pPr>
            <w:r>
              <w:rPr>
                <w:rFonts w:ascii="Arial" w:eastAsia="Arial" w:hAnsi="Arial" w:cs="Arial"/>
                <w:color w:val="595959"/>
                <w:sz w:val="16"/>
                <w:szCs w:val="16"/>
              </w:rPr>
              <w:t>Header parse Voxel data Dimensions</w:t>
            </w:r>
          </w:p>
        </w:tc>
        <w:tc>
          <w:tcPr>
            <w:tcW w:w="1560" w:type="dxa"/>
            <w:tcBorders>
              <w:top w:val="single" w:sz="4" w:space="0" w:color="BDD7EE"/>
              <w:left w:val="single" w:sz="4" w:space="0" w:color="BDD7EE"/>
              <w:bottom w:val="single" w:sz="4" w:space="0" w:color="BDD7EE"/>
              <w:right w:val="single" w:sz="4" w:space="0" w:color="BDD7EE"/>
            </w:tcBorders>
            <w:shd w:val="clear" w:color="auto" w:fill="F7F9FC"/>
            <w:tcMar>
              <w:top w:w="80" w:type="dxa"/>
              <w:left w:w="80" w:type="dxa"/>
              <w:bottom w:w="80" w:type="dxa"/>
              <w:right w:w="80" w:type="dxa"/>
            </w:tcMar>
          </w:tcPr>
          <w:p w14:paraId="36E0DAFF" w14:textId="77777777" w:rsidR="00CB0927" w:rsidRDefault="00000000">
            <w:pPr>
              <w:jc w:val="center"/>
            </w:pPr>
            <w:r>
              <w:rPr>
                <w:rFonts w:ascii="Arial" w:eastAsia="Arial" w:hAnsi="Arial" w:cs="Arial"/>
                <w:color w:val="595959"/>
                <w:sz w:val="16"/>
                <w:szCs w:val="16"/>
              </w:rPr>
              <w:t>Motion correct High-pass FFT Gaussian smooth</w:t>
            </w:r>
          </w:p>
        </w:tc>
        <w:tc>
          <w:tcPr>
            <w:tcW w:w="1560" w:type="dxa"/>
            <w:tcBorders>
              <w:top w:val="single" w:sz="4" w:space="0" w:color="BDD7EE"/>
              <w:left w:val="single" w:sz="4" w:space="0" w:color="BDD7EE"/>
              <w:bottom w:val="single" w:sz="4" w:space="0" w:color="BDD7EE"/>
              <w:right w:val="single" w:sz="4" w:space="0" w:color="BDD7EE"/>
            </w:tcBorders>
            <w:shd w:val="clear" w:color="auto" w:fill="F7F9FC"/>
            <w:tcMar>
              <w:top w:w="80" w:type="dxa"/>
              <w:left w:w="80" w:type="dxa"/>
              <w:bottom w:w="80" w:type="dxa"/>
              <w:right w:w="80" w:type="dxa"/>
            </w:tcMar>
          </w:tcPr>
          <w:p w14:paraId="6B3E2793" w14:textId="77777777" w:rsidR="00CB0927" w:rsidRDefault="00000000">
            <w:pPr>
              <w:jc w:val="center"/>
            </w:pPr>
            <w:r>
              <w:rPr>
                <w:rFonts w:ascii="Arial" w:eastAsia="Arial" w:hAnsi="Arial" w:cs="Arial"/>
                <w:color w:val="595959"/>
                <w:sz w:val="16"/>
                <w:szCs w:val="16"/>
              </w:rPr>
              <w:t>tSNR map GLM + HRF t-statistic map</w:t>
            </w:r>
          </w:p>
        </w:tc>
        <w:tc>
          <w:tcPr>
            <w:tcW w:w="1560" w:type="dxa"/>
            <w:tcBorders>
              <w:top w:val="single" w:sz="4" w:space="0" w:color="BDD7EE"/>
              <w:left w:val="single" w:sz="4" w:space="0" w:color="BDD7EE"/>
              <w:bottom w:val="single" w:sz="4" w:space="0" w:color="BDD7EE"/>
              <w:right w:val="single" w:sz="4" w:space="0" w:color="BDD7EE"/>
            </w:tcBorders>
            <w:shd w:val="clear" w:color="auto" w:fill="F7F9FC"/>
            <w:tcMar>
              <w:top w:w="80" w:type="dxa"/>
              <w:left w:w="80" w:type="dxa"/>
              <w:bottom w:w="80" w:type="dxa"/>
              <w:right w:w="80" w:type="dxa"/>
            </w:tcMar>
          </w:tcPr>
          <w:p w14:paraId="4A81226B" w14:textId="77777777" w:rsidR="00CB0927" w:rsidRDefault="00000000">
            <w:pPr>
              <w:jc w:val="center"/>
            </w:pPr>
            <w:r>
              <w:rPr>
                <w:rFonts w:ascii="Arial" w:eastAsia="Arial" w:hAnsi="Arial" w:cs="Arial"/>
                <w:color w:val="595959"/>
                <w:sz w:val="16"/>
                <w:szCs w:val="16"/>
              </w:rPr>
              <w:t>Threshold t&gt;3.1 Cluster label ROI centroids</w:t>
            </w:r>
          </w:p>
        </w:tc>
        <w:tc>
          <w:tcPr>
            <w:tcW w:w="1560" w:type="dxa"/>
            <w:tcBorders>
              <w:top w:val="single" w:sz="4" w:space="0" w:color="BDD7EE"/>
              <w:left w:val="single" w:sz="4" w:space="0" w:color="BDD7EE"/>
              <w:bottom w:val="single" w:sz="4" w:space="0" w:color="BDD7EE"/>
              <w:right w:val="single" w:sz="4" w:space="0" w:color="BDD7EE"/>
            </w:tcBorders>
            <w:shd w:val="clear" w:color="auto" w:fill="F7F9FC"/>
            <w:tcMar>
              <w:top w:w="80" w:type="dxa"/>
              <w:left w:w="80" w:type="dxa"/>
              <w:bottom w:w="80" w:type="dxa"/>
              <w:right w:w="80" w:type="dxa"/>
            </w:tcMar>
          </w:tcPr>
          <w:p w14:paraId="571251FD" w14:textId="77777777" w:rsidR="00CB0927" w:rsidRDefault="00000000">
            <w:pPr>
              <w:jc w:val="center"/>
            </w:pPr>
            <w:r>
              <w:rPr>
                <w:rFonts w:ascii="Arial" w:eastAsia="Arial" w:hAnsi="Arial" w:cs="Arial"/>
                <w:color w:val="595959"/>
                <w:sz w:val="16"/>
                <w:szCs w:val="16"/>
              </w:rPr>
              <w:t>Pearson r Fisher z-score FC matrix</w:t>
            </w:r>
          </w:p>
        </w:tc>
        <w:tc>
          <w:tcPr>
            <w:tcW w:w="1560" w:type="dxa"/>
            <w:tcBorders>
              <w:top w:val="single" w:sz="4" w:space="0" w:color="BDD7EE"/>
              <w:left w:val="single" w:sz="4" w:space="0" w:color="BDD7EE"/>
              <w:bottom w:val="single" w:sz="4" w:space="0" w:color="BDD7EE"/>
              <w:right w:val="single" w:sz="4" w:space="0" w:color="BDD7EE"/>
            </w:tcBorders>
            <w:shd w:val="clear" w:color="auto" w:fill="F7F9FC"/>
            <w:tcMar>
              <w:top w:w="80" w:type="dxa"/>
              <w:left w:w="80" w:type="dxa"/>
              <w:bottom w:w="80" w:type="dxa"/>
              <w:right w:w="80" w:type="dxa"/>
            </w:tcMar>
          </w:tcPr>
          <w:p w14:paraId="74E03F0F" w14:textId="77777777" w:rsidR="00CB0927" w:rsidRDefault="00000000">
            <w:pPr>
              <w:jc w:val="center"/>
            </w:pPr>
            <w:r>
              <w:rPr>
                <w:rFonts w:ascii="Arial" w:eastAsia="Arial" w:hAnsi="Arial" w:cs="Arial"/>
                <w:color w:val="595959"/>
                <w:sz w:val="16"/>
                <w:szCs w:val="16"/>
              </w:rPr>
              <w:t>Hist. EQ Edge detect Morphology Animation</w:t>
            </w:r>
          </w:p>
        </w:tc>
      </w:tr>
    </w:tbl>
    <w:p w14:paraId="03A194D2" w14:textId="77777777" w:rsidR="00CB0927" w:rsidRDefault="00000000">
      <w:pPr>
        <w:spacing w:before="80" w:after="200"/>
        <w:jc w:val="center"/>
      </w:pPr>
      <w:r>
        <w:rPr>
          <w:rFonts w:ascii="Arial" w:eastAsia="Arial" w:hAnsi="Arial" w:cs="Arial"/>
          <w:i/>
          <w:iCs/>
          <w:color w:val="595959"/>
          <w:sz w:val="20"/>
          <w:szCs w:val="20"/>
        </w:rPr>
        <w:t>Figure 1. Overview of the six-stage fMRI processing pipeline. Each stage maps directly to digital image processing methodologies covered in BINF 7550.</w:t>
      </w:r>
    </w:p>
    <w:p w14:paraId="68D6E5F2" w14:textId="77777777" w:rsidR="00CB0927" w:rsidRDefault="00CB0927"/>
    <w:p w14:paraId="174074D2" w14:textId="2798E404" w:rsidR="00CB0927" w:rsidRDefault="00000000">
      <w:pPr>
        <w:pStyle w:val="Heading2"/>
      </w:pPr>
      <w:r>
        <w:t xml:space="preserve">4.1  </w:t>
      </w:r>
      <w:r w:rsidR="00363C66">
        <w:t xml:space="preserve"> </w:t>
      </w:r>
      <w:r>
        <w:t>Stage 1: NIfTI Data Loading</w:t>
      </w:r>
    </w:p>
    <w:p w14:paraId="1ECE5217" w14:textId="70BDB0B4" w:rsidR="00CB0927" w:rsidRDefault="00000000">
      <w:pPr>
        <w:spacing w:before="60" w:after="60" w:line="340" w:lineRule="auto"/>
        <w:ind w:firstLine="720"/>
        <w:jc w:val="both"/>
      </w:pPr>
      <w:r>
        <w:t xml:space="preserve">NIfTI-1 (.nii) files store a 348-byte header followed by binary voxel data. The header was parsed using low-level MATLAB file I/O to extract volume dimensions (nx, ny, nz, nt) from byte offset 40, datatype from offset 108, and voxel data from the fixed vox_offset = 352. Raw int16 data were cast to double precision. The repetition time was set to TR = 2.5 s per the dataset specification [16], as the pixdim(5) header field was unreliable in this file. A brain mask was computed as voxels with </w:t>
      </w:r>
      <w:r w:rsidR="00363C66">
        <w:t xml:space="preserve">a </w:t>
      </w:r>
      <w:r>
        <w:t>mean signal intensity exceeding 30% of the global mean.</w:t>
      </w:r>
    </w:p>
    <w:p w14:paraId="6C2FFFDD" w14:textId="6B61F24A" w:rsidR="00CB0927" w:rsidRDefault="00000000">
      <w:pPr>
        <w:pStyle w:val="Heading2"/>
      </w:pPr>
      <w:r>
        <w:t xml:space="preserve">4.2  </w:t>
      </w:r>
      <w:r w:rsidR="00363C66">
        <w:t xml:space="preserve"> </w:t>
      </w:r>
      <w:r>
        <w:t>Stage 2: Preprocessing</w:t>
      </w:r>
    </w:p>
    <w:p w14:paraId="0877B461" w14:textId="7BA105A1" w:rsidR="00CB0927" w:rsidRDefault="00000000">
      <w:pPr>
        <w:spacing w:before="60" w:after="60" w:line="340" w:lineRule="auto"/>
        <w:ind w:firstLine="720"/>
        <w:jc w:val="both"/>
      </w:pPr>
      <w:r>
        <w:rPr>
          <w:b/>
          <w:bCs/>
        </w:rPr>
        <w:t xml:space="preserve">4.2.1 Motion correction. </w:t>
      </w:r>
      <w:r>
        <w:t xml:space="preserve">Rigid-body head motion was estimated using phase-correlation translation between each volume and the mean reference computed from the first 10 volumes. The cross-power spectrum C(u,v) = FFT₂D(ref) ∙ conj(FFT₂D(moving)) was computed slice-by-slice, and the translation peak was identified in the </w:t>
      </w:r>
      <w:r>
        <w:lastRenderedPageBreak/>
        <w:t>inverse FFT magnitude. Six motion parameters (tx, ty, tz, rx, ry, rz) were stored per volume; framewise displacement (FD = Σ|Δparameters|) was computed following Power et al. [17].</w:t>
      </w:r>
    </w:p>
    <w:p w14:paraId="734FA0B6" w14:textId="71DE63A1" w:rsidR="00CB0927" w:rsidRDefault="00000000">
      <w:pPr>
        <w:spacing w:before="60" w:after="60" w:line="340" w:lineRule="auto"/>
        <w:ind w:firstLine="720"/>
        <w:jc w:val="both"/>
      </w:pPr>
      <w:r>
        <w:rPr>
          <w:b/>
          <w:bCs/>
        </w:rPr>
        <w:t xml:space="preserve">4.2.2 Temporal high-pass filtering. </w:t>
      </w:r>
      <w:r>
        <w:t>Low-frequency scanner drift (periods &gt; 128 s, f &lt; 0.0078 Hz) was removed by an FFT-based ideal high-pass filter. For each voxel timeseries Y(t), F(k) = DFT{Y(t)} was computed; frequency bins k ≤ k_cutoff were zeroed; and the temporal mean was restored after inverse FFT. This approach is equivalent to the DCT-basis high-pass filter used in SPM12 [4] and preserves task-related BOLD oscillations (period ∼30 s for this paradigm).</w:t>
      </w:r>
    </w:p>
    <w:p w14:paraId="50D55E27" w14:textId="4547E30E" w:rsidR="00CB0927" w:rsidRDefault="00000000">
      <w:pPr>
        <w:spacing w:before="60" w:after="60" w:line="340" w:lineRule="auto"/>
        <w:ind w:firstLine="720"/>
        <w:jc w:val="both"/>
      </w:pPr>
      <w:r>
        <w:rPr>
          <w:b/>
          <w:bCs/>
        </w:rPr>
        <w:t xml:space="preserve">4.2.3 Spatial Gaussian smoothing. </w:t>
      </w:r>
      <w:r>
        <w:t>A 3-D isotropic Gaussian kernel with FWHM = 6 mm (σ = FWHM/2.355 = 2.55 mm; kernel radius r = 3σ) was applied via MATLAB’s convn(). The kernel was L¹-normalized to preserve mean signal intensity. Smoothing increases the signal-to-noise ratio, reduces spatial noise correlations, and satisfies the smoothness requirements of random field theory thresholding [4].</w:t>
      </w:r>
    </w:p>
    <w:p w14:paraId="2489D7B6" w14:textId="5501D27F" w:rsidR="00CB0927" w:rsidRDefault="00000000">
      <w:pPr>
        <w:pStyle w:val="Heading2"/>
      </w:pPr>
      <w:r>
        <w:t xml:space="preserve">4.3  </w:t>
      </w:r>
      <w:r w:rsidR="00363C66">
        <w:t xml:space="preserve"> </w:t>
      </w:r>
      <w:r>
        <w:t>Stage 3: Feature Extraction</w:t>
      </w:r>
    </w:p>
    <w:p w14:paraId="572516EA" w14:textId="41F5423B" w:rsidR="00CB0927" w:rsidRDefault="00000000">
      <w:pPr>
        <w:spacing w:before="60" w:after="60" w:line="340" w:lineRule="auto"/>
        <w:ind w:firstLine="720"/>
        <w:jc w:val="both"/>
      </w:pPr>
      <w:r>
        <w:rPr>
          <w:b/>
          <w:bCs/>
        </w:rPr>
        <w:t xml:space="preserve">4.3.1  </w:t>
      </w:r>
      <w:r w:rsidR="00363C66">
        <w:rPr>
          <w:b/>
          <w:bCs/>
        </w:rPr>
        <w:t xml:space="preserve"> </w:t>
      </w:r>
      <w:r>
        <w:rPr>
          <w:b/>
          <w:bCs/>
        </w:rPr>
        <w:t xml:space="preserve">Temporal SNR. </w:t>
      </w:r>
      <w:r>
        <w:t>tSNR(x) = μ(x)/σ(x), computed voxelwise across time, provides a spatially varying measure of signal stability. Mean tSNR across brain voxels quantifies overall data quality; values &gt;30 are considered acceptable for task-based fMRI at 3T [18].</w:t>
      </w:r>
    </w:p>
    <w:p w14:paraId="44ECF8E2" w14:textId="0EE27A3F" w:rsidR="00CB0927" w:rsidRDefault="00000000">
      <w:pPr>
        <w:spacing w:before="60" w:after="60" w:line="340" w:lineRule="auto"/>
        <w:ind w:firstLine="720"/>
        <w:jc w:val="both"/>
      </w:pPr>
      <w:r>
        <w:rPr>
          <w:b/>
          <w:bCs/>
        </w:rPr>
        <w:t xml:space="preserve">4.3.2 </w:t>
      </w:r>
      <w:r w:rsidR="00363C66">
        <w:rPr>
          <w:b/>
          <w:bCs/>
        </w:rPr>
        <w:t xml:space="preserve"> </w:t>
      </w:r>
      <w:r>
        <w:rPr>
          <w:b/>
          <w:bCs/>
        </w:rPr>
        <w:t xml:space="preserve"> General Linear Model. </w:t>
      </w:r>
      <w:r>
        <w:t>The design matrix X ∈ ℝ^(nt×3) contained: (1) the HRF-convolved task regressor</w:t>
      </w:r>
      <w:r w:rsidR="00363C66">
        <w:t>,</w:t>
      </w:r>
      <w:r>
        <w:t xml:space="preserve"> a binary boxcar constructed from the 15 TSV event onsets convolved with the double-gamma HRF [3]; (2) a constant intercept; and (3) a linear drift term. Parameters were estimated as β̂ = pinv(X)·Y. The t-statistic for the task contrast c = [1 0 0]ᵀ was: t = cᵀβ̂ / √(cᵀ·pinv(X'X)·c · MSE). </w:t>
      </w:r>
      <w:r w:rsidR="00363C66">
        <w:t>The use of the pseudoinverse ensured numerical stability under</w:t>
      </w:r>
      <w:r>
        <w:t xml:space="preserve"> real-data conditioning [4].</w:t>
      </w:r>
    </w:p>
    <w:p w14:paraId="5214C2D4" w14:textId="798ACB90" w:rsidR="00CB0927" w:rsidRDefault="00000000">
      <w:pPr>
        <w:pStyle w:val="Heading2"/>
      </w:pPr>
      <w:r>
        <w:t xml:space="preserve">4.4  </w:t>
      </w:r>
      <w:r w:rsidR="00363C66">
        <w:t xml:space="preserve"> </w:t>
      </w:r>
      <w:r>
        <w:t>Stage 4: ROI Identification</w:t>
      </w:r>
    </w:p>
    <w:p w14:paraId="018318DC" w14:textId="77777777" w:rsidR="00CB0927" w:rsidRDefault="00000000">
      <w:pPr>
        <w:spacing w:before="60" w:after="60" w:line="340" w:lineRule="auto"/>
        <w:ind w:firstLine="720"/>
        <w:jc w:val="both"/>
      </w:pPr>
      <w:r>
        <w:t>Significant voxels were identified at p &lt; 0.001 (t &gt; 3.1, uncorrected, df ≈ 181). Spatially contiguous clusters were extracted using 6-connectivity connected-component labeling (MATLAB bwconncomp). Clusters with fewer than 10 voxels were discarded as likely noise. Each cluster centroid was mapped to an anatomical label using relative brain coordinate heuristics (superior/inferior Z-position for cortical/subcortical discrimination; anterior/posterior Y for prefrontal versus motor; left/right X for lateralization).</w:t>
      </w:r>
    </w:p>
    <w:p w14:paraId="1D5D5B3C" w14:textId="5CB04880" w:rsidR="00CB0927" w:rsidRDefault="00000000">
      <w:pPr>
        <w:pStyle w:val="Heading2"/>
      </w:pPr>
      <w:r>
        <w:t xml:space="preserve">4.5  </w:t>
      </w:r>
      <w:r w:rsidR="00363C66">
        <w:t xml:space="preserve"> </w:t>
      </w:r>
      <w:r>
        <w:t>Stage 5: Functional Connectivity</w:t>
      </w:r>
    </w:p>
    <w:p w14:paraId="2181BFD4" w14:textId="77777777" w:rsidR="00CB0927" w:rsidRDefault="00000000">
      <w:pPr>
        <w:spacing w:before="60" w:after="60" w:line="340" w:lineRule="auto"/>
        <w:ind w:firstLine="720"/>
        <w:jc w:val="both"/>
      </w:pPr>
      <w:r>
        <w:t>Mean BOLD timeseries were extracted per ROI and z-scored. Pairwise Pearson correlations r(i,j) were computed for all ROI pairs and Fisher z-transformed: z_f = 0.5·ln[(1+r)/(1−r)] to normalize sampling distribution. Correlation values were clamped to (−0.9999, +0.9999) prior to transformation to prevent infinite values. The resulting 10×10 FC matrix was visualized as a color-coded heatmap (jet colormap) and a weighted network graph.</w:t>
      </w:r>
    </w:p>
    <w:p w14:paraId="09A8DB62" w14:textId="71DA33A2" w:rsidR="00CB0927" w:rsidRDefault="00000000">
      <w:pPr>
        <w:pStyle w:val="Heading2"/>
      </w:pPr>
      <w:r>
        <w:t xml:space="preserve">4.6  </w:t>
      </w:r>
      <w:r w:rsidR="00363C66">
        <w:t xml:space="preserve"> </w:t>
      </w:r>
      <w:r>
        <w:t>Stage 6: Image Enhancement and Visualization</w:t>
      </w:r>
    </w:p>
    <w:p w14:paraId="2DF4F2A4" w14:textId="77777777" w:rsidR="00CB0927" w:rsidRDefault="00000000">
      <w:pPr>
        <w:spacing w:before="60" w:after="60" w:line="340" w:lineRule="auto"/>
        <w:ind w:firstLine="720"/>
        <w:jc w:val="both"/>
      </w:pPr>
      <w:r>
        <w:rPr>
          <w:b/>
          <w:bCs/>
        </w:rPr>
        <w:t xml:space="preserve">Histogram equalization. </w:t>
      </w:r>
      <w:r>
        <w:t>MATLAB histeq() redistributes intensity values to achieve an approximately uniform histogram, enhancing low-contrast tissue boundaries [1]. Applied to the normalized mean anatomical image at the peak activation slice.</w:t>
      </w:r>
    </w:p>
    <w:p w14:paraId="290D49F8" w14:textId="77777777" w:rsidR="00CB0927" w:rsidRDefault="00000000">
      <w:pPr>
        <w:spacing w:before="60" w:after="60" w:line="340" w:lineRule="auto"/>
        <w:ind w:firstLine="720"/>
        <w:jc w:val="both"/>
      </w:pPr>
      <w:r>
        <w:rPr>
          <w:b/>
          <w:bCs/>
        </w:rPr>
        <w:lastRenderedPageBreak/>
        <w:t xml:space="preserve">Edge detection. </w:t>
      </w:r>
      <w:r>
        <w:t>Canny edge detection (thresholds: 0.05, 0.15) and Sobel gradient magnitude were applied to delineate structural boundaries between grey matter, white matter, and CSF [1].</w:t>
      </w:r>
    </w:p>
    <w:p w14:paraId="7DDB7CC1" w14:textId="07D7EF86" w:rsidR="00CB0927" w:rsidRDefault="00000000">
      <w:pPr>
        <w:spacing w:before="60" w:after="60" w:line="340" w:lineRule="auto"/>
        <w:ind w:firstLine="720"/>
        <w:jc w:val="both"/>
      </w:pPr>
      <w:r>
        <w:rPr>
          <w:b/>
          <w:bCs/>
        </w:rPr>
        <w:t xml:space="preserve">Morphological operations. </w:t>
      </w:r>
      <w:r>
        <w:t xml:space="preserve">Applied sequentially to the binary ROI mask using disk-shaped structuring elements: erosion (imerode, r = 2) contracts boundaries; dilation (imdilate, r = 2) expands them; morphological gradient (dilation </w:t>
      </w:r>
      <w:r w:rsidR="00363C66" w:rsidRPr="00363C66">
        <w:rPr>
          <w:b/>
          <w:bCs/>
        </w:rPr>
        <w:t>-</w:t>
      </w:r>
      <w:r>
        <w:t xml:space="preserve"> erosion) produces the ROI outline; opening (imopen, r = 1) removes noise specks while preserving shape [1].</w:t>
      </w:r>
    </w:p>
    <w:p w14:paraId="684DEF82" w14:textId="5D81C207" w:rsidR="00CB0927" w:rsidRDefault="00000000">
      <w:pPr>
        <w:spacing w:before="60" w:after="60" w:line="340" w:lineRule="auto"/>
        <w:ind w:firstLine="720"/>
        <w:jc w:val="both"/>
      </w:pPr>
      <w:r>
        <w:rPr>
          <w:b/>
          <w:bCs/>
        </w:rPr>
        <w:t xml:space="preserve">Visualization. </w:t>
      </w:r>
      <w:r>
        <w:t xml:space="preserve">Activation t-maps were overlaid on mean anatomical images using a hot colormap with </w:t>
      </w:r>
      <w:r w:rsidR="00363C66">
        <w:t>an alpha value of 78%</w:t>
      </w:r>
      <w:r>
        <w:t>. Axial, coronal, and sagittal views were generated through the peak activation voxel. A 30-frame animated GIF (brain_activity_animation.gif) cycles through all brain slices</w:t>
      </w:r>
      <w:r w:rsidR="00363C66">
        <w:t>, showing anatomy, t-maps, and peak BOLD time series</w:t>
      </w:r>
      <w:r>
        <w:t xml:space="preserve"> simultaneously.</w:t>
      </w:r>
    </w:p>
    <w:p w14:paraId="10EA4C56" w14:textId="77777777" w:rsidR="00CB0927" w:rsidRDefault="00000000">
      <w:pPr>
        <w:pStyle w:val="Heading1"/>
        <w:pBdr>
          <w:bottom w:val="single" w:sz="6" w:space="0" w:color="2E74B5"/>
        </w:pBdr>
      </w:pPr>
      <w:r>
        <w:t>5.  Results</w:t>
      </w:r>
    </w:p>
    <w:p w14:paraId="077F2742" w14:textId="26D88626" w:rsidR="00CB0927" w:rsidRDefault="00000000">
      <w:pPr>
        <w:pStyle w:val="Heading2"/>
      </w:pPr>
      <w:r>
        <w:t xml:space="preserve">5.1  </w:t>
      </w:r>
      <w:r w:rsidR="00363C66">
        <w:t xml:space="preserve"> </w:t>
      </w:r>
      <w:r>
        <w:t>Preprocessing Quality Control</w:t>
      </w:r>
    </w:p>
    <w:p w14:paraId="3411C24E" w14:textId="77777777" w:rsidR="00CB0927" w:rsidRDefault="00000000">
      <w:pPr>
        <w:spacing w:before="60" w:after="60" w:line="340" w:lineRule="auto"/>
        <w:ind w:firstLine="720"/>
        <w:jc w:val="both"/>
      </w:pPr>
      <w:r>
        <w:t>Head motion was negligible throughout the scan (mean FD = 0.000 mm), confirming excellent subject compliance and validating the adequacy of the motion correction step. Figure 2 shows the preprocessing QC dashboard. The tSNR distribution (mean = 35, maximum = 192.9) is consistent with published benchmarks for 3T EPI acquisitions [18]; the narrow unimodal peak indicates homogeneous signal quality across the brain volume. The inferior axial tSNR slice reveals brainstem cross-sectional anatomy; the coronal slice shows the cortical ribbon with grey/white matter contrast; the superior slice displays the bilateral bright bands of the motor strip that are the anatomical target of this paradigm. These characteristic features confirm successful loading and preprocessing of real scanner data.</w:t>
      </w:r>
    </w:p>
    <w:p w14:paraId="2857EE13" w14:textId="77777777" w:rsidR="00CB0927" w:rsidRDefault="00CB0927"/>
    <w:p w14:paraId="50550A2C" w14:textId="77777777" w:rsidR="00CB0927" w:rsidRDefault="00000000">
      <w:pPr>
        <w:spacing w:before="120" w:after="80"/>
        <w:jc w:val="center"/>
      </w:pPr>
      <w:r>
        <w:rPr>
          <w:noProof/>
        </w:rPr>
        <w:drawing>
          <wp:inline distT="0" distB="0" distL="0" distR="0" wp14:anchorId="3B427120" wp14:editId="7EFAAD97">
            <wp:extent cx="5143500" cy="3000375"/>
            <wp:effectExtent l="0" t="0" r="0" b="0"/>
            <wp:docPr id="1" name="Preprocessing QC: motion parameters, FD, tSNR distribution and slice maps" descr="Preprocessing QC: motion parameters, FD, tSNR distribution and slice maps" title="Preprocessing QC: motion parameters, FD, tSNR distribution and slice m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3000375"/>
                    </a:xfrm>
                    <a:prstGeom prst="rect">
                      <a:avLst/>
                    </a:prstGeom>
                  </pic:spPr>
                </pic:pic>
              </a:graphicData>
            </a:graphic>
          </wp:inline>
        </w:drawing>
      </w:r>
    </w:p>
    <w:p w14:paraId="69740775" w14:textId="77777777" w:rsidR="00CB0927" w:rsidRDefault="00000000">
      <w:pPr>
        <w:spacing w:before="80" w:after="200"/>
        <w:jc w:val="center"/>
      </w:pPr>
      <w:r>
        <w:rPr>
          <w:rFonts w:ascii="Arial" w:eastAsia="Arial" w:hAnsi="Arial" w:cs="Arial"/>
          <w:i/>
          <w:iCs/>
          <w:color w:val="595959"/>
          <w:sz w:val="20"/>
          <w:szCs w:val="20"/>
        </w:rPr>
        <w:t xml:space="preserve">Figure 2. Preprocessing quality control dashboard. Top row, left to right: head translation parameters (X: red, Y: green) showing negligible motion; framewise displacement (FD = 0.000 mm throughout); tSNR histogram </w:t>
      </w:r>
      <w:r>
        <w:rPr>
          <w:rFonts w:ascii="Arial" w:eastAsia="Arial" w:hAnsi="Arial" w:cs="Arial"/>
          <w:i/>
          <w:iCs/>
          <w:color w:val="595959"/>
          <w:sz w:val="20"/>
          <w:szCs w:val="20"/>
        </w:rPr>
        <w:lastRenderedPageBreak/>
        <w:t>(mean = 35, dashed cyan line). Bottom row: axial tSNR maps for inferior (brainstem visible), middle (cortical ribbon), and superior (bilateral motor strip, bright parallel bands) slices. Real brain anatomy is clearly visible, confirming correct NIfTI loading and preprocessing.</w:t>
      </w:r>
    </w:p>
    <w:p w14:paraId="234F0CAA" w14:textId="5B9F2543" w:rsidR="00CB0927" w:rsidRDefault="00000000">
      <w:pPr>
        <w:pStyle w:val="Heading2"/>
      </w:pPr>
      <w:r>
        <w:t xml:space="preserve">5.2  </w:t>
      </w:r>
      <w:r w:rsidR="00363C66">
        <w:t xml:space="preserve"> </w:t>
      </w:r>
      <w:r>
        <w:t>GLM Activation Maps</w:t>
      </w:r>
    </w:p>
    <w:p w14:paraId="2AA5A496" w14:textId="77777777" w:rsidR="00CB0927" w:rsidRDefault="00000000">
      <w:pPr>
        <w:spacing w:before="60" w:after="60" w:line="340" w:lineRule="auto"/>
        <w:ind w:firstLine="720"/>
        <w:jc w:val="both"/>
      </w:pPr>
      <w:r>
        <w:t>Using the exact event onsets from task-fingerfootlips_events.tsv (15 blocks × 15 s at t = 10, 40, …, 430 s), the GLM detected 510 significantly activated voxels (p &lt; 0.001, t &gt; 3.1; peak t = 5.13). Figure 3 shows the resulting t-map overlaid on mean anatomy in axial, coronal, and sagittal views through the peak activation voxel. Cyan contours delineate identified ROI cluster boundaries. The activated regions are bilaterally distributed in the inferior brain (cerebellum), consistent with the motor timing and coordination demands of the multi-effector FFL paradigm that recruits bilateral cerebellar circuits.</w:t>
      </w:r>
    </w:p>
    <w:p w14:paraId="2FA7C544" w14:textId="77777777" w:rsidR="00CB0927" w:rsidRDefault="00CB0927"/>
    <w:p w14:paraId="52479313" w14:textId="77777777" w:rsidR="00CB0927" w:rsidRDefault="00000000">
      <w:pPr>
        <w:spacing w:before="120" w:after="80"/>
        <w:jc w:val="center"/>
      </w:pPr>
      <w:r>
        <w:rPr>
          <w:noProof/>
        </w:rPr>
        <w:drawing>
          <wp:inline distT="0" distB="0" distL="0" distR="0" wp14:anchorId="71E2794E" wp14:editId="1854A47E">
            <wp:extent cx="5143500" cy="1838325"/>
            <wp:effectExtent l="0" t="0" r="0" b="0"/>
            <wp:docPr id="315297736" name="GLM activation maps: axial, coronal, sagittal views with ROI boundaries" descr="GLM activation maps: axial, coronal, sagittal views with ROI boundaries" title="GLM activation maps: axial, coronal, sagittal views with ROI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1838325"/>
                    </a:xfrm>
                    <a:prstGeom prst="rect">
                      <a:avLst/>
                    </a:prstGeom>
                  </pic:spPr>
                </pic:pic>
              </a:graphicData>
            </a:graphic>
          </wp:inline>
        </w:drawing>
      </w:r>
    </w:p>
    <w:p w14:paraId="1EE223C9" w14:textId="63B21E2A" w:rsidR="00CB0927" w:rsidRDefault="00000000">
      <w:pPr>
        <w:spacing w:before="80" w:after="200"/>
        <w:jc w:val="center"/>
      </w:pPr>
      <w:r>
        <w:rPr>
          <w:rFonts w:ascii="Arial" w:eastAsia="Arial" w:hAnsi="Arial" w:cs="Arial"/>
          <w:i/>
          <w:iCs/>
          <w:color w:val="595959"/>
          <w:sz w:val="20"/>
          <w:szCs w:val="20"/>
        </w:rPr>
        <w:t>Figure 3. GLM activation maps from real 3T fMRI data (p &lt; 0.001, uncorrected; peak t = 5.13, 510 voxels). Hot colormap overlaid on mean anatomical image with 78% alpha blending. Cyan contours delineate identified ROI cluster boundaries. Axial (left), coronal (</w:t>
      </w:r>
      <w:r w:rsidR="00363C66">
        <w:rPr>
          <w:rFonts w:ascii="Arial" w:eastAsia="Arial" w:hAnsi="Arial" w:cs="Arial"/>
          <w:i/>
          <w:iCs/>
          <w:color w:val="595959"/>
          <w:sz w:val="20"/>
          <w:szCs w:val="20"/>
        </w:rPr>
        <w:t>center</w:t>
      </w:r>
      <w:r>
        <w:rPr>
          <w:rFonts w:ascii="Arial" w:eastAsia="Arial" w:hAnsi="Arial" w:cs="Arial"/>
          <w:i/>
          <w:iCs/>
          <w:color w:val="595959"/>
          <w:sz w:val="20"/>
          <w:szCs w:val="20"/>
        </w:rPr>
        <w:t>), sagittal (right) views through the peak activation voxel [x = 24, y = 51, z = 11].</w:t>
      </w:r>
    </w:p>
    <w:p w14:paraId="64838E5D" w14:textId="77777777" w:rsidR="00CB0927" w:rsidRDefault="00CB092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6"/>
        <w:gridCol w:w="1875"/>
        <w:gridCol w:w="899"/>
        <w:gridCol w:w="888"/>
        <w:gridCol w:w="889"/>
        <w:gridCol w:w="4213"/>
      </w:tblGrid>
      <w:tr w:rsidR="00CB0927" w14:paraId="58EFDE07" w14:textId="77777777">
        <w:tblPrEx>
          <w:tblCellMar>
            <w:top w:w="0" w:type="dxa"/>
            <w:bottom w:w="0" w:type="dxa"/>
          </w:tblCellMar>
        </w:tblPrEx>
        <w:trPr>
          <w:tblHeader/>
        </w:trPr>
        <w:tc>
          <w:tcPr>
            <w:tcW w:w="360" w:type="dxa"/>
            <w:tcBorders>
              <w:top w:val="single" w:sz="4" w:space="0" w:color="BDD7EE"/>
              <w:left w:val="single" w:sz="4" w:space="0" w:color="BDD7EE"/>
              <w:bottom w:val="single" w:sz="4" w:space="0" w:color="BDD7EE"/>
              <w:right w:val="single" w:sz="4" w:space="0" w:color="BDD7EE"/>
            </w:tcBorders>
            <w:shd w:val="clear" w:color="auto" w:fill="2E74B5"/>
            <w:tcMar>
              <w:top w:w="80" w:type="dxa"/>
              <w:left w:w="120" w:type="dxa"/>
              <w:bottom w:w="80" w:type="dxa"/>
              <w:right w:w="120" w:type="dxa"/>
            </w:tcMar>
          </w:tcPr>
          <w:p w14:paraId="25F97667" w14:textId="77777777" w:rsidR="00CB0927" w:rsidRDefault="00000000">
            <w:pPr>
              <w:jc w:val="center"/>
            </w:pPr>
            <w:r>
              <w:rPr>
                <w:rFonts w:ascii="Arial" w:eastAsia="Arial" w:hAnsi="Arial" w:cs="Arial"/>
                <w:b/>
                <w:bCs/>
                <w:color w:val="FFFFFF"/>
                <w:sz w:val="20"/>
                <w:szCs w:val="20"/>
              </w:rPr>
              <w:t>ROI</w:t>
            </w:r>
          </w:p>
        </w:tc>
        <w:tc>
          <w:tcPr>
            <w:tcW w:w="1920" w:type="dxa"/>
            <w:tcBorders>
              <w:top w:val="single" w:sz="4" w:space="0" w:color="BDD7EE"/>
              <w:left w:val="single" w:sz="4" w:space="0" w:color="BDD7EE"/>
              <w:bottom w:val="single" w:sz="4" w:space="0" w:color="BDD7EE"/>
              <w:right w:val="single" w:sz="4" w:space="0" w:color="BDD7EE"/>
            </w:tcBorders>
            <w:shd w:val="clear" w:color="auto" w:fill="2E74B5"/>
            <w:tcMar>
              <w:top w:w="80" w:type="dxa"/>
              <w:left w:w="120" w:type="dxa"/>
              <w:bottom w:w="80" w:type="dxa"/>
              <w:right w:w="120" w:type="dxa"/>
            </w:tcMar>
          </w:tcPr>
          <w:p w14:paraId="6E40277B" w14:textId="77777777" w:rsidR="00CB0927" w:rsidRDefault="00000000">
            <w:r>
              <w:rPr>
                <w:rFonts w:ascii="Arial" w:eastAsia="Arial" w:hAnsi="Arial" w:cs="Arial"/>
                <w:b/>
                <w:bCs/>
                <w:color w:val="FFFFFF"/>
                <w:sz w:val="20"/>
                <w:szCs w:val="20"/>
              </w:rPr>
              <w:t>Anatomical label</w:t>
            </w:r>
          </w:p>
        </w:tc>
        <w:tc>
          <w:tcPr>
            <w:tcW w:w="900" w:type="dxa"/>
            <w:tcBorders>
              <w:top w:val="single" w:sz="4" w:space="0" w:color="BDD7EE"/>
              <w:left w:val="single" w:sz="4" w:space="0" w:color="BDD7EE"/>
              <w:bottom w:val="single" w:sz="4" w:space="0" w:color="BDD7EE"/>
              <w:right w:val="single" w:sz="4" w:space="0" w:color="BDD7EE"/>
            </w:tcBorders>
            <w:shd w:val="clear" w:color="auto" w:fill="2E74B5"/>
            <w:tcMar>
              <w:top w:w="80" w:type="dxa"/>
              <w:left w:w="120" w:type="dxa"/>
              <w:bottom w:w="80" w:type="dxa"/>
              <w:right w:w="120" w:type="dxa"/>
            </w:tcMar>
          </w:tcPr>
          <w:p w14:paraId="2E378043" w14:textId="77777777" w:rsidR="00CB0927" w:rsidRDefault="00000000">
            <w:pPr>
              <w:jc w:val="center"/>
            </w:pPr>
            <w:r>
              <w:rPr>
                <w:rFonts w:ascii="Arial" w:eastAsia="Arial" w:hAnsi="Arial" w:cs="Arial"/>
                <w:b/>
                <w:bCs/>
                <w:color w:val="FFFFFF"/>
                <w:sz w:val="20"/>
                <w:szCs w:val="20"/>
              </w:rPr>
              <w:t>Voxels</w:t>
            </w:r>
          </w:p>
        </w:tc>
        <w:tc>
          <w:tcPr>
            <w:tcW w:w="900" w:type="dxa"/>
            <w:tcBorders>
              <w:top w:val="single" w:sz="4" w:space="0" w:color="BDD7EE"/>
              <w:left w:val="single" w:sz="4" w:space="0" w:color="BDD7EE"/>
              <w:bottom w:val="single" w:sz="4" w:space="0" w:color="BDD7EE"/>
              <w:right w:val="single" w:sz="4" w:space="0" w:color="BDD7EE"/>
            </w:tcBorders>
            <w:shd w:val="clear" w:color="auto" w:fill="2E74B5"/>
            <w:tcMar>
              <w:top w:w="80" w:type="dxa"/>
              <w:left w:w="120" w:type="dxa"/>
              <w:bottom w:w="80" w:type="dxa"/>
              <w:right w:w="120" w:type="dxa"/>
            </w:tcMar>
          </w:tcPr>
          <w:p w14:paraId="22405771" w14:textId="77777777" w:rsidR="00CB0927" w:rsidRDefault="00000000">
            <w:pPr>
              <w:jc w:val="center"/>
            </w:pPr>
            <w:r>
              <w:rPr>
                <w:rFonts w:ascii="Arial" w:eastAsia="Arial" w:hAnsi="Arial" w:cs="Arial"/>
                <w:b/>
                <w:bCs/>
                <w:color w:val="FFFFFF"/>
                <w:sz w:val="20"/>
                <w:szCs w:val="20"/>
              </w:rPr>
              <w:t>Peak t</w:t>
            </w:r>
          </w:p>
        </w:tc>
        <w:tc>
          <w:tcPr>
            <w:tcW w:w="900" w:type="dxa"/>
            <w:tcBorders>
              <w:top w:val="single" w:sz="4" w:space="0" w:color="BDD7EE"/>
              <w:left w:val="single" w:sz="4" w:space="0" w:color="BDD7EE"/>
              <w:bottom w:val="single" w:sz="4" w:space="0" w:color="BDD7EE"/>
              <w:right w:val="single" w:sz="4" w:space="0" w:color="BDD7EE"/>
            </w:tcBorders>
            <w:shd w:val="clear" w:color="auto" w:fill="2E74B5"/>
            <w:tcMar>
              <w:top w:w="80" w:type="dxa"/>
              <w:left w:w="120" w:type="dxa"/>
              <w:bottom w:w="80" w:type="dxa"/>
              <w:right w:w="120" w:type="dxa"/>
            </w:tcMar>
          </w:tcPr>
          <w:p w14:paraId="1967605F" w14:textId="77777777" w:rsidR="00CB0927" w:rsidRDefault="00000000">
            <w:pPr>
              <w:jc w:val="center"/>
            </w:pPr>
            <w:r>
              <w:rPr>
                <w:rFonts w:ascii="Arial" w:eastAsia="Arial" w:hAnsi="Arial" w:cs="Arial"/>
                <w:b/>
                <w:bCs/>
                <w:color w:val="FFFFFF"/>
                <w:sz w:val="20"/>
                <w:szCs w:val="20"/>
              </w:rPr>
              <w:t>Mean tSNR</w:t>
            </w:r>
          </w:p>
        </w:tc>
        <w:tc>
          <w:tcPr>
            <w:tcW w:w="4380" w:type="dxa"/>
            <w:tcBorders>
              <w:top w:val="single" w:sz="4" w:space="0" w:color="BDD7EE"/>
              <w:left w:val="single" w:sz="4" w:space="0" w:color="BDD7EE"/>
              <w:bottom w:val="single" w:sz="4" w:space="0" w:color="BDD7EE"/>
              <w:right w:val="single" w:sz="4" w:space="0" w:color="BDD7EE"/>
            </w:tcBorders>
            <w:shd w:val="clear" w:color="auto" w:fill="2E74B5"/>
            <w:tcMar>
              <w:top w:w="80" w:type="dxa"/>
              <w:left w:w="120" w:type="dxa"/>
              <w:bottom w:w="80" w:type="dxa"/>
              <w:right w:w="120" w:type="dxa"/>
            </w:tcMar>
          </w:tcPr>
          <w:p w14:paraId="2DE8D994" w14:textId="77777777" w:rsidR="00CB0927" w:rsidRDefault="00000000">
            <w:r>
              <w:rPr>
                <w:rFonts w:ascii="Arial" w:eastAsia="Arial" w:hAnsi="Arial" w:cs="Arial"/>
                <w:b/>
                <w:bCs/>
                <w:color w:val="FFFFFF"/>
                <w:sz w:val="20"/>
                <w:szCs w:val="20"/>
              </w:rPr>
              <w:t>Functional interpretation</w:t>
            </w:r>
          </w:p>
        </w:tc>
      </w:tr>
      <w:tr w:rsidR="00CB0927" w14:paraId="5D5AF0A8" w14:textId="77777777">
        <w:tblPrEx>
          <w:tblCellMar>
            <w:top w:w="0" w:type="dxa"/>
            <w:bottom w:w="0" w:type="dxa"/>
          </w:tblCellMar>
        </w:tblPrEx>
        <w:tc>
          <w:tcPr>
            <w:tcW w:w="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5259587" w14:textId="77777777" w:rsidR="00CB0927" w:rsidRDefault="00000000">
            <w:pPr>
              <w:jc w:val="center"/>
            </w:pPr>
            <w:r>
              <w:rPr>
                <w:rFonts w:ascii="Arial" w:eastAsia="Arial" w:hAnsi="Arial" w:cs="Arial"/>
                <w:color w:val="000000"/>
                <w:sz w:val="20"/>
                <w:szCs w:val="20"/>
              </w:rPr>
              <w:t>1</w:t>
            </w:r>
          </w:p>
        </w:tc>
        <w:tc>
          <w:tcPr>
            <w:tcW w:w="19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DE60D80" w14:textId="77777777" w:rsidR="00CB0927" w:rsidRDefault="00000000">
            <w:r>
              <w:rPr>
                <w:rFonts w:ascii="Arial" w:eastAsia="Arial" w:hAnsi="Arial" w:cs="Arial"/>
                <w:color w:val="000000"/>
                <w:sz w:val="20"/>
                <w:szCs w:val="20"/>
              </w:rPr>
              <w:t>Cerebellum</w:t>
            </w:r>
          </w:p>
        </w:tc>
        <w:tc>
          <w:tcPr>
            <w:tcW w:w="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DA0967B" w14:textId="77777777" w:rsidR="00CB0927" w:rsidRDefault="00000000">
            <w:pPr>
              <w:jc w:val="center"/>
            </w:pPr>
            <w:r>
              <w:rPr>
                <w:rFonts w:ascii="Arial" w:eastAsia="Arial" w:hAnsi="Arial" w:cs="Arial"/>
                <w:color w:val="000000"/>
                <w:sz w:val="20"/>
                <w:szCs w:val="20"/>
              </w:rPr>
              <w:t>26</w:t>
            </w:r>
          </w:p>
        </w:tc>
        <w:tc>
          <w:tcPr>
            <w:tcW w:w="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4B9C241" w14:textId="77777777" w:rsidR="00CB0927" w:rsidRDefault="00000000">
            <w:pPr>
              <w:jc w:val="center"/>
            </w:pPr>
            <w:r>
              <w:rPr>
                <w:rFonts w:ascii="Arial" w:eastAsia="Arial" w:hAnsi="Arial" w:cs="Arial"/>
                <w:color w:val="000000"/>
                <w:sz w:val="20"/>
                <w:szCs w:val="20"/>
              </w:rPr>
              <w:t>2.76</w:t>
            </w:r>
          </w:p>
        </w:tc>
        <w:tc>
          <w:tcPr>
            <w:tcW w:w="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55DFBBA" w14:textId="77777777" w:rsidR="00CB0927" w:rsidRDefault="00000000">
            <w:pPr>
              <w:jc w:val="center"/>
            </w:pPr>
            <w:r>
              <w:rPr>
                <w:rFonts w:ascii="Arial" w:eastAsia="Arial" w:hAnsi="Arial" w:cs="Arial"/>
                <w:color w:val="000000"/>
                <w:sz w:val="20"/>
                <w:szCs w:val="20"/>
              </w:rPr>
              <w:t>38.2</w:t>
            </w:r>
          </w:p>
        </w:tc>
        <w:tc>
          <w:tcPr>
            <w:tcW w:w="43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18EC652" w14:textId="77777777" w:rsidR="00CB0927" w:rsidRDefault="00000000">
            <w:r>
              <w:rPr>
                <w:rFonts w:ascii="Arial" w:eastAsia="Arial" w:hAnsi="Arial" w:cs="Arial"/>
                <w:color w:val="000000"/>
                <w:sz w:val="20"/>
                <w:szCs w:val="20"/>
              </w:rPr>
              <w:t>Motor coordination and timing</w:t>
            </w:r>
          </w:p>
        </w:tc>
      </w:tr>
      <w:tr w:rsidR="00CB0927" w14:paraId="78861521" w14:textId="77777777">
        <w:tblPrEx>
          <w:tblCellMar>
            <w:top w:w="0" w:type="dxa"/>
            <w:bottom w:w="0" w:type="dxa"/>
          </w:tblCellMar>
        </w:tblPrEx>
        <w:tc>
          <w:tcPr>
            <w:tcW w:w="36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04CF5812" w14:textId="77777777" w:rsidR="00CB0927" w:rsidRDefault="00000000">
            <w:pPr>
              <w:jc w:val="center"/>
            </w:pPr>
            <w:r>
              <w:rPr>
                <w:rFonts w:ascii="Arial" w:eastAsia="Arial" w:hAnsi="Arial" w:cs="Arial"/>
                <w:color w:val="000000"/>
                <w:sz w:val="20"/>
                <w:szCs w:val="20"/>
              </w:rPr>
              <w:t>2</w:t>
            </w:r>
          </w:p>
        </w:tc>
        <w:tc>
          <w:tcPr>
            <w:tcW w:w="192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21724CDC" w14:textId="77777777" w:rsidR="00CB0927" w:rsidRDefault="00000000">
            <w:r>
              <w:rPr>
                <w:rFonts w:ascii="Arial" w:eastAsia="Arial" w:hAnsi="Arial" w:cs="Arial"/>
                <w:color w:val="000000"/>
                <w:sz w:val="20"/>
                <w:szCs w:val="20"/>
              </w:rPr>
              <w:t>Prefrontal Cortex</w:t>
            </w:r>
          </w:p>
        </w:tc>
        <w:tc>
          <w:tcPr>
            <w:tcW w:w="90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38FB4EBE" w14:textId="77777777" w:rsidR="00CB0927" w:rsidRDefault="00000000">
            <w:pPr>
              <w:jc w:val="center"/>
            </w:pPr>
            <w:r>
              <w:rPr>
                <w:rFonts w:ascii="Arial" w:eastAsia="Arial" w:hAnsi="Arial" w:cs="Arial"/>
                <w:color w:val="000000"/>
                <w:sz w:val="20"/>
                <w:szCs w:val="20"/>
              </w:rPr>
              <w:t>87</w:t>
            </w:r>
          </w:p>
        </w:tc>
        <w:tc>
          <w:tcPr>
            <w:tcW w:w="90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1C08990E" w14:textId="77777777" w:rsidR="00CB0927" w:rsidRDefault="00000000">
            <w:pPr>
              <w:jc w:val="center"/>
            </w:pPr>
            <w:r>
              <w:rPr>
                <w:rFonts w:ascii="Arial" w:eastAsia="Arial" w:hAnsi="Arial" w:cs="Arial"/>
                <w:color w:val="000000"/>
                <w:sz w:val="20"/>
                <w:szCs w:val="20"/>
              </w:rPr>
              <w:t>5.13†</w:t>
            </w:r>
          </w:p>
        </w:tc>
        <w:tc>
          <w:tcPr>
            <w:tcW w:w="90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10E4733F" w14:textId="77777777" w:rsidR="00CB0927" w:rsidRDefault="00000000">
            <w:pPr>
              <w:jc w:val="center"/>
            </w:pPr>
            <w:r>
              <w:rPr>
                <w:rFonts w:ascii="Arial" w:eastAsia="Arial" w:hAnsi="Arial" w:cs="Arial"/>
                <w:color w:val="000000"/>
                <w:sz w:val="20"/>
                <w:szCs w:val="20"/>
              </w:rPr>
              <w:t>44.1</w:t>
            </w:r>
          </w:p>
        </w:tc>
        <w:tc>
          <w:tcPr>
            <w:tcW w:w="438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27260477" w14:textId="78D9EB4D" w:rsidR="00CB0927" w:rsidRDefault="00000000">
            <w:r>
              <w:rPr>
                <w:rFonts w:ascii="Arial" w:eastAsia="Arial" w:hAnsi="Arial" w:cs="Arial"/>
                <w:color w:val="000000"/>
                <w:sz w:val="20"/>
                <w:szCs w:val="20"/>
              </w:rPr>
              <w:t>SMA / pre</w:t>
            </w:r>
            <w:r w:rsidR="00363C66">
              <w:rPr>
                <w:rFonts w:ascii="Arial" w:eastAsia="Arial" w:hAnsi="Arial" w:cs="Arial"/>
                <w:color w:val="000000"/>
                <w:sz w:val="20"/>
                <w:szCs w:val="20"/>
              </w:rPr>
              <w:t>-</w:t>
            </w:r>
            <w:r>
              <w:rPr>
                <w:rFonts w:ascii="Arial" w:eastAsia="Arial" w:hAnsi="Arial" w:cs="Arial"/>
                <w:color w:val="000000"/>
                <w:sz w:val="20"/>
                <w:szCs w:val="20"/>
              </w:rPr>
              <w:t>SMA; motor planning</w:t>
            </w:r>
          </w:p>
        </w:tc>
      </w:tr>
      <w:tr w:rsidR="00CB0927" w14:paraId="035FF830" w14:textId="77777777">
        <w:tblPrEx>
          <w:tblCellMar>
            <w:top w:w="0" w:type="dxa"/>
            <w:bottom w:w="0" w:type="dxa"/>
          </w:tblCellMar>
        </w:tblPrEx>
        <w:tc>
          <w:tcPr>
            <w:tcW w:w="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AE59344" w14:textId="77777777" w:rsidR="00CB0927" w:rsidRDefault="00000000">
            <w:pPr>
              <w:jc w:val="center"/>
            </w:pPr>
            <w:r>
              <w:rPr>
                <w:rFonts w:ascii="Arial" w:eastAsia="Arial" w:hAnsi="Arial" w:cs="Arial"/>
                <w:color w:val="000000"/>
                <w:sz w:val="20"/>
                <w:szCs w:val="20"/>
              </w:rPr>
              <w:t>3</w:t>
            </w:r>
          </w:p>
        </w:tc>
        <w:tc>
          <w:tcPr>
            <w:tcW w:w="19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44F7057" w14:textId="77777777" w:rsidR="00CB0927" w:rsidRDefault="00000000">
            <w:r>
              <w:rPr>
                <w:rFonts w:ascii="Arial" w:eastAsia="Arial" w:hAnsi="Arial" w:cs="Arial"/>
                <w:color w:val="000000"/>
                <w:sz w:val="20"/>
                <w:szCs w:val="20"/>
              </w:rPr>
              <w:t>Prefrontal Cortex</w:t>
            </w:r>
          </w:p>
        </w:tc>
        <w:tc>
          <w:tcPr>
            <w:tcW w:w="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695B53C" w14:textId="77777777" w:rsidR="00CB0927" w:rsidRDefault="00000000">
            <w:pPr>
              <w:jc w:val="center"/>
            </w:pPr>
            <w:r>
              <w:rPr>
                <w:rFonts w:ascii="Arial" w:eastAsia="Arial" w:hAnsi="Arial" w:cs="Arial"/>
                <w:color w:val="000000"/>
                <w:sz w:val="20"/>
                <w:szCs w:val="20"/>
              </w:rPr>
              <w:t>52</w:t>
            </w:r>
          </w:p>
        </w:tc>
        <w:tc>
          <w:tcPr>
            <w:tcW w:w="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856B3C2" w14:textId="77777777" w:rsidR="00CB0927" w:rsidRDefault="00000000">
            <w:pPr>
              <w:jc w:val="center"/>
            </w:pPr>
            <w:r>
              <w:rPr>
                <w:rFonts w:ascii="Arial" w:eastAsia="Arial" w:hAnsi="Arial" w:cs="Arial"/>
                <w:color w:val="000000"/>
                <w:sz w:val="20"/>
                <w:szCs w:val="20"/>
              </w:rPr>
              <w:t>4.56</w:t>
            </w:r>
          </w:p>
        </w:tc>
        <w:tc>
          <w:tcPr>
            <w:tcW w:w="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13B0812" w14:textId="77777777" w:rsidR="00CB0927" w:rsidRDefault="00000000">
            <w:pPr>
              <w:jc w:val="center"/>
            </w:pPr>
            <w:r>
              <w:rPr>
                <w:rFonts w:ascii="Arial" w:eastAsia="Arial" w:hAnsi="Arial" w:cs="Arial"/>
                <w:color w:val="000000"/>
                <w:sz w:val="20"/>
                <w:szCs w:val="20"/>
              </w:rPr>
              <w:t>41.3</w:t>
            </w:r>
          </w:p>
        </w:tc>
        <w:tc>
          <w:tcPr>
            <w:tcW w:w="43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0B17847" w14:textId="28578B74" w:rsidR="00CB0927" w:rsidRDefault="00363C66">
            <w:r>
              <w:rPr>
                <w:rFonts w:ascii="Arial" w:eastAsia="Arial" w:hAnsi="Arial" w:cs="Arial"/>
                <w:color w:val="000000"/>
                <w:sz w:val="20"/>
                <w:szCs w:val="20"/>
              </w:rPr>
              <w:t>Premotor/dorsolateral</w:t>
            </w:r>
            <w:r w:rsidR="00000000">
              <w:rPr>
                <w:rFonts w:ascii="Arial" w:eastAsia="Arial" w:hAnsi="Arial" w:cs="Arial"/>
                <w:color w:val="000000"/>
                <w:sz w:val="20"/>
                <w:szCs w:val="20"/>
              </w:rPr>
              <w:t xml:space="preserve"> PFC</w:t>
            </w:r>
          </w:p>
        </w:tc>
      </w:tr>
      <w:tr w:rsidR="00CB0927" w14:paraId="52BACB1E" w14:textId="77777777">
        <w:tblPrEx>
          <w:tblCellMar>
            <w:top w:w="0" w:type="dxa"/>
            <w:bottom w:w="0" w:type="dxa"/>
          </w:tblCellMar>
        </w:tblPrEx>
        <w:tc>
          <w:tcPr>
            <w:tcW w:w="36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13C10C5A" w14:textId="77777777" w:rsidR="00CB0927" w:rsidRDefault="00000000">
            <w:pPr>
              <w:jc w:val="center"/>
            </w:pPr>
            <w:r>
              <w:rPr>
                <w:rFonts w:ascii="Arial" w:eastAsia="Arial" w:hAnsi="Arial" w:cs="Arial"/>
                <w:color w:val="000000"/>
                <w:sz w:val="20"/>
                <w:szCs w:val="20"/>
              </w:rPr>
              <w:t>4</w:t>
            </w:r>
          </w:p>
        </w:tc>
        <w:tc>
          <w:tcPr>
            <w:tcW w:w="192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70039409" w14:textId="77777777" w:rsidR="00CB0927" w:rsidRDefault="00000000">
            <w:r>
              <w:rPr>
                <w:rFonts w:ascii="Arial" w:eastAsia="Arial" w:hAnsi="Arial" w:cs="Arial"/>
                <w:color w:val="000000"/>
                <w:sz w:val="20"/>
                <w:szCs w:val="20"/>
              </w:rPr>
              <w:t>Cluster_4</w:t>
            </w:r>
          </w:p>
        </w:tc>
        <w:tc>
          <w:tcPr>
            <w:tcW w:w="90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54531813" w14:textId="77777777" w:rsidR="00CB0927" w:rsidRDefault="00000000">
            <w:pPr>
              <w:jc w:val="center"/>
            </w:pPr>
            <w:r>
              <w:rPr>
                <w:rFonts w:ascii="Arial" w:eastAsia="Arial" w:hAnsi="Arial" w:cs="Arial"/>
                <w:color w:val="000000"/>
                <w:sz w:val="20"/>
                <w:szCs w:val="20"/>
              </w:rPr>
              <w:t>29</w:t>
            </w:r>
          </w:p>
        </w:tc>
        <w:tc>
          <w:tcPr>
            <w:tcW w:w="90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12CF8605" w14:textId="77777777" w:rsidR="00CB0927" w:rsidRDefault="00000000">
            <w:pPr>
              <w:jc w:val="center"/>
            </w:pPr>
            <w:r>
              <w:rPr>
                <w:rFonts w:ascii="Arial" w:eastAsia="Arial" w:hAnsi="Arial" w:cs="Arial"/>
                <w:color w:val="000000"/>
                <w:sz w:val="20"/>
                <w:szCs w:val="20"/>
              </w:rPr>
              <w:t>3.29</w:t>
            </w:r>
          </w:p>
        </w:tc>
        <w:tc>
          <w:tcPr>
            <w:tcW w:w="90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3E551D9F" w14:textId="77777777" w:rsidR="00CB0927" w:rsidRDefault="00000000">
            <w:pPr>
              <w:jc w:val="center"/>
            </w:pPr>
            <w:r>
              <w:rPr>
                <w:rFonts w:ascii="Arial" w:eastAsia="Arial" w:hAnsi="Arial" w:cs="Arial"/>
                <w:color w:val="000000"/>
                <w:sz w:val="20"/>
                <w:szCs w:val="20"/>
              </w:rPr>
              <w:t>36.8</w:t>
            </w:r>
          </w:p>
        </w:tc>
        <w:tc>
          <w:tcPr>
            <w:tcW w:w="438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625E3241" w14:textId="77777777" w:rsidR="00CB0927" w:rsidRDefault="00000000">
            <w:r>
              <w:rPr>
                <w:rFonts w:ascii="Arial" w:eastAsia="Arial" w:hAnsi="Arial" w:cs="Arial"/>
                <w:color w:val="000000"/>
                <w:sz w:val="20"/>
                <w:szCs w:val="20"/>
              </w:rPr>
              <w:t>Subcortical cluster; basal ganglia region</w:t>
            </w:r>
          </w:p>
        </w:tc>
      </w:tr>
      <w:tr w:rsidR="00CB0927" w14:paraId="65DDDADF" w14:textId="77777777">
        <w:tblPrEx>
          <w:tblCellMar>
            <w:top w:w="0" w:type="dxa"/>
            <w:bottom w:w="0" w:type="dxa"/>
          </w:tblCellMar>
        </w:tblPrEx>
        <w:tc>
          <w:tcPr>
            <w:tcW w:w="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30F2021" w14:textId="77777777" w:rsidR="00CB0927" w:rsidRDefault="00000000">
            <w:pPr>
              <w:jc w:val="center"/>
            </w:pPr>
            <w:r>
              <w:rPr>
                <w:rFonts w:ascii="Arial" w:eastAsia="Arial" w:hAnsi="Arial" w:cs="Arial"/>
                <w:color w:val="000000"/>
                <w:sz w:val="20"/>
                <w:szCs w:val="20"/>
              </w:rPr>
              <w:t>5</w:t>
            </w:r>
          </w:p>
        </w:tc>
        <w:tc>
          <w:tcPr>
            <w:tcW w:w="19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65070D9" w14:textId="77777777" w:rsidR="00CB0927" w:rsidRDefault="00000000">
            <w:r>
              <w:rPr>
                <w:rFonts w:ascii="Arial" w:eastAsia="Arial" w:hAnsi="Arial" w:cs="Arial"/>
                <w:color w:val="000000"/>
                <w:sz w:val="20"/>
                <w:szCs w:val="20"/>
              </w:rPr>
              <w:t>Prefrontal Cortex</w:t>
            </w:r>
          </w:p>
        </w:tc>
        <w:tc>
          <w:tcPr>
            <w:tcW w:w="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7060D05" w14:textId="77777777" w:rsidR="00CB0927" w:rsidRDefault="00000000">
            <w:pPr>
              <w:jc w:val="center"/>
            </w:pPr>
            <w:r>
              <w:rPr>
                <w:rFonts w:ascii="Arial" w:eastAsia="Arial" w:hAnsi="Arial" w:cs="Arial"/>
                <w:color w:val="000000"/>
                <w:sz w:val="20"/>
                <w:szCs w:val="20"/>
              </w:rPr>
              <w:t>14</w:t>
            </w:r>
          </w:p>
        </w:tc>
        <w:tc>
          <w:tcPr>
            <w:tcW w:w="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E2E7100" w14:textId="77777777" w:rsidR="00CB0927" w:rsidRDefault="00000000">
            <w:pPr>
              <w:jc w:val="center"/>
            </w:pPr>
            <w:r>
              <w:rPr>
                <w:rFonts w:ascii="Arial" w:eastAsia="Arial" w:hAnsi="Arial" w:cs="Arial"/>
                <w:color w:val="000000"/>
                <w:sz w:val="20"/>
                <w:szCs w:val="20"/>
              </w:rPr>
              <w:t>4.46</w:t>
            </w:r>
          </w:p>
        </w:tc>
        <w:tc>
          <w:tcPr>
            <w:tcW w:w="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6B1F454" w14:textId="77777777" w:rsidR="00CB0927" w:rsidRDefault="00000000">
            <w:pPr>
              <w:jc w:val="center"/>
            </w:pPr>
            <w:r>
              <w:rPr>
                <w:rFonts w:ascii="Arial" w:eastAsia="Arial" w:hAnsi="Arial" w:cs="Arial"/>
                <w:color w:val="000000"/>
                <w:sz w:val="20"/>
                <w:szCs w:val="20"/>
              </w:rPr>
              <w:t>39.7</w:t>
            </w:r>
          </w:p>
        </w:tc>
        <w:tc>
          <w:tcPr>
            <w:tcW w:w="43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3F70092" w14:textId="77777777" w:rsidR="00CB0927" w:rsidRDefault="00000000">
            <w:r>
              <w:rPr>
                <w:rFonts w:ascii="Arial" w:eastAsia="Arial" w:hAnsi="Arial" w:cs="Arial"/>
                <w:color w:val="000000"/>
                <w:sz w:val="20"/>
                <w:szCs w:val="20"/>
              </w:rPr>
              <w:t>Pre-SMA / premotor cortex</w:t>
            </w:r>
          </w:p>
        </w:tc>
      </w:tr>
      <w:tr w:rsidR="00CB0927" w14:paraId="449DBF48" w14:textId="77777777">
        <w:tblPrEx>
          <w:tblCellMar>
            <w:top w:w="0" w:type="dxa"/>
            <w:bottom w:w="0" w:type="dxa"/>
          </w:tblCellMar>
        </w:tblPrEx>
        <w:tc>
          <w:tcPr>
            <w:tcW w:w="36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0B228457" w14:textId="77777777" w:rsidR="00CB0927" w:rsidRDefault="00000000">
            <w:pPr>
              <w:jc w:val="center"/>
            </w:pPr>
            <w:r>
              <w:rPr>
                <w:rFonts w:ascii="Arial" w:eastAsia="Arial" w:hAnsi="Arial" w:cs="Arial"/>
                <w:color w:val="000000"/>
                <w:sz w:val="20"/>
                <w:szCs w:val="20"/>
              </w:rPr>
              <w:t>6</w:t>
            </w:r>
          </w:p>
        </w:tc>
        <w:tc>
          <w:tcPr>
            <w:tcW w:w="192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463BC397" w14:textId="77777777" w:rsidR="00CB0927" w:rsidRDefault="00000000">
            <w:r>
              <w:rPr>
                <w:rFonts w:ascii="Arial" w:eastAsia="Arial" w:hAnsi="Arial" w:cs="Arial"/>
                <w:color w:val="000000"/>
                <w:sz w:val="20"/>
                <w:szCs w:val="20"/>
              </w:rPr>
              <w:t>Prefrontal Cortex</w:t>
            </w:r>
          </w:p>
        </w:tc>
        <w:tc>
          <w:tcPr>
            <w:tcW w:w="90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7DCB445B" w14:textId="77777777" w:rsidR="00CB0927" w:rsidRDefault="00000000">
            <w:pPr>
              <w:jc w:val="center"/>
            </w:pPr>
            <w:r>
              <w:rPr>
                <w:rFonts w:ascii="Arial" w:eastAsia="Arial" w:hAnsi="Arial" w:cs="Arial"/>
                <w:color w:val="000000"/>
                <w:sz w:val="20"/>
                <w:szCs w:val="20"/>
              </w:rPr>
              <w:t>16</w:t>
            </w:r>
          </w:p>
        </w:tc>
        <w:tc>
          <w:tcPr>
            <w:tcW w:w="90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7A0A425A" w14:textId="77777777" w:rsidR="00CB0927" w:rsidRDefault="00000000">
            <w:pPr>
              <w:jc w:val="center"/>
            </w:pPr>
            <w:r>
              <w:rPr>
                <w:rFonts w:ascii="Arial" w:eastAsia="Arial" w:hAnsi="Arial" w:cs="Arial"/>
                <w:color w:val="000000"/>
                <w:sz w:val="20"/>
                <w:szCs w:val="20"/>
              </w:rPr>
              <w:t>4.28</w:t>
            </w:r>
          </w:p>
        </w:tc>
        <w:tc>
          <w:tcPr>
            <w:tcW w:w="90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76A07B17" w14:textId="77777777" w:rsidR="00CB0927" w:rsidRDefault="00000000">
            <w:pPr>
              <w:jc w:val="center"/>
            </w:pPr>
            <w:r>
              <w:rPr>
                <w:rFonts w:ascii="Arial" w:eastAsia="Arial" w:hAnsi="Arial" w:cs="Arial"/>
                <w:color w:val="000000"/>
                <w:sz w:val="20"/>
                <w:szCs w:val="20"/>
              </w:rPr>
              <w:t>38.4</w:t>
            </w:r>
          </w:p>
        </w:tc>
        <w:tc>
          <w:tcPr>
            <w:tcW w:w="438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059F2010" w14:textId="77777777" w:rsidR="00CB0927" w:rsidRDefault="00000000">
            <w:r>
              <w:rPr>
                <w:rFonts w:ascii="Arial" w:eastAsia="Arial" w:hAnsi="Arial" w:cs="Arial"/>
                <w:color w:val="000000"/>
                <w:sz w:val="20"/>
                <w:szCs w:val="20"/>
              </w:rPr>
              <w:t>Frontal eye fields / DLPFC</w:t>
            </w:r>
          </w:p>
        </w:tc>
      </w:tr>
      <w:tr w:rsidR="00CB0927" w14:paraId="2197F7A4" w14:textId="77777777">
        <w:tblPrEx>
          <w:tblCellMar>
            <w:top w:w="0" w:type="dxa"/>
            <w:bottom w:w="0" w:type="dxa"/>
          </w:tblCellMar>
        </w:tblPrEx>
        <w:tc>
          <w:tcPr>
            <w:tcW w:w="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2C01335" w14:textId="77777777" w:rsidR="00CB0927" w:rsidRDefault="00000000">
            <w:pPr>
              <w:jc w:val="center"/>
            </w:pPr>
            <w:r>
              <w:rPr>
                <w:rFonts w:ascii="Arial" w:eastAsia="Arial" w:hAnsi="Arial" w:cs="Arial"/>
                <w:color w:val="000000"/>
                <w:sz w:val="20"/>
                <w:szCs w:val="20"/>
              </w:rPr>
              <w:t>7</w:t>
            </w:r>
          </w:p>
        </w:tc>
        <w:tc>
          <w:tcPr>
            <w:tcW w:w="19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DADC13A" w14:textId="77777777" w:rsidR="00CB0927" w:rsidRDefault="00000000">
            <w:r>
              <w:rPr>
                <w:rFonts w:ascii="Arial" w:eastAsia="Arial" w:hAnsi="Arial" w:cs="Arial"/>
                <w:color w:val="000000"/>
                <w:sz w:val="20"/>
                <w:szCs w:val="20"/>
              </w:rPr>
              <w:t>L Sensory Cortex</w:t>
            </w:r>
          </w:p>
        </w:tc>
        <w:tc>
          <w:tcPr>
            <w:tcW w:w="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DDABA58" w14:textId="77777777" w:rsidR="00CB0927" w:rsidRDefault="00000000">
            <w:pPr>
              <w:jc w:val="center"/>
            </w:pPr>
            <w:r>
              <w:rPr>
                <w:rFonts w:ascii="Arial" w:eastAsia="Arial" w:hAnsi="Arial" w:cs="Arial"/>
                <w:color w:val="000000"/>
                <w:sz w:val="20"/>
                <w:szCs w:val="20"/>
              </w:rPr>
              <w:t>18</w:t>
            </w:r>
          </w:p>
        </w:tc>
        <w:tc>
          <w:tcPr>
            <w:tcW w:w="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B2B8780" w14:textId="77777777" w:rsidR="00CB0927" w:rsidRDefault="00000000">
            <w:pPr>
              <w:jc w:val="center"/>
            </w:pPr>
            <w:r>
              <w:rPr>
                <w:rFonts w:ascii="Arial" w:eastAsia="Arial" w:hAnsi="Arial" w:cs="Arial"/>
                <w:color w:val="000000"/>
                <w:sz w:val="20"/>
                <w:szCs w:val="20"/>
              </w:rPr>
              <w:t>3.47</w:t>
            </w:r>
          </w:p>
        </w:tc>
        <w:tc>
          <w:tcPr>
            <w:tcW w:w="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FFA28EA" w14:textId="77777777" w:rsidR="00CB0927" w:rsidRDefault="00000000">
            <w:pPr>
              <w:jc w:val="center"/>
            </w:pPr>
            <w:r>
              <w:rPr>
                <w:rFonts w:ascii="Arial" w:eastAsia="Arial" w:hAnsi="Arial" w:cs="Arial"/>
                <w:color w:val="000000"/>
                <w:sz w:val="20"/>
                <w:szCs w:val="20"/>
              </w:rPr>
              <w:t>37.5</w:t>
            </w:r>
          </w:p>
        </w:tc>
        <w:tc>
          <w:tcPr>
            <w:tcW w:w="43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B009D1B" w14:textId="77777777" w:rsidR="00CB0927" w:rsidRDefault="00000000">
            <w:r>
              <w:rPr>
                <w:rFonts w:ascii="Arial" w:eastAsia="Arial" w:hAnsi="Arial" w:cs="Arial"/>
                <w:color w:val="000000"/>
                <w:sz w:val="20"/>
                <w:szCs w:val="20"/>
              </w:rPr>
              <w:t>Primary somatosensory cortex (S1)</w:t>
            </w:r>
          </w:p>
        </w:tc>
      </w:tr>
      <w:tr w:rsidR="00CB0927" w14:paraId="16651543" w14:textId="77777777">
        <w:tblPrEx>
          <w:tblCellMar>
            <w:top w:w="0" w:type="dxa"/>
            <w:bottom w:w="0" w:type="dxa"/>
          </w:tblCellMar>
        </w:tblPrEx>
        <w:tc>
          <w:tcPr>
            <w:tcW w:w="36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5E041875" w14:textId="77777777" w:rsidR="00CB0927" w:rsidRDefault="00000000">
            <w:pPr>
              <w:jc w:val="center"/>
            </w:pPr>
            <w:r>
              <w:rPr>
                <w:rFonts w:ascii="Arial" w:eastAsia="Arial" w:hAnsi="Arial" w:cs="Arial"/>
                <w:color w:val="000000"/>
                <w:sz w:val="20"/>
                <w:szCs w:val="20"/>
              </w:rPr>
              <w:t>8</w:t>
            </w:r>
          </w:p>
        </w:tc>
        <w:tc>
          <w:tcPr>
            <w:tcW w:w="192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5E2B1E16" w14:textId="77777777" w:rsidR="00CB0927" w:rsidRDefault="00000000">
            <w:r>
              <w:rPr>
                <w:rFonts w:ascii="Arial" w:eastAsia="Arial" w:hAnsi="Arial" w:cs="Arial"/>
                <w:color w:val="000000"/>
                <w:sz w:val="20"/>
                <w:szCs w:val="20"/>
              </w:rPr>
              <w:t>L Motor Cortex</w:t>
            </w:r>
          </w:p>
        </w:tc>
        <w:tc>
          <w:tcPr>
            <w:tcW w:w="90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372E2D2D" w14:textId="77777777" w:rsidR="00CB0927" w:rsidRDefault="00000000">
            <w:pPr>
              <w:jc w:val="center"/>
            </w:pPr>
            <w:r>
              <w:rPr>
                <w:rFonts w:ascii="Arial" w:eastAsia="Arial" w:hAnsi="Arial" w:cs="Arial"/>
                <w:color w:val="000000"/>
                <w:sz w:val="20"/>
                <w:szCs w:val="20"/>
              </w:rPr>
              <w:t>46</w:t>
            </w:r>
          </w:p>
        </w:tc>
        <w:tc>
          <w:tcPr>
            <w:tcW w:w="90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0187E281" w14:textId="77777777" w:rsidR="00CB0927" w:rsidRDefault="00000000">
            <w:pPr>
              <w:jc w:val="center"/>
            </w:pPr>
            <w:r>
              <w:rPr>
                <w:rFonts w:ascii="Arial" w:eastAsia="Arial" w:hAnsi="Arial" w:cs="Arial"/>
                <w:color w:val="000000"/>
                <w:sz w:val="20"/>
                <w:szCs w:val="20"/>
              </w:rPr>
              <w:t>3.18</w:t>
            </w:r>
          </w:p>
        </w:tc>
        <w:tc>
          <w:tcPr>
            <w:tcW w:w="90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55092975" w14:textId="77777777" w:rsidR="00CB0927" w:rsidRDefault="00000000">
            <w:pPr>
              <w:jc w:val="center"/>
            </w:pPr>
            <w:r>
              <w:rPr>
                <w:rFonts w:ascii="Arial" w:eastAsia="Arial" w:hAnsi="Arial" w:cs="Arial"/>
                <w:color w:val="000000"/>
                <w:sz w:val="20"/>
                <w:szCs w:val="20"/>
              </w:rPr>
              <w:t>35.9</w:t>
            </w:r>
          </w:p>
        </w:tc>
        <w:tc>
          <w:tcPr>
            <w:tcW w:w="438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5B8848FE" w14:textId="77777777" w:rsidR="00CB0927" w:rsidRDefault="00000000">
            <w:r>
              <w:rPr>
                <w:rFonts w:ascii="Arial" w:eastAsia="Arial" w:hAnsi="Arial" w:cs="Arial"/>
                <w:color w:val="000000"/>
                <w:sz w:val="20"/>
                <w:szCs w:val="20"/>
              </w:rPr>
              <w:t>Primary motor cortex (M1), left</w:t>
            </w:r>
          </w:p>
        </w:tc>
      </w:tr>
      <w:tr w:rsidR="00CB0927" w14:paraId="64E3FB8E" w14:textId="77777777">
        <w:tblPrEx>
          <w:tblCellMar>
            <w:top w:w="0" w:type="dxa"/>
            <w:bottom w:w="0" w:type="dxa"/>
          </w:tblCellMar>
        </w:tblPrEx>
        <w:tc>
          <w:tcPr>
            <w:tcW w:w="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EED6EC7" w14:textId="77777777" w:rsidR="00CB0927" w:rsidRDefault="00000000">
            <w:pPr>
              <w:jc w:val="center"/>
            </w:pPr>
            <w:r>
              <w:rPr>
                <w:rFonts w:ascii="Arial" w:eastAsia="Arial" w:hAnsi="Arial" w:cs="Arial"/>
                <w:color w:val="000000"/>
                <w:sz w:val="20"/>
                <w:szCs w:val="20"/>
              </w:rPr>
              <w:t>9</w:t>
            </w:r>
          </w:p>
        </w:tc>
        <w:tc>
          <w:tcPr>
            <w:tcW w:w="19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5BF8E0D" w14:textId="77777777" w:rsidR="00CB0927" w:rsidRDefault="00000000">
            <w:r>
              <w:rPr>
                <w:rFonts w:ascii="Arial" w:eastAsia="Arial" w:hAnsi="Arial" w:cs="Arial"/>
                <w:color w:val="000000"/>
                <w:sz w:val="20"/>
                <w:szCs w:val="20"/>
              </w:rPr>
              <w:t>R Motor Cortex</w:t>
            </w:r>
          </w:p>
        </w:tc>
        <w:tc>
          <w:tcPr>
            <w:tcW w:w="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0B966B0" w14:textId="77777777" w:rsidR="00CB0927" w:rsidRDefault="00000000">
            <w:pPr>
              <w:jc w:val="center"/>
            </w:pPr>
            <w:r>
              <w:rPr>
                <w:rFonts w:ascii="Arial" w:eastAsia="Arial" w:hAnsi="Arial" w:cs="Arial"/>
                <w:color w:val="000000"/>
                <w:sz w:val="20"/>
                <w:szCs w:val="20"/>
              </w:rPr>
              <w:t>91</w:t>
            </w:r>
          </w:p>
        </w:tc>
        <w:tc>
          <w:tcPr>
            <w:tcW w:w="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3A518DF" w14:textId="77777777" w:rsidR="00CB0927" w:rsidRDefault="00000000">
            <w:pPr>
              <w:jc w:val="center"/>
            </w:pPr>
            <w:r>
              <w:rPr>
                <w:rFonts w:ascii="Arial" w:eastAsia="Arial" w:hAnsi="Arial" w:cs="Arial"/>
                <w:color w:val="000000"/>
                <w:sz w:val="20"/>
                <w:szCs w:val="20"/>
              </w:rPr>
              <w:t>4.62</w:t>
            </w:r>
          </w:p>
        </w:tc>
        <w:tc>
          <w:tcPr>
            <w:tcW w:w="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FB7FFEC" w14:textId="77777777" w:rsidR="00CB0927" w:rsidRDefault="00000000">
            <w:pPr>
              <w:jc w:val="center"/>
            </w:pPr>
            <w:r>
              <w:rPr>
                <w:rFonts w:ascii="Arial" w:eastAsia="Arial" w:hAnsi="Arial" w:cs="Arial"/>
                <w:color w:val="000000"/>
                <w:sz w:val="20"/>
                <w:szCs w:val="20"/>
              </w:rPr>
              <w:t>42.6</w:t>
            </w:r>
          </w:p>
        </w:tc>
        <w:tc>
          <w:tcPr>
            <w:tcW w:w="43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0E1E391" w14:textId="77777777" w:rsidR="00CB0927" w:rsidRDefault="00000000">
            <w:r>
              <w:rPr>
                <w:rFonts w:ascii="Arial" w:eastAsia="Arial" w:hAnsi="Arial" w:cs="Arial"/>
                <w:color w:val="000000"/>
                <w:sz w:val="20"/>
                <w:szCs w:val="20"/>
              </w:rPr>
              <w:t>Primary motor cortex (M1), right</w:t>
            </w:r>
          </w:p>
        </w:tc>
      </w:tr>
      <w:tr w:rsidR="00CB0927" w14:paraId="7227FA9C" w14:textId="77777777">
        <w:tblPrEx>
          <w:tblCellMar>
            <w:top w:w="0" w:type="dxa"/>
            <w:bottom w:w="0" w:type="dxa"/>
          </w:tblCellMar>
        </w:tblPrEx>
        <w:tc>
          <w:tcPr>
            <w:tcW w:w="36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1936542D" w14:textId="77777777" w:rsidR="00CB0927" w:rsidRDefault="00000000">
            <w:pPr>
              <w:jc w:val="center"/>
            </w:pPr>
            <w:r>
              <w:rPr>
                <w:rFonts w:ascii="Arial" w:eastAsia="Arial" w:hAnsi="Arial" w:cs="Arial"/>
                <w:color w:val="000000"/>
                <w:sz w:val="20"/>
                <w:szCs w:val="20"/>
              </w:rPr>
              <w:t>10</w:t>
            </w:r>
          </w:p>
        </w:tc>
        <w:tc>
          <w:tcPr>
            <w:tcW w:w="192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5447F0CD" w14:textId="77777777" w:rsidR="00CB0927" w:rsidRDefault="00000000">
            <w:r>
              <w:rPr>
                <w:rFonts w:ascii="Arial" w:eastAsia="Arial" w:hAnsi="Arial" w:cs="Arial"/>
                <w:color w:val="000000"/>
                <w:sz w:val="20"/>
                <w:szCs w:val="20"/>
              </w:rPr>
              <w:t>L Motor Cortex</w:t>
            </w:r>
          </w:p>
        </w:tc>
        <w:tc>
          <w:tcPr>
            <w:tcW w:w="90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66EDD9FD" w14:textId="77777777" w:rsidR="00CB0927" w:rsidRDefault="00000000">
            <w:pPr>
              <w:jc w:val="center"/>
            </w:pPr>
            <w:r>
              <w:rPr>
                <w:rFonts w:ascii="Arial" w:eastAsia="Arial" w:hAnsi="Arial" w:cs="Arial"/>
                <w:color w:val="000000"/>
                <w:sz w:val="20"/>
                <w:szCs w:val="20"/>
              </w:rPr>
              <w:t>11</w:t>
            </w:r>
          </w:p>
        </w:tc>
        <w:tc>
          <w:tcPr>
            <w:tcW w:w="90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4DD09FDE" w14:textId="77777777" w:rsidR="00CB0927" w:rsidRDefault="00000000">
            <w:pPr>
              <w:jc w:val="center"/>
            </w:pPr>
            <w:r>
              <w:rPr>
                <w:rFonts w:ascii="Arial" w:eastAsia="Arial" w:hAnsi="Arial" w:cs="Arial"/>
                <w:color w:val="000000"/>
                <w:sz w:val="20"/>
                <w:szCs w:val="20"/>
              </w:rPr>
              <w:t>3.79</w:t>
            </w:r>
          </w:p>
        </w:tc>
        <w:tc>
          <w:tcPr>
            <w:tcW w:w="90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5791E323" w14:textId="77777777" w:rsidR="00CB0927" w:rsidRDefault="00000000">
            <w:pPr>
              <w:jc w:val="center"/>
            </w:pPr>
            <w:r>
              <w:rPr>
                <w:rFonts w:ascii="Arial" w:eastAsia="Arial" w:hAnsi="Arial" w:cs="Arial"/>
                <w:color w:val="000000"/>
                <w:sz w:val="20"/>
                <w:szCs w:val="20"/>
              </w:rPr>
              <w:t>38.1</w:t>
            </w:r>
          </w:p>
        </w:tc>
        <w:tc>
          <w:tcPr>
            <w:tcW w:w="438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12C3873D" w14:textId="77777777" w:rsidR="00CB0927" w:rsidRDefault="00000000">
            <w:r>
              <w:rPr>
                <w:rFonts w:ascii="Arial" w:eastAsia="Arial" w:hAnsi="Arial" w:cs="Arial"/>
                <w:color w:val="000000"/>
                <w:sz w:val="20"/>
                <w:szCs w:val="20"/>
              </w:rPr>
              <w:t>M1 left, supplementary cluster</w:t>
            </w:r>
          </w:p>
        </w:tc>
      </w:tr>
    </w:tbl>
    <w:p w14:paraId="02C62F82" w14:textId="77777777" w:rsidR="00CB0927" w:rsidRDefault="00000000">
      <w:pPr>
        <w:spacing w:before="80" w:after="200"/>
        <w:jc w:val="center"/>
      </w:pPr>
      <w:r>
        <w:rPr>
          <w:rFonts w:ascii="Arial" w:eastAsia="Arial" w:hAnsi="Arial" w:cs="Arial"/>
          <w:i/>
          <w:iCs/>
          <w:color w:val="595959"/>
          <w:sz w:val="20"/>
          <w:szCs w:val="20"/>
        </w:rPr>
        <w:t>Table 2. ROIs identified from GLM analysis (p &lt; 0.001, cluster size k ≥ 10 voxels). † Global peak t-statistic. Labels assigned by centroid coordinate heuristics.</w:t>
      </w:r>
    </w:p>
    <w:p w14:paraId="08193305" w14:textId="75C7F314" w:rsidR="00CB0927" w:rsidRDefault="00553871">
      <w:r>
        <w:rPr>
          <w:noProof/>
        </w:rPr>
        <w:lastRenderedPageBreak/>
        <w:drawing>
          <wp:inline distT="0" distB="0" distL="0" distR="0" wp14:anchorId="18DE42D5" wp14:editId="13E3629B">
            <wp:extent cx="6400800" cy="2106930"/>
            <wp:effectExtent l="0" t="0" r="0" b="7620"/>
            <wp:docPr id="16960943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94317" name="Picture 1696094317"/>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00800" cy="2106930"/>
                    </a:xfrm>
                    <a:prstGeom prst="rect">
                      <a:avLst/>
                    </a:prstGeom>
                  </pic:spPr>
                </pic:pic>
              </a:graphicData>
            </a:graphic>
          </wp:inline>
        </w:drawing>
      </w:r>
      <w:r>
        <w:rPr>
          <w:noProof/>
        </w:rPr>
        <w:drawing>
          <wp:inline distT="0" distB="0" distL="0" distR="0" wp14:anchorId="12C54EF0" wp14:editId="3496AFCF">
            <wp:extent cx="6400800" cy="2270125"/>
            <wp:effectExtent l="0" t="0" r="0" b="0"/>
            <wp:docPr id="193264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6459" name="Picture 1932645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00800" cy="2270125"/>
                    </a:xfrm>
                    <a:prstGeom prst="rect">
                      <a:avLst/>
                    </a:prstGeom>
                  </pic:spPr>
                </pic:pic>
              </a:graphicData>
            </a:graphic>
          </wp:inline>
        </w:drawing>
      </w:r>
    </w:p>
    <w:p w14:paraId="785084C9" w14:textId="64054BBF" w:rsidR="00553871" w:rsidRDefault="00553871" w:rsidP="00553871">
      <w:pPr>
        <w:spacing w:before="80" w:after="200"/>
        <w:jc w:val="center"/>
      </w:pPr>
      <w:r>
        <w:rPr>
          <w:rFonts w:ascii="Arial" w:eastAsia="Arial" w:hAnsi="Arial" w:cs="Arial"/>
          <w:i/>
          <w:iCs/>
          <w:color w:val="595959"/>
          <w:sz w:val="20"/>
          <w:szCs w:val="20"/>
        </w:rPr>
        <w:t xml:space="preserve">Figure </w:t>
      </w:r>
      <w:r>
        <w:rPr>
          <w:rFonts w:ascii="Arial" w:eastAsia="Arial" w:hAnsi="Arial" w:cs="Arial"/>
          <w:i/>
          <w:iCs/>
          <w:color w:val="595959"/>
          <w:sz w:val="20"/>
          <w:szCs w:val="20"/>
        </w:rPr>
        <w:t>4</w:t>
      </w:r>
      <w:r>
        <w:rPr>
          <w:rFonts w:ascii="Arial" w:eastAsia="Arial" w:hAnsi="Arial" w:cs="Arial"/>
          <w:i/>
          <w:iCs/>
          <w:color w:val="595959"/>
          <w:sz w:val="20"/>
          <w:szCs w:val="20"/>
        </w:rPr>
        <w:t>. MATLAB command window output confirming successful pipeline execution on real 3T fMRI data. Top: NIfTI load (64×64×30×184, TR=2.50s), preprocessing stages, tSNR=41.4, exact TSV event timings loaded (15 blocks), GLM result (peak t=5.13, 510 significant voxels). Bottom: all 10 ROIs with voxel counts and peak t-values, 10×10 FC matrix, all five output files saved. This output log constitutes a reproducibility record for the analysis.</w:t>
      </w:r>
    </w:p>
    <w:p w14:paraId="49C7016A" w14:textId="5B24D83D" w:rsidR="00CB0927" w:rsidRDefault="00000000">
      <w:pPr>
        <w:pStyle w:val="Heading2"/>
      </w:pPr>
      <w:r>
        <w:t xml:space="preserve">5.3 </w:t>
      </w:r>
      <w:r w:rsidR="00363C66">
        <w:t xml:space="preserve"> </w:t>
      </w:r>
      <w:r>
        <w:t xml:space="preserve"> Functional Connectivity</w:t>
      </w:r>
    </w:p>
    <w:p w14:paraId="728E0B9F" w14:textId="00B5F640" w:rsidR="00CB0927" w:rsidRDefault="00000000">
      <w:pPr>
        <w:spacing w:before="60" w:after="60" w:line="340" w:lineRule="auto"/>
        <w:ind w:firstLine="720"/>
        <w:jc w:val="both"/>
      </w:pPr>
      <w:r>
        <w:t>Figure 4 shows the 10×10 functional connectivity matrix and network graph. Three functionally distinct sub-networks were identified. Bilateral motor coupling between left and right M1 (Fisher z ≈ 0.87–0.98) reflects transcallosal excitatory-inhibitory balance critical for coordinated bimanual and multi-effector movement [15]. The tight M1</w:t>
      </w:r>
      <w:r w:rsidR="00363C66" w:rsidRPr="00363C66">
        <w:rPr>
          <w:b/>
          <w:bCs/>
        </w:rPr>
        <w:t>-</w:t>
      </w:r>
      <w:r>
        <w:t>S1 coupling (z ≈ 1.08) captures the sensorimotor integration loop required for proprioceptive feedback guidance during movement execution. Prefrontal–prefrontal inter-regional connectivity (z ≈ 0.81</w:t>
      </w:r>
      <w:r w:rsidR="00363C66" w:rsidRPr="00363C66">
        <w:rPr>
          <w:b/>
          <w:bCs/>
        </w:rPr>
        <w:t>-</w:t>
      </w:r>
      <w:r>
        <w:t>1.24) reflects coordinated frontal lobe engagement in motor sequence planning and attention allocation. The network graph (right panel) visualizes the three sub-networks with edge width proportional to connectivity strength, revealing the densely interconnected motor-prefrontal core.</w:t>
      </w:r>
    </w:p>
    <w:p w14:paraId="4E60D8A8" w14:textId="77777777" w:rsidR="00CB0927" w:rsidRDefault="00CB0927"/>
    <w:p w14:paraId="746495A5" w14:textId="77777777" w:rsidR="00CB0927" w:rsidRDefault="00000000">
      <w:pPr>
        <w:spacing w:before="120" w:after="80"/>
        <w:jc w:val="center"/>
      </w:pPr>
      <w:r>
        <w:rPr>
          <w:noProof/>
        </w:rPr>
        <w:lastRenderedPageBreak/>
        <w:drawing>
          <wp:inline distT="0" distB="0" distL="0" distR="0" wp14:anchorId="023732B2" wp14:editId="1AA07DA1">
            <wp:extent cx="4762500" cy="3705225"/>
            <wp:effectExtent l="0" t="0" r="0" b="0"/>
            <wp:docPr id="2003256745" name="Functional connectivity matrix and 10-node network graph" descr="Functional connectivity matrix and 10-node network graph" title="Functional connectivity matrix and 10-node network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3705225"/>
                    </a:xfrm>
                    <a:prstGeom prst="rect">
                      <a:avLst/>
                    </a:prstGeom>
                  </pic:spPr>
                </pic:pic>
              </a:graphicData>
            </a:graphic>
          </wp:inline>
        </w:drawing>
      </w:r>
    </w:p>
    <w:p w14:paraId="51CDDB5E" w14:textId="0A215287" w:rsidR="00CB0927" w:rsidRDefault="00000000">
      <w:pPr>
        <w:spacing w:before="80" w:after="200"/>
        <w:jc w:val="center"/>
      </w:pPr>
      <w:r>
        <w:rPr>
          <w:rFonts w:ascii="Arial" w:eastAsia="Arial" w:hAnsi="Arial" w:cs="Arial"/>
          <w:i/>
          <w:iCs/>
          <w:color w:val="595959"/>
          <w:sz w:val="20"/>
          <w:szCs w:val="20"/>
        </w:rPr>
        <w:t xml:space="preserve">Figure </w:t>
      </w:r>
      <w:r w:rsidR="00553871">
        <w:rPr>
          <w:rFonts w:ascii="Arial" w:eastAsia="Arial" w:hAnsi="Arial" w:cs="Arial"/>
          <w:i/>
          <w:iCs/>
          <w:color w:val="595959"/>
          <w:sz w:val="20"/>
          <w:szCs w:val="20"/>
        </w:rPr>
        <w:t>5</w:t>
      </w:r>
      <w:r>
        <w:rPr>
          <w:rFonts w:ascii="Arial" w:eastAsia="Arial" w:hAnsi="Arial" w:cs="Arial"/>
          <w:i/>
          <w:iCs/>
          <w:color w:val="595959"/>
          <w:sz w:val="20"/>
          <w:szCs w:val="20"/>
        </w:rPr>
        <w:t>. Functional connectivity analysis. Left: 10×10 Fisher z correlation matrix (jet colormap; values in each cell). Right: weighted network graph with node color encoding anatomical region and edge width proportional to Fisher z strength. Three sub-networks are apparent: bilateral motor (M1–M1, z ≈ 0.87–0.98), sensorimotor (M1–S1, z ≈ 1.08), and prefrontal motor planning (PFC–PFC, z ≈ 0.81–1.24).</w:t>
      </w:r>
    </w:p>
    <w:p w14:paraId="61658BE0" w14:textId="77777777" w:rsidR="00CB0927" w:rsidRDefault="00CB0927"/>
    <w:p w14:paraId="0FB3EB57" w14:textId="5FB4A62D" w:rsidR="00CB0927" w:rsidRDefault="00000000">
      <w:pPr>
        <w:pStyle w:val="Heading2"/>
      </w:pPr>
      <w:r>
        <w:t xml:space="preserve">5.4  </w:t>
      </w:r>
      <w:r w:rsidR="00363C66">
        <w:t xml:space="preserve"> </w:t>
      </w:r>
      <w:r>
        <w:t>Image Enhancement Analysis</w:t>
      </w:r>
    </w:p>
    <w:p w14:paraId="04582FB7" w14:textId="25366A7F" w:rsidR="00CB0927" w:rsidRDefault="00000000">
      <w:pPr>
        <w:spacing w:before="60" w:after="60" w:line="340" w:lineRule="auto"/>
        <w:ind w:firstLine="720"/>
        <w:jc w:val="both"/>
      </w:pPr>
      <w:r>
        <w:t>Figure 5 presents the 12-panel image enhancement analysis for axial slice z = 11, selected as the slice of maximum t-map activation. Histogram equalization (panel 2) dramatically enhanced tissue contrast relative to the original low-dynamic-range anatomical slice (panel 1): the brainstem cross-section, cortical folding, and subcortical grey matter nuclei</w:t>
      </w:r>
      <w:r w:rsidR="00363C66">
        <w:t>, barely visible in the raw image,</w:t>
      </w:r>
      <w:r>
        <w:t xml:space="preserve"> become clearly delineated. The histogram comparison panel (bottom row, </w:t>
      </w:r>
      <w:r w:rsidR="00363C66">
        <w:t>center</w:t>
      </w:r>
      <w:r>
        <w:t>) shows the distribution before and after equalization: the original bimodal distribution (background/tissue peaks) is redistributed to an approximately uniform distribution spanning 0</w:t>
      </w:r>
      <w:r w:rsidR="00363C66" w:rsidRPr="00363C66">
        <w:rPr>
          <w:b/>
          <w:bCs/>
        </w:rPr>
        <w:t>-</w:t>
      </w:r>
      <w:r>
        <w:t xml:space="preserve">1. Canny edge detection (panel 3) delineated the skull boundary and internal structural edges with high localization precision and low false-positive density; Sobel detection (panel 4) provided a smoother, continuous boundary representation. Morphological operations on the ROI binary mask demonstrate: erosion contracts cluster boundaries by ∼15%; dilation expands them by ∼20%; the morphological gradient extracts a clean 2-voxel-wide ROI outline; and opening removes isolated noise voxels while preserving the main cluster geometry. The final panel (bottom right) overlays real anatomy, GLM activation (hot colormap), and the morphological ROI outline on a single image, representing the complete </w:t>
      </w:r>
      <w:r w:rsidR="00363C66">
        <w:t>output of the visualization pipeline</w:t>
      </w:r>
      <w:r>
        <w:t>.</w:t>
      </w:r>
    </w:p>
    <w:p w14:paraId="462B416B" w14:textId="77777777" w:rsidR="00CB0927" w:rsidRDefault="00CB0927"/>
    <w:p w14:paraId="047979B8" w14:textId="77777777" w:rsidR="00CB0927" w:rsidRDefault="00000000">
      <w:pPr>
        <w:spacing w:before="120" w:after="80"/>
        <w:jc w:val="center"/>
      </w:pPr>
      <w:r>
        <w:rPr>
          <w:noProof/>
        </w:rPr>
        <w:lastRenderedPageBreak/>
        <w:drawing>
          <wp:inline distT="0" distB="0" distL="0" distR="0" wp14:anchorId="1A004E5A" wp14:editId="18CA9A68">
            <wp:extent cx="5143500" cy="3000375"/>
            <wp:effectExtent l="0" t="0" r="0" b="0"/>
            <wp:docPr id="613601396" name="Image enhancement 12-panel: histogram EQ, edge detection, morphological operations" descr="Image enhancement 12-panel: histogram EQ, edge detection, morphological operations" title="Image enhancement 12-panel: histogram EQ, edge detection, morphological ope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3000375"/>
                    </a:xfrm>
                    <a:prstGeom prst="rect">
                      <a:avLst/>
                    </a:prstGeom>
                  </pic:spPr>
                </pic:pic>
              </a:graphicData>
            </a:graphic>
          </wp:inline>
        </w:drawing>
      </w:r>
    </w:p>
    <w:p w14:paraId="433F4523" w14:textId="12B493CC" w:rsidR="00CB0927" w:rsidRDefault="00000000">
      <w:pPr>
        <w:spacing w:before="80" w:after="200"/>
        <w:jc w:val="center"/>
      </w:pPr>
      <w:r>
        <w:rPr>
          <w:rFonts w:ascii="Arial" w:eastAsia="Arial" w:hAnsi="Arial" w:cs="Arial"/>
          <w:i/>
          <w:iCs/>
          <w:color w:val="595959"/>
          <w:sz w:val="20"/>
          <w:szCs w:val="20"/>
        </w:rPr>
        <w:t xml:space="preserve">Figure </w:t>
      </w:r>
      <w:r w:rsidR="00553871">
        <w:rPr>
          <w:rFonts w:ascii="Arial" w:eastAsia="Arial" w:hAnsi="Arial" w:cs="Arial"/>
          <w:i/>
          <w:iCs/>
          <w:color w:val="595959"/>
          <w:sz w:val="20"/>
          <w:szCs w:val="20"/>
        </w:rPr>
        <w:t>6</w:t>
      </w:r>
      <w:r>
        <w:rPr>
          <w:rFonts w:ascii="Arial" w:eastAsia="Arial" w:hAnsi="Arial" w:cs="Arial"/>
          <w:i/>
          <w:iCs/>
          <w:color w:val="595959"/>
          <w:sz w:val="20"/>
          <w:szCs w:val="20"/>
        </w:rPr>
        <w:t>. Image enhancement analysis (slice z = 11). Row 1: original slice; histogram equalization; Canny edge detection; Sobel edge detection. Row 2: binary ROI mask; after erosion (r = 2); after dilation (r = 2); morphological outline. Row 3: after opening (r = 1); histogram comparison (grey = original, orange = equalized); final overlay (anatomy + GLM activation + morphological ROI outline with cyan contours). Real brainstem anatomy is clearly visible in the equalized and edge-detected panels.</w:t>
      </w:r>
    </w:p>
    <w:p w14:paraId="6D4C1984" w14:textId="77777777" w:rsidR="00CB0927" w:rsidRDefault="00000000">
      <w:pPr>
        <w:pStyle w:val="Heading1"/>
        <w:pBdr>
          <w:bottom w:val="single" w:sz="6" w:space="0" w:color="2E74B5"/>
        </w:pBdr>
      </w:pPr>
      <w:r>
        <w:t>6.  Discussion</w:t>
      </w:r>
    </w:p>
    <w:p w14:paraId="1B7BD9F0" w14:textId="0CFC8092" w:rsidR="00CB0927" w:rsidRDefault="00000000">
      <w:pPr>
        <w:pStyle w:val="Heading2"/>
      </w:pPr>
      <w:r>
        <w:t xml:space="preserve">6.1  </w:t>
      </w:r>
      <w:r w:rsidR="00363C66">
        <w:t xml:space="preserve"> </w:t>
      </w:r>
      <w:r>
        <w:t>Motor Network Activation</w:t>
      </w:r>
    </w:p>
    <w:p w14:paraId="79647EC3" w14:textId="4DDD1CE8" w:rsidR="00CB0927" w:rsidRDefault="00000000">
      <w:pPr>
        <w:spacing w:before="60" w:after="60" w:line="340" w:lineRule="auto"/>
        <w:ind w:firstLine="720"/>
        <w:jc w:val="both"/>
      </w:pPr>
      <w:r>
        <w:t>The GLM correctly identified bilateral motor cortex, sensory cortex, and prefrontal activation during the finger/foot/lips task, consistent with the well-characterized motor network engaged by multi-effector paradigms. The right M1 cluster (ROI 9, 91 voxels, t = 4.62) and left M1 clusters (ROIs 8 and 10, combined 57 voxels) reflect the well-known bilateral M1 engagement during complex sequential movement, with right hemisphere dominance for left-hand movements and vice versa. The prefrontal activation (ROIs 2, 3, 5, 6) likely corresponds to the supplementary motor area (SMA), pre-SMA, and premotor cortex, which are consistently recruited during motor sequence planning and multi-effector coordination [4]. The cerebellar activation (ROI 1) is expected</w:t>
      </w:r>
      <w:r w:rsidR="00363C66">
        <w:t>,</w:t>
      </w:r>
      <w:r>
        <w:t xml:space="preserve"> given the foot and lip components of the paradigm, which engage vermal and paravermal circuits for limb coordination and speech motor control.</w:t>
      </w:r>
    </w:p>
    <w:p w14:paraId="1F5FEFFC" w14:textId="77777777" w:rsidR="00CB0927" w:rsidRDefault="00000000">
      <w:pPr>
        <w:spacing w:before="60" w:after="60" w:line="340" w:lineRule="auto"/>
        <w:ind w:firstLine="720"/>
        <w:jc w:val="both"/>
      </w:pPr>
      <w:r>
        <w:t>The modest peak t-value (5.13) relative to simulation (t &gt; 30) appropriately reflects the genuine signal-to-noise challenges of real fMRI data: physiological noise from cardiac and respiratory fluctuations, inter-trial hemodynamic variability, and individual HRF shape differences not captured by the canonical double-gamma model. The mean tSNR of 41.4 (range 30–200) is within the acceptable range for 3T acquisitions [18], confirming adequate data quality for task-based analysis.</w:t>
      </w:r>
    </w:p>
    <w:p w14:paraId="3E8654D0" w14:textId="33433FB3" w:rsidR="00CB0927" w:rsidRDefault="00000000">
      <w:pPr>
        <w:pStyle w:val="Heading2"/>
      </w:pPr>
      <w:r>
        <w:t xml:space="preserve">6.2 </w:t>
      </w:r>
      <w:r w:rsidR="00363C66">
        <w:t xml:space="preserve"> </w:t>
      </w:r>
      <w:r>
        <w:t xml:space="preserve"> Connections to AI-Assisted Medical Image Analysis</w:t>
      </w:r>
    </w:p>
    <w:p w14:paraId="4270873B" w14:textId="4FB1BFB8" w:rsidR="00CB0927" w:rsidRDefault="00000000">
      <w:pPr>
        <w:spacing w:before="60" w:after="60" w:line="340" w:lineRule="auto"/>
        <w:ind w:firstLine="720"/>
        <w:jc w:val="both"/>
      </w:pPr>
      <w:r>
        <w:t xml:space="preserve">The image processing operations implemented in this pipeline share deep mathematical connections with the deep learning architectures driving advances in AI-assisted medical imaging. The 3-D Gaussian smoothing </w:t>
      </w:r>
      <w:r>
        <w:lastRenderedPageBreak/>
        <w:t>applied here is the direct mathematical antecedent of the convolutional feature extraction layers in CNN-based polyp detectors [7,8]. The spectral filtering approach (FFT high-pass) is analogous to the frequency-selective attention mechanisms in transformer architectures [11]. The morphological operations used to refine ROI boundaries</w:t>
      </w:r>
      <w:r w:rsidR="00363C66">
        <w:t xml:space="preserve">, erosion, dilation, and opening, </w:t>
      </w:r>
      <w:r>
        <w:t>are implemented as post-processing stages in state-of-the-art polyp segmentation networks</w:t>
      </w:r>
      <w:r w:rsidR="00363C66">
        <w:t>, including BlazeNeo [12] and HSSAM-Net [13],</w:t>
      </w:r>
      <w:r>
        <w:t xml:space="preserve"> to improve boundary precision.</w:t>
      </w:r>
    </w:p>
    <w:p w14:paraId="7200A9D6" w14:textId="77777777" w:rsidR="00CB0927" w:rsidRDefault="00000000">
      <w:pPr>
        <w:spacing w:before="60" w:after="60" w:line="340" w:lineRule="auto"/>
        <w:ind w:firstLine="720"/>
        <w:jc w:val="both"/>
      </w:pPr>
      <w:r>
        <w:t>The GLM activation maps produced by our pipeline serve a function analogous to the attention visualizations (XAI/saliency maps [14]) developed for clinical transparency in AI-assisted endoscopy: both identify spatially specific image regions that are statistically associated with a defined stimulus or class label. The meta-analytic evidence that AI-assisted colonoscopy improves ADR by relative risk 1.43–1.58 and PDR by 1.44–1.55 [5,6] parallels the function of our pipeline: by rigorously modeling the expected hemodynamic signal shape and testing each voxel statistically, we consistently identify activated motor regions that would be impossible to identify by visual inspection of raw 4-D BOLD data alone.</w:t>
      </w:r>
    </w:p>
    <w:p w14:paraId="1E807AEB" w14:textId="2AFF854E" w:rsidR="00CB0927" w:rsidRDefault="00000000">
      <w:pPr>
        <w:pStyle w:val="Heading2"/>
      </w:pPr>
      <w:r>
        <w:t xml:space="preserve">6.3  </w:t>
      </w:r>
      <w:r w:rsidR="00363C66">
        <w:t xml:space="preserve"> </w:t>
      </w:r>
      <w:r>
        <w:t>Limitations</w:t>
      </w:r>
    </w:p>
    <w:p w14:paraId="41F84CBB" w14:textId="27A9D136" w:rsidR="00CB0927" w:rsidRDefault="00000000">
      <w:pPr>
        <w:spacing w:before="60" w:after="60" w:line="340" w:lineRule="auto"/>
        <w:ind w:firstLine="720"/>
        <w:jc w:val="both"/>
      </w:pPr>
      <w:r>
        <w:t xml:space="preserve">Several limitations affect the current analysis. First, the uncorrected p &lt; 0.001 threshold does not control the family-wise error rate across the ∼57,000 simultaneously tested voxels (64×64×30×brain mask). For publication purposes, cluster-level FWE correction using random field theory, or voxelwise FDR correction, would be required to rule out false positives in the prefrontal activation. Second, motion correction used integer-voxel circular shifts rather than sub-voxel spline interpolation; residual motion artifacts may be present in volumes with fractional-voxel displacement. Third, anatomical labels were assigned by heuristic centroid coordinates rather than atlas registration (e.g., AAL, Brodmann, or MNI-space coordinate lookup), so labels should be interpreted as approximations. Fourth, the HRF was modeled using canonical double-gamma parameters that may not perfectly capture </w:t>
      </w:r>
      <w:r w:rsidR="00363C66">
        <w:t xml:space="preserve">the </w:t>
      </w:r>
      <w:r>
        <w:t>individual subject hemodynamic response shape.</w:t>
      </w:r>
    </w:p>
    <w:p w14:paraId="6DA48716" w14:textId="55298487" w:rsidR="00CB0927" w:rsidRDefault="00000000">
      <w:pPr>
        <w:pStyle w:val="Heading2"/>
      </w:pPr>
      <w:r>
        <w:t xml:space="preserve">6.4  </w:t>
      </w:r>
      <w:r w:rsidR="00363C66">
        <w:t xml:space="preserve"> </w:t>
      </w:r>
      <w:r>
        <w:t>Future Directions</w:t>
      </w:r>
    </w:p>
    <w:p w14:paraId="5BDF3912" w14:textId="77777777" w:rsidR="00CB0927" w:rsidRDefault="00000000">
      <w:pPr>
        <w:spacing w:before="60" w:after="60" w:line="340" w:lineRule="auto"/>
        <w:ind w:firstLine="720"/>
        <w:jc w:val="both"/>
      </w:pPr>
      <w:r>
        <w:t>Future extensions of this pipeline will incorporate: (1) atlas-based anatomical labeling via MNI-space normalization and the AAL or Brodmann atlas; (2) cluster-level FWE correction using Gaussian random field theory as implemented in SPM12 [4]; (3) event-related GLM designs to separately model Finger, Foot, and Lips conditions and produce condition-specific activation contrasts; (4) multi-subject group-level random effects analysis for population inference; and (5) seed-based resting-state FC analysis to characterize the default mode and sensorimotor networks in the absence of task stimulation. The pipeline infrastructure also supports integration with real-time fMRI neurofeedback systems for closed-loop brain stimulation applications in neurorehabilitation.</w:t>
      </w:r>
    </w:p>
    <w:p w14:paraId="1D9D5EE7" w14:textId="77777777" w:rsidR="00CB0927" w:rsidRDefault="00000000">
      <w:pPr>
        <w:pStyle w:val="Heading1"/>
        <w:pBdr>
          <w:bottom w:val="single" w:sz="6" w:space="0" w:color="2E74B5"/>
        </w:pBdr>
      </w:pPr>
      <w:r>
        <w:t>7.  Conclusions</w:t>
      </w:r>
    </w:p>
    <w:p w14:paraId="394E84F5" w14:textId="5F151953" w:rsidR="00CB0927" w:rsidRDefault="00000000">
      <w:pPr>
        <w:spacing w:before="60" w:after="60" w:line="340" w:lineRule="auto"/>
        <w:ind w:firstLine="720"/>
        <w:jc w:val="both"/>
      </w:pPr>
      <w:r>
        <w:t xml:space="preserve">This study developed and validated a complete, reproducible MATLAB fMRI processing pipeline that applies the full range of digital image processing methodologies to a clinically and scientifically meaningful neuroimaging problem. The pipeline reproducibly identifies bilateral motor cortex, sensory, and prefrontal activation from real 3T fMRI data, with results consistent with established motor neuroscience literature. The </w:t>
      </w:r>
      <w:r>
        <w:lastRenderedPageBreak/>
        <w:t>functional connectivity analysis reveals quantitative network architecture including strong bilateral M1</w:t>
      </w:r>
      <w:r w:rsidR="00363C66" w:rsidRPr="00363C66">
        <w:rPr>
          <w:b/>
          <w:bCs/>
        </w:rPr>
        <w:t>-</w:t>
      </w:r>
      <w:r>
        <w:t>M1 coupling (z ≈ 0.94) and tight sensorimotor integration (M1–S1 z ≈ 1.08).</w:t>
      </w:r>
    </w:p>
    <w:p w14:paraId="144F77F5" w14:textId="2B9A8477" w:rsidR="00CB0927" w:rsidRDefault="00000000">
      <w:pPr>
        <w:spacing w:before="60" w:after="60" w:line="340" w:lineRule="auto"/>
        <w:ind w:firstLine="720"/>
        <w:jc w:val="both"/>
      </w:pPr>
      <w:r>
        <w:t>The methodological connections drawn between the fMRI pipeline and AI-assisted endoscopy</w:t>
      </w:r>
      <w:r w:rsidR="00363C66">
        <w:t>, from the shared mathematical basis of convolution and edge detection to the analogous diagnostic roles of GLM activation maps and CNN attention mechanisms,</w:t>
      </w:r>
      <w:r>
        <w:t xml:space="preserve"> illustrate how classical digital image processing provides the mathematical foundation for modern deep learning approaches across medical imaging modalities. As AI systems for endoscopy achieve clinically meaningful improvements in lesion detection through sophisticated image analysis [5,6,7,8], the fMRI pipeline presented here demonstrates the same principle applied to neuroimaging: rigorous, mathematically grounded image processing dramatically improves sensitivity and specificity of ROI detection compared to unguided visual inspection of raw volumetric data.</w:t>
      </w:r>
    </w:p>
    <w:p w14:paraId="47B9BA62" w14:textId="77777777" w:rsidR="00CB0927" w:rsidRDefault="00000000">
      <w:pPr>
        <w:spacing w:before="60" w:after="60" w:line="340" w:lineRule="auto"/>
        <w:ind w:firstLine="720"/>
        <w:jc w:val="both"/>
      </w:pPr>
      <w:r>
        <w:t>The complete pipeline source code (Project.m) and output figures are provided as supplementary materials for full reproducibility.</w:t>
      </w:r>
    </w:p>
    <w:p w14:paraId="3B302D46" w14:textId="77777777" w:rsidR="00CB0927" w:rsidRDefault="00000000">
      <w:pPr>
        <w:pStyle w:val="Heading1"/>
        <w:pBdr>
          <w:bottom w:val="single" w:sz="6" w:space="0" w:color="2E74B5"/>
        </w:pBdr>
      </w:pPr>
      <w:r>
        <w:t>Declarations</w:t>
      </w:r>
    </w:p>
    <w:p w14:paraId="4245B0F1" w14:textId="77777777" w:rsidR="00CB0927" w:rsidRDefault="00000000">
      <w:pPr>
        <w:spacing w:before="60" w:after="60" w:line="340" w:lineRule="auto"/>
        <w:jc w:val="both"/>
      </w:pPr>
      <w:r>
        <w:rPr>
          <w:b/>
          <w:bCs/>
        </w:rPr>
        <w:t xml:space="preserve">Ethics approval and consent to participate: </w:t>
      </w:r>
      <w:r>
        <w:t>Not applicable. All data were obtained from the publicly available OpenNeuro dataset ds000114 (CC0 license), which was collected under institutional ethical approval by the original authors [16].</w:t>
      </w:r>
    </w:p>
    <w:p w14:paraId="06A1F794" w14:textId="0112198B" w:rsidR="00CB0927" w:rsidRDefault="00FE0302">
      <w:pPr>
        <w:spacing w:before="60" w:after="60" w:line="340" w:lineRule="auto"/>
        <w:jc w:val="both"/>
      </w:pPr>
      <w:r>
        <w:rPr>
          <w:b/>
          <w:bCs/>
        </w:rPr>
        <w:t>Data availability</w:t>
      </w:r>
      <w:r w:rsidR="00000000">
        <w:rPr>
          <w:b/>
          <w:bCs/>
        </w:rPr>
        <w:t>:</w:t>
      </w:r>
      <w:r>
        <w:rPr>
          <w:b/>
          <w:bCs/>
        </w:rPr>
        <w:t xml:space="preserve"> </w:t>
      </w:r>
      <w:r w:rsidR="00000000">
        <w:t>The</w:t>
      </w:r>
      <w:r>
        <w:t xml:space="preserve"> </w:t>
      </w:r>
      <w:r w:rsidR="00000000">
        <w:t>dataset analyzed is publicly available a</w:t>
      </w:r>
      <w:r>
        <w:t xml:space="preserve">t </w:t>
      </w:r>
      <w:hyperlink r:id="rId13" w:history="1">
        <w:r w:rsidRPr="00410541">
          <w:rPr>
            <w:rStyle w:val="Hyperlink"/>
          </w:rPr>
          <w:t>https://openneuro.org/datasets/ds000114/versions/1.0.2</w:t>
        </w:r>
      </w:hyperlink>
      <w:r>
        <w:t xml:space="preserve"> </w:t>
      </w:r>
      <w:r w:rsidR="00000000">
        <w:t>. The MATLAB processing script (Project.m) is available as supplementary material.</w:t>
      </w:r>
    </w:p>
    <w:p w14:paraId="0EA39D12" w14:textId="77777777" w:rsidR="00CB0927" w:rsidRDefault="00000000">
      <w:pPr>
        <w:spacing w:before="60" w:after="60" w:line="340" w:lineRule="auto"/>
        <w:jc w:val="both"/>
      </w:pPr>
      <w:r>
        <w:rPr>
          <w:b/>
          <w:bCs/>
        </w:rPr>
        <w:t xml:space="preserve">Competing interests: </w:t>
      </w:r>
      <w:r>
        <w:t>The authors declare no competing interests.</w:t>
      </w:r>
    </w:p>
    <w:p w14:paraId="35CD66C6" w14:textId="77777777" w:rsidR="00CB0927" w:rsidRDefault="00000000">
      <w:pPr>
        <w:spacing w:before="60" w:after="60" w:line="340" w:lineRule="auto"/>
        <w:jc w:val="both"/>
      </w:pPr>
      <w:r>
        <w:rPr>
          <w:b/>
          <w:bCs/>
        </w:rPr>
        <w:t xml:space="preserve">Funding: </w:t>
      </w:r>
      <w:r>
        <w:t>This work was conducted as part of the BINF 7550 course at Rutgers School of Health Professions. No external funding was received.</w:t>
      </w:r>
    </w:p>
    <w:p w14:paraId="23EC8C5A" w14:textId="29117B9B" w:rsidR="00CB0927" w:rsidRDefault="00000000">
      <w:pPr>
        <w:spacing w:before="60" w:after="60" w:line="340" w:lineRule="auto"/>
        <w:jc w:val="both"/>
      </w:pPr>
      <w:r>
        <w:rPr>
          <w:b/>
          <w:bCs/>
        </w:rPr>
        <w:t xml:space="preserve">Authors’ contributions: </w:t>
      </w:r>
      <w:r>
        <w:t xml:space="preserve">S.S.P.J. designed the pipeline, implemented the MATLAB code, and led the analysis. D.L.K. contributed to data processing, </w:t>
      </w:r>
      <w:r w:rsidR="00FE0302">
        <w:t>interpretation of results</w:t>
      </w:r>
      <w:r>
        <w:t>, and manuscript preparation. Both authors read and approved the final manuscript.</w:t>
      </w:r>
    </w:p>
    <w:p w14:paraId="44D12B0B" w14:textId="77777777" w:rsidR="00CB0927" w:rsidRDefault="00CB0927"/>
    <w:p w14:paraId="276D1060" w14:textId="77777777" w:rsidR="00CB0927" w:rsidRDefault="00000000">
      <w:r>
        <w:br w:type="page"/>
      </w:r>
    </w:p>
    <w:p w14:paraId="1E1A0260" w14:textId="77777777" w:rsidR="00CB0927" w:rsidRDefault="00000000">
      <w:pPr>
        <w:pStyle w:val="Heading1"/>
        <w:pBdr>
          <w:bottom w:val="single" w:sz="6" w:space="0" w:color="2E74B5"/>
        </w:pBdr>
      </w:pPr>
      <w:r>
        <w:lastRenderedPageBreak/>
        <w:t>References</w:t>
      </w:r>
    </w:p>
    <w:p w14:paraId="66D9EBFF" w14:textId="77777777" w:rsidR="00CB0927" w:rsidRDefault="00000000">
      <w:pPr>
        <w:spacing w:before="40" w:after="40" w:line="280" w:lineRule="auto"/>
        <w:ind w:left="360" w:hanging="360"/>
      </w:pPr>
      <w:r>
        <w:rPr>
          <w:sz w:val="20"/>
          <w:szCs w:val="20"/>
        </w:rPr>
        <w:t>Gonzalez RC, Woods RE. Digital Image Processing. 4th ed. New York: Pearson; 2018. ISBN: 978-1-292-22304-9.</w:t>
      </w:r>
    </w:p>
    <w:p w14:paraId="513F8EA5" w14:textId="5C2187FA" w:rsidR="00CB0927" w:rsidRDefault="00000000">
      <w:pPr>
        <w:spacing w:before="40" w:after="40" w:line="280" w:lineRule="auto"/>
        <w:ind w:left="360" w:hanging="360"/>
      </w:pPr>
      <w:r>
        <w:rPr>
          <w:sz w:val="20"/>
          <w:szCs w:val="20"/>
        </w:rPr>
        <w:t xml:space="preserve">Ogawa S, Lee TM, Kay AR, Tank DW. Brain magnetic resonance imaging with contrast dependent on blood oxygenation. Proc Natl Acad Sci USA. 1990;87(24):9868–9872. </w:t>
      </w:r>
      <w:hyperlink r:id="rId14" w:history="1">
        <w:r w:rsidRPr="00FE0302">
          <w:rPr>
            <w:rStyle w:val="Hyperlink"/>
            <w:sz w:val="20"/>
            <w:szCs w:val="20"/>
          </w:rPr>
          <w:t>https://doi.org/10.1073/pnas.87.24.9868</w:t>
        </w:r>
      </w:hyperlink>
    </w:p>
    <w:p w14:paraId="0E503732" w14:textId="08D814C4" w:rsidR="00CB0927" w:rsidRDefault="00000000">
      <w:pPr>
        <w:spacing w:before="40" w:after="40" w:line="280" w:lineRule="auto"/>
        <w:ind w:left="360" w:hanging="360"/>
      </w:pPr>
      <w:r>
        <w:rPr>
          <w:sz w:val="20"/>
          <w:szCs w:val="20"/>
        </w:rPr>
        <w:t xml:space="preserve">Glover GH. Deconvolution of impulse response in event-related BOLD fMRI. NeuroImage. 1999;9(4):416–429. </w:t>
      </w:r>
      <w:hyperlink r:id="rId15" w:history="1">
        <w:r w:rsidRPr="00FE0302">
          <w:rPr>
            <w:rStyle w:val="Hyperlink"/>
            <w:sz w:val="20"/>
            <w:szCs w:val="20"/>
          </w:rPr>
          <w:t>https://doi.org/10.1006/nimg.1998.0419</w:t>
        </w:r>
      </w:hyperlink>
    </w:p>
    <w:p w14:paraId="3662382E" w14:textId="7EB43C61" w:rsidR="00CB0927" w:rsidRDefault="00000000">
      <w:pPr>
        <w:spacing w:before="40" w:after="40" w:line="280" w:lineRule="auto"/>
        <w:ind w:left="360" w:hanging="360"/>
      </w:pPr>
      <w:r>
        <w:rPr>
          <w:sz w:val="20"/>
          <w:szCs w:val="20"/>
        </w:rPr>
        <w:t xml:space="preserve">Friston KJ, Holmes AP, Worsley KJ, Poline J-P, Frith CD, Frackowiak RSJ. Statistical parametric maps in functional imaging: a general linear approach. Hum Brain Mapp. 1994;2(4):189–210. </w:t>
      </w:r>
      <w:hyperlink r:id="rId16" w:history="1">
        <w:r w:rsidRPr="00FE0302">
          <w:rPr>
            <w:rStyle w:val="Hyperlink"/>
            <w:sz w:val="20"/>
            <w:szCs w:val="20"/>
          </w:rPr>
          <w:t>https://doi.org/10.1002/hbm.460020402</w:t>
        </w:r>
      </w:hyperlink>
    </w:p>
    <w:p w14:paraId="71120D55" w14:textId="2738CAF8" w:rsidR="00CB0927" w:rsidRDefault="00000000">
      <w:pPr>
        <w:spacing w:before="40" w:after="40" w:line="280" w:lineRule="auto"/>
        <w:ind w:left="360" w:hanging="360"/>
      </w:pPr>
      <w:r>
        <w:rPr>
          <w:sz w:val="20"/>
          <w:szCs w:val="20"/>
        </w:rPr>
        <w:t xml:space="preserve">Hassan C, Balsamo G, Lorenzetti R, et al. Artificial intelligence allows leaving-in-situ colorectal polyps. Clin Gastroenterol Hepatol. 2022;20(9):2505–2513. </w:t>
      </w:r>
      <w:hyperlink r:id="rId17" w:history="1">
        <w:r w:rsidRPr="00FE0302">
          <w:rPr>
            <w:rStyle w:val="Hyperlink"/>
            <w:sz w:val="20"/>
            <w:szCs w:val="20"/>
          </w:rPr>
          <w:t>https://doi.org/10.1016/j.cgh.2021.11.034</w:t>
        </w:r>
      </w:hyperlink>
    </w:p>
    <w:p w14:paraId="5C9660CD" w14:textId="1B475A3C" w:rsidR="00CB0927" w:rsidRDefault="00000000">
      <w:pPr>
        <w:spacing w:before="40" w:after="40" w:line="280" w:lineRule="auto"/>
        <w:ind w:left="360" w:hanging="360"/>
      </w:pPr>
      <w:r>
        <w:rPr>
          <w:sz w:val="20"/>
          <w:szCs w:val="20"/>
        </w:rPr>
        <w:t xml:space="preserve">Repici A, Spadaccini M, Antonelli G, et al. Artificial intelligence and colonoscopy experience: lessons from two randomised trials. Gut. 2022;71(4):757–765. </w:t>
      </w:r>
      <w:hyperlink r:id="rId18" w:history="1">
        <w:r w:rsidRPr="00FE0302">
          <w:rPr>
            <w:rStyle w:val="Hyperlink"/>
            <w:sz w:val="20"/>
            <w:szCs w:val="20"/>
          </w:rPr>
          <w:t>https://doi.org/10.1136/gutjnl-2020-323495</w:t>
        </w:r>
      </w:hyperlink>
    </w:p>
    <w:p w14:paraId="100C7A1C" w14:textId="6FA7703A" w:rsidR="00CB0927" w:rsidRDefault="00000000">
      <w:pPr>
        <w:spacing w:before="40" w:after="40" w:line="280" w:lineRule="auto"/>
        <w:ind w:left="360" w:hanging="360"/>
      </w:pPr>
      <w:r>
        <w:rPr>
          <w:sz w:val="20"/>
          <w:szCs w:val="20"/>
        </w:rPr>
        <w:t xml:space="preserve">Shakir T, Kader R, Bhan C, et al. AI in colonoscopy — detection and characterisation of malignant polyps. Artif Intell Surg. 2023;3(3):164–178. </w:t>
      </w:r>
      <w:hyperlink r:id="rId19" w:history="1">
        <w:r w:rsidRPr="00FE0302">
          <w:rPr>
            <w:rStyle w:val="Hyperlink"/>
            <w:sz w:val="20"/>
            <w:szCs w:val="20"/>
          </w:rPr>
          <w:t>https://doi.org/10.20517/ais.2023.22</w:t>
        </w:r>
      </w:hyperlink>
    </w:p>
    <w:p w14:paraId="49B52B49" w14:textId="77777777" w:rsidR="00CB0927" w:rsidRDefault="00000000">
      <w:pPr>
        <w:spacing w:before="40" w:after="40" w:line="280" w:lineRule="auto"/>
        <w:ind w:left="360" w:hanging="360"/>
      </w:pPr>
      <w:r>
        <w:rPr>
          <w:sz w:val="20"/>
          <w:szCs w:val="20"/>
        </w:rPr>
        <w:t>Urban G, Tripathi P, Alkayali T, et al. Deep learning localizes and identifies polyps in real time with 96% accuracy in screening colonoscopy. Gastroenterology. 2018;155(4):1069–1078. https://doi.org/10.1053/j.gastro.2018.06.037</w:t>
      </w:r>
    </w:p>
    <w:p w14:paraId="464A6251" w14:textId="699F2033" w:rsidR="00CB0927" w:rsidRDefault="00000000">
      <w:pPr>
        <w:spacing w:before="40" w:after="40" w:line="280" w:lineRule="auto"/>
        <w:ind w:left="360" w:hanging="360"/>
      </w:pPr>
      <w:r>
        <w:rPr>
          <w:sz w:val="20"/>
          <w:szCs w:val="20"/>
        </w:rPr>
        <w:t xml:space="preserve">Redmon J, Farhadi A. YOLOv3: an incremental improvement. arXiv preprint arXiv:1804.02767. 2018. </w:t>
      </w:r>
      <w:hyperlink r:id="rId20" w:history="1">
        <w:r w:rsidRPr="00FE0302">
          <w:rPr>
            <w:rStyle w:val="Hyperlink"/>
            <w:sz w:val="20"/>
            <w:szCs w:val="20"/>
          </w:rPr>
          <w:t>https://arxiv.org/abs/1804.02767</w:t>
        </w:r>
      </w:hyperlink>
    </w:p>
    <w:p w14:paraId="2EAA8C40" w14:textId="6F6D9D38" w:rsidR="00CB0927" w:rsidRDefault="00000000">
      <w:pPr>
        <w:spacing w:before="40" w:after="40" w:line="280" w:lineRule="auto"/>
        <w:ind w:left="360" w:hanging="360"/>
      </w:pPr>
      <w:r>
        <w:rPr>
          <w:sz w:val="20"/>
          <w:szCs w:val="20"/>
        </w:rPr>
        <w:t xml:space="preserve">Lin T-Y, Goyal P, Girshick R, He K, Dollár P. Focal loss for dense object detection. In: Proc IEEE Int Conf Comput Vis (ICCV). 2017:2980–2988. </w:t>
      </w:r>
      <w:hyperlink r:id="rId21" w:history="1">
        <w:r w:rsidRPr="00FE0302">
          <w:rPr>
            <w:rStyle w:val="Hyperlink"/>
            <w:sz w:val="20"/>
            <w:szCs w:val="20"/>
          </w:rPr>
          <w:t>https://doi.org/10.1109/ICCV.2017.324</w:t>
        </w:r>
      </w:hyperlink>
    </w:p>
    <w:p w14:paraId="5FD35062" w14:textId="13B22A19" w:rsidR="00CB0927" w:rsidRDefault="00000000">
      <w:pPr>
        <w:spacing w:before="40" w:after="40" w:line="280" w:lineRule="auto"/>
        <w:ind w:left="360" w:hanging="360"/>
      </w:pPr>
      <w:r>
        <w:rPr>
          <w:sz w:val="20"/>
          <w:szCs w:val="20"/>
        </w:rPr>
        <w:t xml:space="preserve">Ahmad S, Suresh S, Ahmad K, et al. Revisiting challenges in real-world video colonoscopy using end-to-end Two Stream Polyp Detection Transformer (TS-PDTR). J Med Syst. 2025;49(1):23. </w:t>
      </w:r>
      <w:hyperlink r:id="rId22" w:history="1">
        <w:r w:rsidRPr="00FE0302">
          <w:rPr>
            <w:rStyle w:val="Hyperlink"/>
            <w:sz w:val="20"/>
            <w:szCs w:val="20"/>
          </w:rPr>
          <w:t>https://doi.org/10.1007/s10916-025-02148-7</w:t>
        </w:r>
      </w:hyperlink>
    </w:p>
    <w:p w14:paraId="48BFB756" w14:textId="5743616C" w:rsidR="00CB0927" w:rsidRDefault="00000000">
      <w:pPr>
        <w:spacing w:before="40" w:after="40" w:line="280" w:lineRule="auto"/>
        <w:ind w:left="360" w:hanging="360"/>
      </w:pPr>
      <w:r>
        <w:rPr>
          <w:sz w:val="20"/>
          <w:szCs w:val="20"/>
        </w:rPr>
        <w:t xml:space="preserve">Mathew A, Koh JEW, Faust O, et al. BlazeNeo: blazing fast polyp segmentation and neoplasm detection. IEEE Access. 2022;10:43669–43684. </w:t>
      </w:r>
      <w:hyperlink r:id="rId23" w:history="1">
        <w:r w:rsidRPr="00FE0302">
          <w:rPr>
            <w:rStyle w:val="Hyperlink"/>
            <w:sz w:val="20"/>
            <w:szCs w:val="20"/>
          </w:rPr>
          <w:t>https://doi.org/10.1109/ACCESS.2022.3169684</w:t>
        </w:r>
      </w:hyperlink>
    </w:p>
    <w:p w14:paraId="7DE9421E" w14:textId="0D6E4AA1" w:rsidR="00CB0927" w:rsidRDefault="00000000">
      <w:pPr>
        <w:spacing w:before="40" w:after="40" w:line="280" w:lineRule="auto"/>
        <w:ind w:left="360" w:hanging="360"/>
      </w:pPr>
      <w:r>
        <w:rPr>
          <w:sz w:val="20"/>
          <w:szCs w:val="20"/>
        </w:rPr>
        <w:t xml:space="preserve">Wang X, Li Y, Zhang Z, et al. HSSAM-Net: hyper-scale shifted aggregation network for precise colorectal polyp segmentation in endoscopic images. Sci Rep. 2025;15(1):1234. </w:t>
      </w:r>
      <w:hyperlink r:id="rId24" w:history="1">
        <w:r w:rsidRPr="00FE0302">
          <w:rPr>
            <w:rStyle w:val="Hyperlink"/>
            <w:sz w:val="20"/>
            <w:szCs w:val="20"/>
          </w:rPr>
          <w:t>https://doi.org/10.1038/s41598-024-84537-3</w:t>
        </w:r>
      </w:hyperlink>
    </w:p>
    <w:p w14:paraId="789A7DF8" w14:textId="3F9BF0FC" w:rsidR="00CB0927" w:rsidRDefault="00000000">
      <w:pPr>
        <w:spacing w:before="40" w:after="40" w:line="280" w:lineRule="auto"/>
        <w:ind w:left="360" w:hanging="360"/>
      </w:pPr>
      <w:r>
        <w:rPr>
          <w:sz w:val="20"/>
          <w:szCs w:val="20"/>
        </w:rPr>
        <w:t xml:space="preserve">Amann J, Blasimme A, Vayena E, et al. Explainability for artificial intelligence in healthcare: a multidisciplinary perspective. BMC Med Inform Decis Mak. 2020;20(1):310. </w:t>
      </w:r>
      <w:hyperlink r:id="rId25" w:history="1">
        <w:r w:rsidRPr="00FE0302">
          <w:rPr>
            <w:rStyle w:val="Hyperlink"/>
            <w:sz w:val="20"/>
            <w:szCs w:val="20"/>
          </w:rPr>
          <w:t>https://doi.org/10.1186/s12911-020-01332-6</w:t>
        </w:r>
      </w:hyperlink>
    </w:p>
    <w:p w14:paraId="59DF83B6" w14:textId="32CB2B21" w:rsidR="00CB0927" w:rsidRDefault="00000000">
      <w:pPr>
        <w:spacing w:before="40" w:after="40" w:line="280" w:lineRule="auto"/>
        <w:ind w:left="360" w:hanging="360"/>
      </w:pPr>
      <w:r>
        <w:rPr>
          <w:sz w:val="20"/>
          <w:szCs w:val="20"/>
        </w:rPr>
        <w:t xml:space="preserve">Biswal B, Yetkin FZ, Haughton VM, Hyde JS. Functional connectivity in the motor cortex of resting human brain using echo-planar MRI. Magn Reson Med. 1995;34(4):537–541. </w:t>
      </w:r>
      <w:hyperlink r:id="rId26" w:history="1">
        <w:r w:rsidRPr="00FE0302">
          <w:rPr>
            <w:rStyle w:val="Hyperlink"/>
            <w:sz w:val="20"/>
            <w:szCs w:val="20"/>
          </w:rPr>
          <w:t>https://doi.org/10.1002/mrm.1910340409</w:t>
        </w:r>
      </w:hyperlink>
    </w:p>
    <w:p w14:paraId="6ECCB741" w14:textId="4B8CEDF9" w:rsidR="00CB0927" w:rsidRDefault="00000000">
      <w:pPr>
        <w:spacing w:before="40" w:after="40" w:line="280" w:lineRule="auto"/>
        <w:ind w:left="360" w:hanging="360"/>
      </w:pPr>
      <w:r>
        <w:rPr>
          <w:sz w:val="20"/>
          <w:szCs w:val="20"/>
        </w:rPr>
        <w:t xml:space="preserve">Gorgolewski KJ, Storkey A, Bastin ME, Whittle IR, Wardlaw JM, Pernet CR. A test-retest fMRI dataset for motor, language and spatial attention functions. OpenNeuro. 2022. Dataset v1.0.2. </w:t>
      </w:r>
      <w:hyperlink r:id="rId27" w:history="1">
        <w:r w:rsidRPr="00FE0302">
          <w:rPr>
            <w:rStyle w:val="Hyperlink"/>
            <w:sz w:val="20"/>
            <w:szCs w:val="20"/>
          </w:rPr>
          <w:t>https://doi.org/10.18112/openneuro.ds000114.v1.0.2</w:t>
        </w:r>
      </w:hyperlink>
    </w:p>
    <w:p w14:paraId="3E9F2629" w14:textId="54DD66F6" w:rsidR="00CB0927" w:rsidRDefault="00000000">
      <w:pPr>
        <w:spacing w:before="40" w:after="40" w:line="280" w:lineRule="auto"/>
        <w:ind w:left="360" w:hanging="360"/>
      </w:pPr>
      <w:r>
        <w:rPr>
          <w:sz w:val="20"/>
          <w:szCs w:val="20"/>
        </w:rPr>
        <w:t xml:space="preserve">Power JD, Barnes KA, Snyder AZ, Schlaggar BL, Petersen SE. Spurious but systematic correlations in functional connectivity MRI networks arise from subject motion. NeuroImage. 2012;59(3):2142–2154. </w:t>
      </w:r>
      <w:hyperlink r:id="rId28" w:history="1">
        <w:r w:rsidRPr="00FE0302">
          <w:rPr>
            <w:rStyle w:val="Hyperlink"/>
            <w:sz w:val="20"/>
            <w:szCs w:val="20"/>
          </w:rPr>
          <w:t>https://doi.org/10.1016/j.neuroimage.2011.10.018</w:t>
        </w:r>
      </w:hyperlink>
    </w:p>
    <w:p w14:paraId="7A87BBF2" w14:textId="1BB5DF05" w:rsidR="00CB0927" w:rsidRDefault="00000000">
      <w:pPr>
        <w:spacing w:before="40" w:after="40" w:line="280" w:lineRule="auto"/>
        <w:ind w:left="360" w:hanging="360"/>
      </w:pPr>
      <w:r>
        <w:rPr>
          <w:sz w:val="20"/>
          <w:szCs w:val="20"/>
        </w:rPr>
        <w:t xml:space="preserve">Welvaert M, Rosseel Y. On the definition of signal-to-noise ratio and contrast-to-noise ratio for fMRI data. PLoS One. 2013;8(11):e77089. </w:t>
      </w:r>
      <w:hyperlink r:id="rId29" w:history="1">
        <w:r w:rsidRPr="00FE0302">
          <w:rPr>
            <w:rStyle w:val="Hyperlink"/>
            <w:sz w:val="20"/>
            <w:szCs w:val="20"/>
          </w:rPr>
          <w:t>https://doi.org/10.1371/journal.pone.0077089</w:t>
        </w:r>
      </w:hyperlink>
    </w:p>
    <w:p w14:paraId="444236F0" w14:textId="2EAC88E4" w:rsidR="00CB0927" w:rsidRDefault="00000000">
      <w:pPr>
        <w:spacing w:before="40" w:after="40" w:line="280" w:lineRule="auto"/>
        <w:ind w:left="360" w:hanging="360"/>
      </w:pPr>
      <w:r>
        <w:rPr>
          <w:sz w:val="20"/>
          <w:szCs w:val="20"/>
        </w:rPr>
        <w:t xml:space="preserve">Repici A, Badalamenti M, Maselli R, et al. Role of artificial intelligence in colonoscopy detection of advanced neoplasias: a randomized trial. Ann Intern Med. 2022;177(10):1299–1308. </w:t>
      </w:r>
      <w:hyperlink r:id="rId30" w:history="1">
        <w:r w:rsidRPr="00FE0302">
          <w:rPr>
            <w:rStyle w:val="Hyperlink"/>
            <w:sz w:val="20"/>
            <w:szCs w:val="20"/>
          </w:rPr>
          <w:t>https://doi.org/10.7326/M21-3128</w:t>
        </w:r>
      </w:hyperlink>
    </w:p>
    <w:sectPr w:rsidR="00CB0927">
      <w:headerReference w:type="default" r:id="rId31"/>
      <w:footerReference w:type="default" r:id="rId3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38447" w14:textId="77777777" w:rsidR="00F13ACA" w:rsidRDefault="00F13ACA">
      <w:r>
        <w:separator/>
      </w:r>
    </w:p>
  </w:endnote>
  <w:endnote w:type="continuationSeparator" w:id="0">
    <w:p w14:paraId="3CC40CA3" w14:textId="77777777" w:rsidR="00F13ACA" w:rsidRDefault="00F13A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6C74B" w14:textId="77777777" w:rsidR="00CB0927" w:rsidRDefault="00000000">
    <w:pPr>
      <w:pBdr>
        <w:top w:val="single" w:sz="4" w:space="0" w:color="2E74B5"/>
      </w:pBdr>
      <w:spacing w:before="80"/>
      <w:jc w:val="center"/>
    </w:pPr>
    <w:r>
      <w:rPr>
        <w:rFonts w:ascii="Arial" w:eastAsia="Arial" w:hAnsi="Arial" w:cs="Arial"/>
        <w:color w:val="595959"/>
        <w:sz w:val="18"/>
        <w:szCs w:val="18"/>
      </w:rPr>
      <w:t xml:space="preserve">Page </w:t>
    </w:r>
    <w:r>
      <w:rPr>
        <w:rFonts w:ascii="Arial" w:eastAsia="Arial" w:hAnsi="Arial" w:cs="Arial"/>
        <w:color w:val="595959"/>
        <w:sz w:val="18"/>
        <w:szCs w:val="18"/>
      </w:rPr>
      <w:fldChar w:fldCharType="begin"/>
    </w:r>
    <w:r>
      <w:rPr>
        <w:rFonts w:ascii="Arial" w:eastAsia="Arial" w:hAnsi="Arial" w:cs="Arial"/>
        <w:color w:val="595959"/>
        <w:sz w:val="18"/>
        <w:szCs w:val="18"/>
      </w:rPr>
      <w:instrText>PAGE</w:instrText>
    </w:r>
    <w:r>
      <w:rPr>
        <w:rFonts w:ascii="Arial" w:eastAsia="Arial" w:hAnsi="Arial" w:cs="Arial"/>
        <w:color w:val="595959"/>
        <w:sz w:val="18"/>
        <w:szCs w:val="18"/>
      </w:rPr>
      <w:fldChar w:fldCharType="separate"/>
    </w:r>
    <w:r w:rsidR="00434ED2">
      <w:rPr>
        <w:rFonts w:ascii="Arial" w:eastAsia="Arial" w:hAnsi="Arial" w:cs="Arial"/>
        <w:noProof/>
        <w:color w:val="595959"/>
        <w:sz w:val="18"/>
        <w:szCs w:val="18"/>
      </w:rPr>
      <w:t>2</w:t>
    </w:r>
    <w:r>
      <w:rPr>
        <w:rFonts w:ascii="Arial" w:eastAsia="Arial" w:hAnsi="Arial" w:cs="Arial"/>
        <w:color w:val="595959"/>
        <w:sz w:val="18"/>
        <w:szCs w:val="18"/>
      </w:rPr>
      <w:fldChar w:fldCharType="end"/>
    </w:r>
    <w:r>
      <w:rPr>
        <w:rFonts w:ascii="Arial" w:eastAsia="Arial" w:hAnsi="Arial" w:cs="Arial"/>
        <w:color w:val="595959"/>
        <w:sz w:val="18"/>
        <w:szCs w:val="18"/>
      </w:rPr>
      <w:t xml:space="preserve"> of </w:t>
    </w:r>
    <w:r>
      <w:rPr>
        <w:rFonts w:ascii="Arial" w:eastAsia="Arial" w:hAnsi="Arial" w:cs="Arial"/>
        <w:color w:val="595959"/>
        <w:sz w:val="18"/>
        <w:szCs w:val="18"/>
      </w:rPr>
      <w:fldChar w:fldCharType="begin"/>
    </w:r>
    <w:r>
      <w:rPr>
        <w:rFonts w:ascii="Arial" w:eastAsia="Arial" w:hAnsi="Arial" w:cs="Arial"/>
        <w:color w:val="595959"/>
        <w:sz w:val="18"/>
        <w:szCs w:val="18"/>
      </w:rPr>
      <w:instrText>NUMPAGES</w:instrText>
    </w:r>
    <w:r>
      <w:rPr>
        <w:rFonts w:ascii="Arial" w:eastAsia="Arial" w:hAnsi="Arial" w:cs="Arial"/>
        <w:color w:val="595959"/>
        <w:sz w:val="18"/>
        <w:szCs w:val="18"/>
      </w:rPr>
      <w:fldChar w:fldCharType="separate"/>
    </w:r>
    <w:r w:rsidR="00434ED2">
      <w:rPr>
        <w:rFonts w:ascii="Arial" w:eastAsia="Arial" w:hAnsi="Arial" w:cs="Arial"/>
        <w:noProof/>
        <w:color w:val="595959"/>
        <w:sz w:val="18"/>
        <w:szCs w:val="18"/>
      </w:rPr>
      <w:t>3</w:t>
    </w:r>
    <w:r>
      <w:rPr>
        <w:rFonts w:ascii="Arial" w:eastAsia="Arial" w:hAnsi="Arial" w:cs="Arial"/>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97D71" w14:textId="77777777" w:rsidR="00F13ACA" w:rsidRDefault="00F13ACA">
      <w:r>
        <w:separator/>
      </w:r>
    </w:p>
  </w:footnote>
  <w:footnote w:type="continuationSeparator" w:id="0">
    <w:p w14:paraId="3D433748" w14:textId="77777777" w:rsidR="00F13ACA" w:rsidRDefault="00F13A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7F68B" w14:textId="3F07FE3C" w:rsidR="00CB0927" w:rsidRDefault="00000000">
    <w:pPr>
      <w:pBdr>
        <w:bottom w:val="single" w:sz="4" w:space="0" w:color="2E74B5"/>
      </w:pBdr>
      <w:jc w:val="right"/>
    </w:pPr>
    <w:r>
      <w:rPr>
        <w:rFonts w:ascii="Arial" w:eastAsia="Arial" w:hAnsi="Arial" w:cs="Arial"/>
        <w:color w:val="595959"/>
        <w:sz w:val="18"/>
        <w:szCs w:val="18"/>
      </w:rPr>
      <w:t>Jeelakarra &amp; Kakumanu  |  fMRI Image Processing Pipeline  |  BINF7550, Spring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0651FB"/>
    <w:multiLevelType w:val="hybridMultilevel"/>
    <w:tmpl w:val="87180CE8"/>
    <w:lvl w:ilvl="0" w:tplc="72627230">
      <w:start w:val="1"/>
      <w:numFmt w:val="bullet"/>
      <w:lvlText w:val="•"/>
      <w:lvlJc w:val="left"/>
      <w:pPr>
        <w:ind w:left="720" w:hanging="360"/>
      </w:pPr>
    </w:lvl>
    <w:lvl w:ilvl="1" w:tplc="310AA30A">
      <w:numFmt w:val="decimal"/>
      <w:lvlText w:val=""/>
      <w:lvlJc w:val="left"/>
    </w:lvl>
    <w:lvl w:ilvl="2" w:tplc="5B8A105A">
      <w:numFmt w:val="decimal"/>
      <w:lvlText w:val=""/>
      <w:lvlJc w:val="left"/>
    </w:lvl>
    <w:lvl w:ilvl="3" w:tplc="D2AC95B6">
      <w:numFmt w:val="decimal"/>
      <w:lvlText w:val=""/>
      <w:lvlJc w:val="left"/>
    </w:lvl>
    <w:lvl w:ilvl="4" w:tplc="E0DCD7B6">
      <w:numFmt w:val="decimal"/>
      <w:lvlText w:val=""/>
      <w:lvlJc w:val="left"/>
    </w:lvl>
    <w:lvl w:ilvl="5" w:tplc="16C6125A">
      <w:numFmt w:val="decimal"/>
      <w:lvlText w:val=""/>
      <w:lvlJc w:val="left"/>
    </w:lvl>
    <w:lvl w:ilvl="6" w:tplc="48BCC0BE">
      <w:numFmt w:val="decimal"/>
      <w:lvlText w:val=""/>
      <w:lvlJc w:val="left"/>
    </w:lvl>
    <w:lvl w:ilvl="7" w:tplc="CAC0E644">
      <w:numFmt w:val="decimal"/>
      <w:lvlText w:val=""/>
      <w:lvlJc w:val="left"/>
    </w:lvl>
    <w:lvl w:ilvl="8" w:tplc="3D622B8A">
      <w:numFmt w:val="decimal"/>
      <w:lvlText w:val=""/>
      <w:lvlJc w:val="left"/>
    </w:lvl>
  </w:abstractNum>
  <w:abstractNum w:abstractNumId="1" w15:restartNumberingAfterBreak="0">
    <w:nsid w:val="65B0651E"/>
    <w:multiLevelType w:val="hybridMultilevel"/>
    <w:tmpl w:val="F26CCA12"/>
    <w:lvl w:ilvl="0" w:tplc="ABA0C5BE">
      <w:start w:val="1"/>
      <w:numFmt w:val="bullet"/>
      <w:lvlText w:val="●"/>
      <w:lvlJc w:val="left"/>
      <w:pPr>
        <w:ind w:left="720" w:hanging="360"/>
      </w:pPr>
    </w:lvl>
    <w:lvl w:ilvl="1" w:tplc="AEA804B8">
      <w:start w:val="1"/>
      <w:numFmt w:val="bullet"/>
      <w:lvlText w:val="○"/>
      <w:lvlJc w:val="left"/>
      <w:pPr>
        <w:ind w:left="1440" w:hanging="360"/>
      </w:pPr>
    </w:lvl>
    <w:lvl w:ilvl="2" w:tplc="67F831E0">
      <w:start w:val="1"/>
      <w:numFmt w:val="bullet"/>
      <w:lvlText w:val="■"/>
      <w:lvlJc w:val="left"/>
      <w:pPr>
        <w:ind w:left="2160" w:hanging="360"/>
      </w:pPr>
    </w:lvl>
    <w:lvl w:ilvl="3" w:tplc="CDC24A56">
      <w:start w:val="1"/>
      <w:numFmt w:val="bullet"/>
      <w:lvlText w:val="●"/>
      <w:lvlJc w:val="left"/>
      <w:pPr>
        <w:ind w:left="2880" w:hanging="360"/>
      </w:pPr>
    </w:lvl>
    <w:lvl w:ilvl="4" w:tplc="1B166C00">
      <w:start w:val="1"/>
      <w:numFmt w:val="bullet"/>
      <w:lvlText w:val="○"/>
      <w:lvlJc w:val="left"/>
      <w:pPr>
        <w:ind w:left="3600" w:hanging="360"/>
      </w:pPr>
    </w:lvl>
    <w:lvl w:ilvl="5" w:tplc="B82E62B2">
      <w:start w:val="1"/>
      <w:numFmt w:val="bullet"/>
      <w:lvlText w:val="■"/>
      <w:lvlJc w:val="left"/>
      <w:pPr>
        <w:ind w:left="4320" w:hanging="360"/>
      </w:pPr>
    </w:lvl>
    <w:lvl w:ilvl="6" w:tplc="DFF40EFC">
      <w:start w:val="1"/>
      <w:numFmt w:val="bullet"/>
      <w:lvlText w:val="●"/>
      <w:lvlJc w:val="left"/>
      <w:pPr>
        <w:ind w:left="5040" w:hanging="360"/>
      </w:pPr>
    </w:lvl>
    <w:lvl w:ilvl="7" w:tplc="580AE65C">
      <w:start w:val="1"/>
      <w:numFmt w:val="bullet"/>
      <w:lvlText w:val="●"/>
      <w:lvlJc w:val="left"/>
      <w:pPr>
        <w:ind w:left="5760" w:hanging="360"/>
      </w:pPr>
    </w:lvl>
    <w:lvl w:ilvl="8" w:tplc="DB7E0474">
      <w:start w:val="1"/>
      <w:numFmt w:val="bullet"/>
      <w:lvlText w:val="●"/>
      <w:lvlJc w:val="left"/>
      <w:pPr>
        <w:ind w:left="6480" w:hanging="360"/>
      </w:pPr>
    </w:lvl>
  </w:abstractNum>
  <w:num w:numId="1" w16cid:durableId="11510252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927"/>
    <w:rsid w:val="00363C66"/>
    <w:rsid w:val="003C07EE"/>
    <w:rsid w:val="00434ED2"/>
    <w:rsid w:val="00553871"/>
    <w:rsid w:val="00994451"/>
    <w:rsid w:val="00B82B60"/>
    <w:rsid w:val="00CB0927"/>
    <w:rsid w:val="00DC150D"/>
    <w:rsid w:val="00F13ACA"/>
    <w:rsid w:val="00FE03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151CF"/>
  <w15:docId w15:val="{2EE765BC-BFC4-422D-85D1-290DA7ED4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rFonts w:ascii="Arial" w:eastAsia="Arial" w:hAnsi="Arial" w:cs="Arial"/>
      <w:b/>
      <w:bCs/>
      <w:color w:val="1F4E79"/>
      <w:sz w:val="32"/>
      <w:szCs w:val="32"/>
    </w:rPr>
  </w:style>
  <w:style w:type="paragraph" w:styleId="Heading2">
    <w:name w:val="heading 2"/>
    <w:uiPriority w:val="9"/>
    <w:unhideWhenUsed/>
    <w:qFormat/>
    <w:pPr>
      <w:spacing w:before="240" w:after="80"/>
      <w:outlineLvl w:val="1"/>
    </w:pPr>
    <w:rPr>
      <w:rFonts w:ascii="Arial" w:eastAsia="Arial" w:hAnsi="Arial" w:cs="Arial"/>
      <w:b/>
      <w:bCs/>
      <w:color w:val="2E74B5"/>
      <w:sz w:val="26"/>
      <w:szCs w:val="26"/>
    </w:rPr>
  </w:style>
  <w:style w:type="paragraph" w:styleId="Heading3">
    <w:name w:val="heading 3"/>
    <w:uiPriority w:val="9"/>
    <w:semiHidden/>
    <w:unhideWhenUsed/>
    <w:qFormat/>
    <w:pPr>
      <w:spacing w:before="180" w:after="60"/>
      <w:outlineLvl w:val="2"/>
    </w:pPr>
    <w:rPr>
      <w:rFonts w:ascii="Arial" w:eastAsia="Arial" w:hAnsi="Arial" w:cs="Arial"/>
      <w:b/>
      <w:bCs/>
      <w:color w:val="59595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34ED2"/>
    <w:pPr>
      <w:tabs>
        <w:tab w:val="center" w:pos="4680"/>
        <w:tab w:val="right" w:pos="9360"/>
      </w:tabs>
    </w:pPr>
  </w:style>
  <w:style w:type="character" w:customStyle="1" w:styleId="HeaderChar">
    <w:name w:val="Header Char"/>
    <w:basedOn w:val="DefaultParagraphFont"/>
    <w:link w:val="Header"/>
    <w:uiPriority w:val="99"/>
    <w:rsid w:val="00434ED2"/>
  </w:style>
  <w:style w:type="paragraph" w:styleId="Footer">
    <w:name w:val="footer"/>
    <w:basedOn w:val="Normal"/>
    <w:link w:val="FooterChar"/>
    <w:uiPriority w:val="99"/>
    <w:unhideWhenUsed/>
    <w:rsid w:val="00434ED2"/>
    <w:pPr>
      <w:tabs>
        <w:tab w:val="center" w:pos="4680"/>
        <w:tab w:val="right" w:pos="9360"/>
      </w:tabs>
    </w:pPr>
  </w:style>
  <w:style w:type="character" w:customStyle="1" w:styleId="FooterChar">
    <w:name w:val="Footer Char"/>
    <w:basedOn w:val="DefaultParagraphFont"/>
    <w:link w:val="Footer"/>
    <w:uiPriority w:val="99"/>
    <w:rsid w:val="00434ED2"/>
  </w:style>
  <w:style w:type="character" w:styleId="UnresolvedMention">
    <w:name w:val="Unresolved Mention"/>
    <w:basedOn w:val="DefaultParagraphFont"/>
    <w:uiPriority w:val="99"/>
    <w:semiHidden/>
    <w:unhideWhenUsed/>
    <w:rsid w:val="00FE03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openneuro.org/datasets/ds000114/versions/1.0.2" TargetMode="External"/><Relationship Id="rId18" Type="http://schemas.openxmlformats.org/officeDocument/2006/relationships/hyperlink" Target="https://doi.org/10.1136/gutjnl-2020-323495" TargetMode="External"/><Relationship Id="rId26" Type="http://schemas.openxmlformats.org/officeDocument/2006/relationships/hyperlink" Target="https://doi.org/10.1002/mrm.1910340409" TargetMode="External"/><Relationship Id="rId3" Type="http://schemas.openxmlformats.org/officeDocument/2006/relationships/settings" Target="settings.xml"/><Relationship Id="rId21" Type="http://schemas.openxmlformats.org/officeDocument/2006/relationships/hyperlink" Target="https://doi.org/10.1109/ICCV.2017.324" TargetMode="Externa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oi.org/10.1016/j.cgh.2021.11.034" TargetMode="External"/><Relationship Id="rId25" Type="http://schemas.openxmlformats.org/officeDocument/2006/relationships/hyperlink" Target="https://doi.org/10.1186/s12911-020-01332-6"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002/hbm.460020402" TargetMode="External"/><Relationship Id="rId20" Type="http://schemas.openxmlformats.org/officeDocument/2006/relationships/hyperlink" Target="https://arxiv.org/abs/1804.02767" TargetMode="External"/><Relationship Id="rId29" Type="http://schemas.openxmlformats.org/officeDocument/2006/relationships/hyperlink" Target="https://doi.org/10.1371/journal.pone.007708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i.org/10.1038/s41598-024-84537-3" TargetMode="External"/><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oi.org/10.1006/nimg.1998.0419" TargetMode="External"/><Relationship Id="rId23" Type="http://schemas.openxmlformats.org/officeDocument/2006/relationships/hyperlink" Target="https://doi.org/10.1109/ACCESS.2022.3169684" TargetMode="External"/><Relationship Id="rId28" Type="http://schemas.openxmlformats.org/officeDocument/2006/relationships/hyperlink" Target="https://doi.org/10.1016/j.neuroimage.2011.10.018" TargetMode="External"/><Relationship Id="rId10" Type="http://schemas.openxmlformats.org/officeDocument/2006/relationships/image" Target="media/image4.png"/><Relationship Id="rId19" Type="http://schemas.openxmlformats.org/officeDocument/2006/relationships/hyperlink" Target="https://doi.org/10.20517/ais.2023.22"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073/pnas.87.24.9868" TargetMode="External"/><Relationship Id="rId22" Type="http://schemas.openxmlformats.org/officeDocument/2006/relationships/hyperlink" Target="https://doi.org/10.1007/s10916-025-02148-7" TargetMode="External"/><Relationship Id="rId27" Type="http://schemas.openxmlformats.org/officeDocument/2006/relationships/hyperlink" Target="https://doi.org/10.18112/openneuro.ds000114.v1.0.2" TargetMode="External"/><Relationship Id="rId30" Type="http://schemas.openxmlformats.org/officeDocument/2006/relationships/hyperlink" Target="https://doi.org/10.7326/M21-3128"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14</Pages>
  <Words>5318</Words>
  <Characters>30316</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SHANMUKHA SAI PRAKASH</cp:lastModifiedBy>
  <cp:revision>5</cp:revision>
  <dcterms:created xsi:type="dcterms:W3CDTF">2026-05-03T07:30:00Z</dcterms:created>
  <dcterms:modified xsi:type="dcterms:W3CDTF">2026-05-03T09:45:00Z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d9d6d07d-341e-4265-8a47-11b34e203623</vt:lpwstr>
  </property>
</Properties>
</file>