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landscape of traffic safety prediction has rapidly evolved over the last three years, moving away from simple regression models towards complex, multi-modal frameworks. Recent 2026 preprints demonstrate a significant shift towards real-time driver monitoring and spatiotemporal network analysis. For instance, advanced facial action unit detection techniques utilizing twin cycle autoencoders have shown immense promise for real-time driver drowsiness monitoring \cite{ref8}, serving as a critical internal sensor for modern ADAS systems. Similarly, hybrid machine learning approaches are increasingly employed for complex vehicle dynamics, such as estimating articulation angles in truck-semitrailer combinations \cite{ref9}, which directly informs our understanding of heavy-vehicle risk profiles on highways.</w:t>
        <w:br/>
        <w:br/>
        <w:t xml:space="preserve">Beyond internal vehicle dynamics, the robustness of the underlying AI infrastructure is paramount for autonomous systems. Adaptive fault injection planning for multi-layer self-healing AI \cite{ref10} ensures that ADAS networks remain resilient under sensor failure. In the realm of real-time data processing, modern optimization techniques such as variable-rate KV cache compression for Large Language Models (LLMs) \cite{ref11} and mathematically verified security software \cite{ref12} provide the necessary computational efficiency and safety guarantees required for deploying complex ML models on Edge devices. </w:t>
        <w:br/>
        <w:br/>
        <w:t>While certain advanced ML paradigms have been explored in unrelated domains—such as detecting long COVID using heart rate variability \cite{ref13} or specifying governance models \cite{ref14}—the core principles of anomaly detection and multi-modal integration remain highly transferable to traffic safety. Within autonomous driving, the development of knowledge-augmented datasets containing high-risk driving scenarios annotated by LLMs \cite{ref15} has substantially improved model training. Furthermore, adaptive data analysis \cite{ref16} and online data selection paradigms \cite{ref17} ensure that predictive models continuously align with shifting environmental distributions.</w:t>
        <w:br/>
        <w:br/>
        <w:t>The integration of Reinforcement Learning (RL) has also accelerated. Parametrized Deep Q-networks (DQN) with hybrid action spaces are now actively used to control automated car following and lane-changing behavior \cite{ref18}. These systems are further enhanced by socially-aware navigation algorithms designed for emergency assistance and payload delivery \cite{ref19}. The availability of diverse, multimodal datasets, such as the LYNRED Mobility Dataset for thermal and visual detection \cite{ref20}, allows for highly accurate pedestrian and hazard detection in low-visibility conditions.</w:t>
        <w:br/>
        <w:br/>
        <w:t>At the network level, adaptive routing protocols \cite{ref21} and physics-informed ensembles with adaptive data augmentation \cite{ref22} provide the necessary backbone for Vehicle-to-Everything (V2X) communication. Frameworks like BluTrain \cite{ref23} facilitate the rapid deployment of these complex C++/CUDA AI systems. Interestingly, the rigorous evaluation of LLM outputs via knowledge graphs \cite{ref24} and multi-modal agentic frameworks \cite{ref25} mirrors the necessity for interpretable, evidence-gated predictions in our own hazard detection architecture.</w:t>
        <w:br/>
        <w:br/>
        <w:t>Progressive pixel-neighborhood deformable cross-attention models for multispectral object detection \cite{ref26} and advancements in multiword arithmetic for parallel computing \cite{ref27} provide the extreme computational speed and accuracy required for live video feeds. Ultimately, systems like GreenBox, an automatic road accident detection system with real-time SMS notifications \cite{ref28}, and studies analyzing the impact of ADAS and V2X penetration rates on cooperative active safety \cite{ref29} prove that the fusion of localized ML and widespread connectivity is the future of intelligent transportation. Techniques such as conditional image synthesis \cite{ref30} can even simulate rare traffic scenarios to robustly train these models against edge cases.</w:t>
      </w:r>
    </w:p>
    <w:p>
      <w:pPr>
        <w:pStyle w:val="Heading1"/>
      </w:pPr>
      <w:r>
        <w:t>Proposed System</w:t>
      </w:r>
    </w:p>
    <w:p>
      <w:pPr>
        <w:pStyle w:val="Heading2"/>
      </w:pPr>
      <w:r>
        <w:t>System Overview</w:t>
      </w:r>
    </w:p>
    <w:p>
      <w:r>
        <w:t>The proposed method is divided into two distinct architectural stages: offline spatial clustering/training and online dynamic inference. The main aim is to make the model run on systems without sophisticated hardware such as dedicated in-vehicle GPUs or OBD-II sensors. The model processing internally involves an offline pipeline that cleanses raw historical records, maps them into Uber H3 risk clusters, and trains a supervised Machine Learning classifier. In the second stage, online classification occurs; the model determines whether the vehicle entering a cluster faces an escalated risk based on live environmental context.</w:t>
      </w:r>
    </w:p>
    <w:p>
      <w:pPr>
        <w:pStyle w:val="Heading2"/>
      </w:pPr>
      <w:r>
        <w:t>Dataset and Preprocessing</w:t>
      </w:r>
    </w:p>
    <w:p>
      <w:r>
        <w:t>We utilized the ``Accidents in France from 2005 to 2016'' governmental dataset (Kaggle). This comprises distinct tables detailing precise GPS coordinates (caracteristics.csv) and individual injury severities (users.csv) for over 800,000 distinct vehicular collisions.</w:t>
        <w:br/>
        <w:br/>
        <w:t xml:space="preserve">Extensive geospatial normalization was required. Historical police terminals frequently recorded GPS locations as whole integers by omitting floating-point decimals. The pipeline mathematically rectifies this by identifying coordinates out of legitimate spatial bounds and dividing them by a factor of 100,000. </w:t>
        <w:br/>
        <w:br/>
        <w:t xml:space="preserve"> \text{Latitude}_{adj} =  \frac{\text{Latitude}}{100000}, &amp; \text{if Latitude} &gt; 90 \\ \text{Latitude}, &amp; \text{otherwise}  </w:t>
        <w:br/>
        <w:br/>
        <w:t>The dataset was isolated to the French mainland by enforcing rigid bounding limits. Injury records were aggregated using a grouped maximum function on the unique Accident ID (Num\_Acc). The highest injury severity recorded dictated the absolute classification label (Class 1 for Severe/Fatal, Class 0 for Minor/Moderate).</w:t>
      </w:r>
    </w:p>
    <w:p>
      <w:pPr>
        <w:pStyle w:val="Heading2"/>
      </w:pPr>
      <w:r>
        <w:t>Feature Engineering and Target Leakage Prevention</w:t>
      </w:r>
    </w:p>
    <w:p>
      <w:r>
        <w:t xml:space="preserve">The algorithm uses raw coordinates and timestamps for extracting environmental features, notably Boolean flags for is\_raining, is\_snowing, is\_fog, and is\_night. Passing granular lat and long coordinates directly into a spatial Machine Learning architecture universally results in ``Target Leakage.'' </w:t>
        <w:br/>
        <w:br/>
        <w:t>To rectify this, the set of predefined bounding coordinates was mathematically rounded to exactly one decimal place. This transforms the input geometry from microscopic intersections into massive 11x11 kilometer ``Macro-Regions.'' By enforcing this aggressive rounding strategy, the model is physically prevented from memorizing specific intersections.</w:t>
      </w:r>
    </w:p>
    <w:p>
      <w:pPr>
        <w:pStyle w:val="Heading2"/>
      </w:pPr>
      <w:r>
        <w:t>Mathematical Rigor of Geospatial Tessellation (Uber H3)</w:t>
      </w:r>
    </w:p>
    <w:p>
      <w:r>
        <w:t>Unlike standard bounding box matrices (where latitude and longitude form square grids), our system utilizes hexagonal tessellation. On a spherical earth, standard square grids suffer from massive spatial distortion near the poles, rendering distance calculations highly inaccurate. Uber's H3 framework mitigates this by applying an icosahedron projection to the globe, unfolding the sphere into 20 planar triangles, which are then accurately covered by hexagons.</w:t>
        <w:br/>
        <w:br/>
        <w:t xml:space="preserve">For any given GPS coordinate (lat, lon), the algorithm computes its containing hexagonal cell index H_i. </w:t>
        <w:br/>
        <w:br/>
        <w:t xml:space="preserve">Because a hexagon has the unique mathematical property that the distance from its center to all six neighboring cell centers is exactly identical, neighborhood radius searches are mathematically perfect. This eliminates the angular edge-case distortions (the "diagonal problem") found in square grid clustering. </w:t>
        <w:br/>
        <w:br/>
        <w:t>The distance between the centers of two adjacent hexagons at resolution r can be approximated as:</w:t>
        <w:br/>
        <w:br/>
        <w:t xml:space="preserve"> D_r \approx \sqrt{\frac{2 \cdot A_r}{3 \sqrt{3}}} x 2 </w:t>
        <w:br/>
        <w:br/>
        <w:t>where A_r is the average area of a hexagon at resolution r. We implemented Resolution 8 hexagons, which possess an average area of 0.73 km^2 and an edge length of 461 meters—optimal for urban intersection representation.</w:t>
        <w:br/>
        <w:br/>
        <w:t>Furthermore, hierarchical indexing allows for instant parent-child aggregation. A cell at resolution r accurately contains roughly 7 child cells at resolution r+1. This allows our algorithm to perform macro-level traffic analysis across an entire city (Resolution 5) and instantly zoom into micro-level intersection hazards (Resolution 9) using simple bitwise shifts on the 64-bit integer index, completely circumventing O(N) database scans.</w:t>
        <w:br/>
        <w:br/>
        <w:t>Unlike standard bounding box matrices, our system utilizes hexagonal tessellation. Uber's H3 framework mitigates polar distortion by applying an icosahedron projection.</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We implemented Resolution 8 hexagons (average area 0.73 km^2, edge length 461 meters).</w:t>
      </w:r>
    </w:p>
    <w:p>
      <w:pPr>
        <w:pStyle w:val="Heading2"/>
      </w:pPr>
      <w:r>
        <w:t>Machine Learning Model (HistGradientBoosting)</w:t>
      </w:r>
    </w:p>
    <w:p>
      <w:r>
        <w:t>The classification is made in successive gradient boosting stages. The HistGradientBoostingClassifier from Scikit-Learn discretizes continuous features into integer-valued bins, replacing costly sorting with rapid bin lookups. The model minimizes the logarithmic loss (Log-Loss):</w:t>
        <w:br/>
        <w:br/>
        <w:t xml:space="preserve"> L(y, \hat{p}) = - \left[ y \log(\hat{p}) + (1 - y) \log(1 - \hat{p}) \right] </w:t>
        <w:br/>
        <w:br/>
        <w:t>where y is the actual severity label and \hat{p} is the predicted probability of a Severe accident.</w:t>
      </w:r>
    </w:p>
    <w:p>
      <w:pPr>
        <w:pStyle w:val="Heading2"/>
      </w:pPr>
      <w:r>
        <w:t>Risk Prediction Algorithm</w:t>
      </w:r>
    </w:p>
    <w:p>
      <w:r>
        <w:t xml:space="preserve">We use historical base scores assigned to the H3 Hexagons and combine them with the scalar multiplier generated by the ML model. This live probability is divided by the national baseline severity average (approximately 55%) to extract a raw scalar multiplier. </w:t>
        <w:br/>
        <w:br/>
        <w:t xml:space="preserve"> \text{Multiplier} = \frac{P(\text{Severe} \mid \text{Weather, Region})}{P(\text{Baseline})} </w:t>
        <w:br/>
        <w:br/>
        <w:t>Finally, the Simulation Layer serves as the driver's dashboard, built entirely on Streamlit, wrapping a custom Leaflet.js and Turf.js map instance to animate the vehicle smoothly.</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workstation equipped with 16 GB RAM, an Intel i7 processor, and an NVIDIA T4 GPU.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proposed method was benchmarked against standard industry algorithms. </w:t>
        <w:br/>
        <w:br/>
        <w:t>[TABLE PLACEHOLDER]</w:t>
        <w:br/>
        <w:br/>
        <w:t>The HistGradientBoosting architecture yielded the highest mean ROC-AUC (0.795) while maintaining an inference latency of 5 ms. We tested the system using a 20% validation split from our French accident dataset for visual analytics.</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