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3744" w:val="left"/>
          <w:tab w:pos="6624" w:val="left"/>
          <w:tab w:pos="11045" w:val="right"/>
        </w:tabs>
        <w:spacing w:after="160"/>
      </w:pPr>
      <w:r>
        <w:rPr>
          <w:b/>
          <w:sz w:val="28"/>
        </w:rPr>
        <w:t xml:space="preserve">Name: </w:t>
      </w:r>
      <w:r>
        <w:t>________________</w:t>
        <w:tab/>
      </w:r>
      <w:r>
        <w:rPr>
          <w:b/>
          <w:sz w:val="28"/>
        </w:rPr>
        <w:t xml:space="preserve">Date: </w:t>
      </w:r>
      <w:r>
        <w:t>10 March 2026</w:t>
        <w:tab/>
      </w:r>
      <w:r>
        <w:rPr>
          <w:b/>
          <w:sz w:val="28"/>
        </w:rPr>
        <w:t xml:space="preserve">Time: </w:t>
      </w:r>
      <w:r>
        <w:rPr>
          <w:u w:val="single"/>
        </w:rPr>
        <w:t>60 min</w:t>
        <w:tab/>
      </w:r>
      <w:r>
        <w:rPr>
          <w:b/>
          <w:sz w:val="28"/>
        </w:rPr>
        <w:t xml:space="preserve">Max Marks: </w:t>
      </w:r>
      <w:r>
        <w:rPr>
          <w:u w:val="single"/>
        </w:rPr>
        <w:t xml:space="preserve"> 25 </w:t>
      </w:r>
    </w:p>
    <w:p>
      <w:pPr>
        <w:spacing w:after="120"/>
      </w:pPr>
      <w:r>
        <w:rPr>
          <w:b/>
          <w:sz w:val="28"/>
        </w:rPr>
        <w:t>Multiple Choice Questions (9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1"/>
        <w:gridCol w:w="1841"/>
        <w:gridCol w:w="1841"/>
        <w:gridCol w:w="1841"/>
        <w:gridCol w:w="1841"/>
        <w:gridCol w:w="1841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6"/>
              </w:rPr>
              <w:t>No</w:t>
            </w:r>
          </w:p>
        </w:tc>
        <w:tc>
          <w:tcPr>
            <w:tcW w:type="dxa" w:w="5573"/>
          </w:tcPr>
          <w:p>
            <w:pPr>
              <w:jc w:val="center"/>
            </w:pPr>
            <w:r>
              <w:rPr>
                <w:b/>
                <w:sz w:val="26"/>
              </w:rPr>
              <w:t>Question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26"/>
              </w:rPr>
              <w:t>A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26"/>
              </w:rPr>
              <w:t>B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26"/>
              </w:rPr>
              <w:t>C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26"/>
              </w:rPr>
              <w:t>D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573"/>
            <w:vAlign w:val="center"/>
          </w:tcPr>
          <w:p>
            <w:r>
              <w:t>Option typically included in common Terms of Use clauses:</w:t>
            </w:r>
          </w:p>
        </w:tc>
        <w:tc>
          <w:tcPr>
            <w:tcW w:type="dxa" w:w="1224"/>
            <w:vAlign w:val="center"/>
          </w:tcPr>
          <w:p>
            <w:r>
              <w:t>User obligations</w:t>
            </w:r>
          </w:p>
        </w:tc>
        <w:tc>
          <w:tcPr>
            <w:tcW w:type="dxa" w:w="1224"/>
            <w:vAlign w:val="center"/>
          </w:tcPr>
          <w:p>
            <w:r>
              <w:t>Privacy and data use</w:t>
            </w:r>
          </w:p>
        </w:tc>
        <w:tc>
          <w:tcPr>
            <w:tcW w:type="dxa" w:w="1224"/>
            <w:vAlign w:val="center"/>
          </w:tcPr>
          <w:p>
            <w:r>
              <w:t>Product advertising</w:t>
            </w:r>
          </w:p>
        </w:tc>
        <w:tc>
          <w:tcPr>
            <w:tcW w:type="dxa" w:w="1224"/>
            <w:vAlign w:val="center"/>
          </w:tcPr>
          <w:p>
            <w:r>
              <w:t>Termination of service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573"/>
            <w:vAlign w:val="center"/>
          </w:tcPr>
          <w:p>
            <w:r>
              <w:t>The purpose of the "Limitations of Liability" clause in Terms of Use:</w:t>
            </w:r>
          </w:p>
        </w:tc>
        <w:tc>
          <w:tcPr>
            <w:tcW w:type="dxa" w:w="1224"/>
            <w:vAlign w:val="center"/>
          </w:tcPr>
          <w:p>
            <w:r>
              <w:t>Ensures full company responsibility</w:t>
            </w:r>
          </w:p>
        </w:tc>
        <w:tc>
          <w:tcPr>
            <w:tcW w:type="dxa" w:w="1224"/>
            <w:vAlign w:val="center"/>
          </w:tcPr>
          <w:p>
            <w:r>
              <w:t>Limits company's liability</w:t>
            </w:r>
          </w:p>
        </w:tc>
        <w:tc>
          <w:tcPr>
            <w:tcW w:type="dxa" w:w="1224"/>
            <w:vAlign w:val="center"/>
          </w:tcPr>
          <w:p>
            <w:r>
              <w:t>Provides user rights for damages</w:t>
            </w:r>
          </w:p>
        </w:tc>
        <w:tc>
          <w:tcPr>
            <w:tcW w:type="dxa" w:w="1224"/>
            <w:vAlign w:val="center"/>
          </w:tcPr>
          <w:p>
            <w:r>
              <w:t>Guarantees constant service availability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573"/>
            <w:vAlign w:val="center"/>
          </w:tcPr>
          <w:p>
            <w:r>
              <w:t>The type of harmful software that secretly monitors user activity:</w:t>
            </w:r>
          </w:p>
        </w:tc>
        <w:tc>
          <w:tcPr>
            <w:tcW w:type="dxa" w:w="1224"/>
            <w:vAlign w:val="center"/>
          </w:tcPr>
          <w:p>
            <w:r>
              <w:t>Spam</w:t>
            </w:r>
          </w:p>
        </w:tc>
        <w:tc>
          <w:tcPr>
            <w:tcW w:type="dxa" w:w="1224"/>
            <w:vAlign w:val="center"/>
          </w:tcPr>
          <w:p>
            <w:r>
              <w:t>Cookies</w:t>
            </w:r>
          </w:p>
        </w:tc>
        <w:tc>
          <w:tcPr>
            <w:tcW w:type="dxa" w:w="1224"/>
            <w:vAlign w:val="center"/>
          </w:tcPr>
          <w:p>
            <w:r>
              <w:t>Spyware</w:t>
            </w:r>
          </w:p>
        </w:tc>
        <w:tc>
          <w:tcPr>
            <w:tcW w:type="dxa" w:w="1224"/>
            <w:vAlign w:val="center"/>
          </w:tcPr>
          <w:p>
            <w:r>
              <w:t>Pharming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573"/>
            <w:vAlign w:val="center"/>
          </w:tcPr>
          <w:p>
            <w:r>
              <w:t>The threat involving user redirection to fake websites:</w:t>
            </w:r>
          </w:p>
        </w:tc>
        <w:tc>
          <w:tcPr>
            <w:tcW w:type="dxa" w:w="1224"/>
            <w:vAlign w:val="center"/>
          </w:tcPr>
          <w:p>
            <w:r>
              <w:t>Phishing</w:t>
            </w:r>
          </w:p>
        </w:tc>
        <w:tc>
          <w:tcPr>
            <w:tcW w:type="dxa" w:w="1224"/>
            <w:vAlign w:val="center"/>
          </w:tcPr>
          <w:p>
            <w:r>
              <w:t>Spam</w:t>
            </w:r>
          </w:p>
        </w:tc>
        <w:tc>
          <w:tcPr>
            <w:tcW w:type="dxa" w:w="1224"/>
            <w:vAlign w:val="center"/>
          </w:tcPr>
          <w:p>
            <w:r>
              <w:t>Spyware</w:t>
            </w:r>
          </w:p>
        </w:tc>
        <w:tc>
          <w:tcPr>
            <w:tcW w:type="dxa" w:w="1224"/>
            <w:vAlign w:val="center"/>
          </w:tcPr>
          <w:p>
            <w:r>
              <w:t>Pharming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5573"/>
            <w:vAlign w:val="center"/>
          </w:tcPr>
          <w:p>
            <w:r>
              <w:t>The impact of the digital divide on education:</w:t>
            </w:r>
          </w:p>
        </w:tc>
        <w:tc>
          <w:tcPr>
            <w:tcW w:type="dxa" w:w="1224"/>
            <w:vAlign w:val="center"/>
          </w:tcPr>
          <w:p>
            <w:r>
              <w:t>Improves learning for all</w:t>
            </w:r>
          </w:p>
        </w:tc>
        <w:tc>
          <w:tcPr>
            <w:tcW w:type="dxa" w:w="1224"/>
            <w:vAlign w:val="center"/>
          </w:tcPr>
          <w:p>
            <w:r>
              <w:t>No educational impact</w:t>
            </w:r>
          </w:p>
        </w:tc>
        <w:tc>
          <w:tcPr>
            <w:tcW w:type="dxa" w:w="1224"/>
            <w:vAlign w:val="center"/>
          </w:tcPr>
          <w:p>
            <w:r>
              <w:t>Creates inequality in digital resource access</w:t>
            </w:r>
          </w:p>
        </w:tc>
        <w:tc>
          <w:tcPr>
            <w:tcW w:type="dxa" w:w="1224"/>
            <w:vAlign w:val="center"/>
          </w:tcPr>
          <w:p>
            <w:r>
              <w:t>Replaces traditional teaching methods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5573"/>
            <w:vAlign w:val="center"/>
          </w:tcPr>
          <w:p>
            <w:r>
              <w:t>The reason for understanding bias during information evaluation:</w:t>
            </w:r>
          </w:p>
        </w:tc>
        <w:tc>
          <w:tcPr>
            <w:tcW w:type="dxa" w:w="1224"/>
            <w:vAlign w:val="center"/>
          </w:tcPr>
          <w:p>
            <w:r>
              <w:t>Ignoring other viewpoints</w:t>
            </w:r>
          </w:p>
        </w:tc>
        <w:tc>
          <w:tcPr>
            <w:tcW w:type="dxa" w:w="1224"/>
            <w:vAlign w:val="center"/>
          </w:tcPr>
          <w:p>
            <w:r>
              <w:t>Recognizing the source's agenda</w:t>
            </w:r>
          </w:p>
        </w:tc>
        <w:tc>
          <w:tcPr>
            <w:tcW w:type="dxa" w:w="1224"/>
            <w:vAlign w:val="center"/>
          </w:tcPr>
          <w:p>
            <w:r>
              <w:t>Validating all sources equally</w:t>
            </w:r>
          </w:p>
        </w:tc>
        <w:tc>
          <w:tcPr>
            <w:tcW w:type="dxa" w:w="1224"/>
            <w:vAlign w:val="center"/>
          </w:tcPr>
          <w:p>
            <w:r>
              <w:t>Avoiding evaluation altogether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5573"/>
            <w:vAlign w:val="center"/>
          </w:tcPr>
          <w:p>
            <w:r>
              <w:t>The positive societal impact of computing systems:</w:t>
            </w:r>
          </w:p>
        </w:tc>
        <w:tc>
          <w:tcPr>
            <w:tcW w:type="dxa" w:w="1224"/>
            <w:vAlign w:val="center"/>
          </w:tcPr>
          <w:p>
            <w:r>
              <w:t>Spread of misinformation</w:t>
            </w:r>
          </w:p>
        </w:tc>
        <w:tc>
          <w:tcPr>
            <w:tcW w:type="dxa" w:w="1224"/>
            <w:vAlign w:val="center"/>
          </w:tcPr>
          <w:p>
            <w:r>
              <w:t>Improved information accessibility</w:t>
            </w:r>
          </w:p>
        </w:tc>
        <w:tc>
          <w:tcPr>
            <w:tcW w:type="dxa" w:w="1224"/>
            <w:vAlign w:val="center"/>
          </w:tcPr>
          <w:p>
            <w:r>
              <w:t>Heightened privacy concerns</w:t>
            </w:r>
          </w:p>
        </w:tc>
        <w:tc>
          <w:tcPr>
            <w:tcW w:type="dxa" w:w="1224"/>
            <w:vAlign w:val="center"/>
          </w:tcPr>
          <w:p>
            <w:r>
              <w:t>Widened technology gap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5573"/>
            <w:vAlign w:val="center"/>
          </w:tcPr>
          <w:p>
            <w:r>
              <w:t>The practice considered ethical when using information:</w:t>
            </w:r>
          </w:p>
        </w:tc>
        <w:tc>
          <w:tcPr>
            <w:tcW w:type="dxa" w:w="1224"/>
            <w:vAlign w:val="center"/>
          </w:tcPr>
          <w:p>
            <w:r>
              <w:t>Copying content without permission</w:t>
            </w:r>
          </w:p>
        </w:tc>
        <w:tc>
          <w:tcPr>
            <w:tcW w:type="dxa" w:w="1224"/>
            <w:vAlign w:val="center"/>
          </w:tcPr>
          <w:p>
            <w:r>
              <w:t>Respecting copyright and avoiding plagiarism</w:t>
            </w:r>
          </w:p>
        </w:tc>
        <w:tc>
          <w:tcPr>
            <w:tcW w:type="dxa" w:w="1224"/>
            <w:vAlign w:val="center"/>
          </w:tcPr>
          <w:p>
            <w:r>
              <w:t>Ignoring source attribution</w:t>
            </w:r>
          </w:p>
        </w:tc>
        <w:tc>
          <w:tcPr>
            <w:tcW w:type="dxa" w:w="1224"/>
            <w:vAlign w:val="center"/>
          </w:tcPr>
          <w:p>
            <w:r>
              <w:t>Using unverified information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5573"/>
            <w:vAlign w:val="center"/>
          </w:tcPr>
          <w:p>
            <w:r>
              <w:t>The behavior considered responsible digital conduct:</w:t>
            </w:r>
          </w:p>
        </w:tc>
        <w:tc>
          <w:tcPr>
            <w:tcW w:type="dxa" w:w="1224"/>
            <w:vAlign w:val="center"/>
          </w:tcPr>
          <w:p>
            <w:r>
              <w:t>Using secure websites</w:t>
            </w:r>
          </w:p>
        </w:tc>
        <w:tc>
          <w:tcPr>
            <w:tcW w:type="dxa" w:w="1224"/>
            <w:vAlign w:val="center"/>
          </w:tcPr>
          <w:p>
            <w:r>
              <w:t>Spreading false info online</w:t>
            </w:r>
          </w:p>
        </w:tc>
        <w:tc>
          <w:tcPr>
            <w:tcW w:type="dxa" w:w="1224"/>
            <w:vAlign w:val="center"/>
          </w:tcPr>
          <w:p>
            <w:r>
              <w:t>Respecting online privacy</w:t>
            </w:r>
          </w:p>
        </w:tc>
        <w:tc>
          <w:tcPr>
            <w:tcW w:type="dxa" w:w="1224"/>
            <w:vAlign w:val="center"/>
          </w:tcPr>
          <w:p>
            <w:r>
              <w:t>Reporting suspicious activity1</w:t>
            </w:r>
          </w:p>
        </w:tc>
      </w:tr>
    </w:tbl>
    <w:p>
      <w:pPr>
        <w:spacing w:before="160"/>
      </w:pPr>
      <w:r>
        <w:rPr>
          <w:b/>
          <w:sz w:val="28"/>
        </w:rPr>
        <w:t>Short Questions (2 x 5 = 10)</w:t>
      </w:r>
    </w:p>
    <w:p>
      <w:pPr>
        <w:spacing w:after="40"/>
        <w:ind w:left="360" w:hanging="360"/>
      </w:pPr>
      <w:r>
        <w:rPr>
          <w:b/>
        </w:rPr>
        <w:t xml:space="preserve">1. </w:t>
      </w:r>
      <w:r>
        <w:t>what do you mean by "term of use"?</w:t>
      </w:r>
    </w:p>
    <w:p>
      <w:pPr>
        <w:spacing w:after="40"/>
        <w:ind w:left="360" w:hanging="360"/>
      </w:pPr>
      <w:r>
        <w:rPr>
          <w:b/>
        </w:rPr>
        <w:t xml:space="preserve">2. </w:t>
      </w:r>
      <w:r>
        <w:t>Explain the intellectual property rights.</w:t>
      </w:r>
    </w:p>
    <w:p>
      <w:pPr>
        <w:spacing w:after="40"/>
        <w:ind w:left="360" w:hanging="360"/>
      </w:pPr>
      <w:r>
        <w:rPr>
          <w:b/>
        </w:rPr>
        <w:t xml:space="preserve">3. </w:t>
      </w:r>
      <w:r>
        <w:t>Explain the user obligation in detail with example.</w:t>
      </w:r>
    </w:p>
    <w:p>
      <w:pPr>
        <w:spacing w:after="40"/>
        <w:ind w:left="360" w:hanging="360"/>
      </w:pPr>
      <w:r>
        <w:rPr>
          <w:b/>
        </w:rPr>
        <w:t xml:space="preserve">4. </w:t>
      </w:r>
      <w:r>
        <w:t>Explain the cookies in detial.</w:t>
      </w:r>
    </w:p>
    <w:p>
      <w:pPr>
        <w:spacing w:after="40"/>
        <w:ind w:left="360" w:hanging="360"/>
      </w:pPr>
      <w:r>
        <w:rPr>
          <w:b/>
        </w:rPr>
        <w:t xml:space="preserve">5. </w:t>
      </w:r>
      <w:r>
        <w:t>What is term "Phishing"?</w:t>
      </w:r>
    </w:p>
    <w:p>
      <w:pPr>
        <w:spacing w:before="160"/>
      </w:pPr>
      <w:r>
        <w:rPr>
          <w:b/>
          <w:sz w:val="28"/>
        </w:rPr>
        <w:t>Long Question (6 x 1 = 6)</w:t>
      </w:r>
    </w:p>
    <w:p>
      <w:pPr>
        <w:spacing w:after="80"/>
        <w:ind w:left="360" w:hanging="360"/>
      </w:pPr>
      <w:r>
        <w:rPr>
          <w:b/>
        </w:rPr>
        <w:t xml:space="preserve">1. </w:t>
      </w:r>
      <w:r>
        <w:t>Explain the types of security threats in detial</w:t>
      </w:r>
    </w:p>
    <w:sectPr w:rsidR="00FC693F" w:rsidRPr="0006063C" w:rsidSect="00034616">
      <w:headerReference w:type="default" r:id="rId9"/>
      <w:pgSz w:w="11909" w:h="16834"/>
      <w:pgMar w:top="432" w:right="432" w:bottom="720" w:left="432" w:header="288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sz w:val="72"/>
      </w:rPr>
      <w:t>PARAGON ACADEMY</w:t>
    </w:r>
  </w:p>
  <w:p>
    <w:pPr>
      <w:tabs>
        <w:tab w:pos="5515" w:val="center"/>
        <w:tab w:pos="11045" w:val="right"/>
      </w:tabs>
      <w:spacing w:after="80"/>
      <w:pBdr>
        <w:bottom w:val="single" w:sz="18" w:space="1" w:color="305060"/>
      </w:pBdr>
    </w:pPr>
    <w:r>
      <w:rPr>
        <w:rFonts w:ascii="Times New Roman" w:hAnsi="Times New Roman"/>
        <w:b/>
        <w:sz w:val="24"/>
      </w:rPr>
      <w:t>Computer Science</w:t>
      <w:tab/>
      <w:t>Inter (part I)</w:t>
      <w:tab/>
      <w:t>Chapter No.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