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Grid>
        <w:gridCol w:w="1458"/>
        <w:gridCol w:w="753"/>
        <w:gridCol w:w="1986"/>
        <w:gridCol w:w="1970"/>
        <w:gridCol w:w="1501"/>
        <w:gridCol w:w="1530"/>
        <w:gridCol w:w="1320"/>
      </w:tblGrid>
      <w:tr>
        <w:trPr>
          <w:trHeight w:val="1160" w:hRule="auto"/>
          <w:jc w:val="left"/>
        </w:trPr>
        <w:tc>
          <w:tcPr>
            <w:tcW w:w="145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color w:val="auto"/>
                <w:spacing w:val="0"/>
                <w:position w:val="0"/>
                <w:sz w:val="22"/>
                <w:shd w:fill="auto" w:val="clear"/>
              </w:rPr>
            </w:pPr>
            <w:r>
              <w:object w:dxaOrig="1399" w:dyaOrig="1382">
                <v:rect xmlns:o="urn:schemas-microsoft-com:office:office" xmlns:v="urn:schemas-microsoft-com:vml" id="rectole0000000000" style="width:69.950000pt;height:69.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tc>
        <w:tc>
          <w:tcPr>
            <w:tcW w:w="6210" w:type="dxa"/>
            <w:gridSpan w:val="4"/>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0" w:line="240"/>
              <w:ind w:right="90" w:left="-195" w:firstLine="195"/>
              <w:jc w:val="center"/>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8"/>
                <w:shd w:fill="auto" w:val="clear"/>
              </w:rPr>
              <w:t xml:space="preserve">PMAS Arid Agriculture University Rawalpindi</w:t>
            </w:r>
          </w:p>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6"/>
                <w:shd w:fill="auto" w:val="clear"/>
              </w:rPr>
              <w:t xml:space="preserve">University Institute of Information Technology</w:t>
            </w:r>
          </w:p>
        </w:tc>
        <w:tc>
          <w:tcPr>
            <w:tcW w:w="153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90" w:left="-195" w:firstLine="195"/>
              <w:jc w:val="center"/>
              <w:rPr>
                <w:rFonts w:ascii="Calibri" w:hAnsi="Calibri" w:cs="Calibri" w:eastAsia="Calibri"/>
                <w:color w:val="auto"/>
                <w:spacing w:val="0"/>
                <w:position w:val="0"/>
                <w:sz w:val="22"/>
                <w:shd w:fill="auto" w:val="clear"/>
              </w:rPr>
            </w:pPr>
            <w:r>
              <w:object w:dxaOrig="1656" w:dyaOrig="1386">
                <v:rect xmlns:o="urn:schemas-microsoft-com:office:office" xmlns:v="urn:schemas-microsoft-com:vml" id="rectole0000000001" style="width:82.800000pt;height:69.3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tc>
      </w:tr>
      <w:tr>
        <w:trPr>
          <w:trHeight w:val="1" w:hRule="atLeast"/>
          <w:jc w:val="left"/>
        </w:trPr>
        <w:tc>
          <w:tcPr>
            <w:tcW w:w="10518" w:type="dxa"/>
            <w:gridSpan w:val="7"/>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b/>
                <w:color w:val="auto"/>
                <w:spacing w:val="0"/>
                <w:position w:val="0"/>
                <w:sz w:val="28"/>
                <w:shd w:fill="auto" w:val="clear"/>
              </w:rPr>
              <w:t xml:space="preserve">MGT-351 Introduction to Marketing</w:t>
            </w:r>
          </w:p>
        </w:tc>
      </w:tr>
      <w:tr>
        <w:trPr>
          <w:trHeight w:val="1" w:hRule="atLeast"/>
          <w:jc w:val="left"/>
        </w:trPr>
        <w:tc>
          <w:tcPr>
            <w:tcW w:w="221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right" w:pos="2178" w:leader="none"/>
              </w:tabs>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Credit Hours:</w:t>
            </w:r>
          </w:p>
        </w:tc>
        <w:tc>
          <w:tcPr>
            <w:tcW w:w="19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3(3-0)</w:t>
            </w:r>
          </w:p>
        </w:tc>
        <w:tc>
          <w:tcPr>
            <w:tcW w:w="19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Prerequisites:</w:t>
            </w:r>
          </w:p>
        </w:tc>
        <w:tc>
          <w:tcPr>
            <w:tcW w:w="4351"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None</w:t>
            </w:r>
          </w:p>
        </w:tc>
      </w:tr>
      <w:tr>
        <w:trPr>
          <w:trHeight w:val="1" w:hRule="atLeast"/>
          <w:jc w:val="left"/>
        </w:trPr>
        <w:tc>
          <w:tcPr>
            <w:tcW w:w="221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tabs>
                <w:tab w:val="right" w:pos="2178" w:leader="none"/>
              </w:tabs>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Teacher:</w:t>
            </w:r>
          </w:p>
        </w:tc>
        <w:tc>
          <w:tcPr>
            <w:tcW w:w="198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Solat sidra </w:t>
            </w:r>
          </w:p>
        </w:tc>
        <w:tc>
          <w:tcPr>
            <w:tcW w:w="19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51"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Arial" w:hAnsi="Arial" w:cs="Arial" w:eastAsia="Arial"/>
          <w:color w:val="auto"/>
          <w:spacing w:val="0"/>
          <w:position w:val="0"/>
          <w:sz w:val="24"/>
          <w:shd w:fill="auto" w:val="clear"/>
        </w:rPr>
      </w:pPr>
    </w:p>
    <w:tbl>
      <w:tblPr/>
      <w:tblGrid>
        <w:gridCol w:w="9320"/>
      </w:tblGrid>
      <w:tr>
        <w:trPr>
          <w:trHeight w:val="1" w:hRule="atLeast"/>
          <w:jc w:val="left"/>
        </w:trPr>
        <w:tc>
          <w:tcPr>
            <w:tcW w:w="9320"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Course Description:</w:t>
            </w:r>
          </w:p>
        </w:tc>
      </w:tr>
      <w:tr>
        <w:trPr>
          <w:trHeight w:val="1" w:hRule="atLeast"/>
          <w:jc w:val="left"/>
        </w:trPr>
        <w:tc>
          <w:tcPr>
            <w:tcW w:w="9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Introduction (Introduction, Value creation and capturing value from customers); Marketing management philosophies, Designing customer driven marketing strategy; Marketing challenges in new era; Company-wide strategic planning and role of marketing; Marketing analysis, marketing planning and marketing implementation; Analyzing the marketing environment (micro and macro environment); Model of consumer behavior; Buyer decision process; Market segmentation, targeting; Product development; Pricing strategies; E-business applications.</w:t>
            </w:r>
          </w:p>
        </w:tc>
      </w:tr>
      <w:tr>
        <w:trPr>
          <w:trHeight w:val="1" w:hRule="atLeast"/>
          <w:jc w:val="left"/>
        </w:trPr>
        <w:tc>
          <w:tcPr>
            <w:tcW w:w="9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Course Objective:</w:t>
            </w:r>
          </w:p>
        </w:tc>
      </w:tr>
      <w:tr>
        <w:trPr>
          <w:trHeight w:val="1" w:hRule="atLeast"/>
          <w:jc w:val="left"/>
        </w:trPr>
        <w:tc>
          <w:tcPr>
            <w:tcW w:w="9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rPr>
            </w:pPr>
            <w:r>
              <w:rPr>
                <w:rFonts w:ascii="Arial" w:hAnsi="Arial" w:cs="Arial" w:eastAsia="Arial"/>
                <w:color w:val="auto"/>
                <w:spacing w:val="0"/>
                <w:position w:val="0"/>
                <w:sz w:val="24"/>
                <w:shd w:fill="FFFFFF" w:val="clear"/>
              </w:rPr>
              <w:t xml:space="preserve">This course is designed to introduce foundations of marketing as they narrate to the whole computer business enterprise. This course will focus on developing and understanding of key marketing concepts computer industry specifically, to enhance the conceptual knowledge of marketing as applicable to decision making process with a focus on tactical marketing mix decisions.</w:t>
            </w:r>
          </w:p>
        </w:tc>
      </w:tr>
      <w:tr>
        <w:trPr>
          <w:trHeight w:val="1" w:hRule="atLeast"/>
          <w:jc w:val="left"/>
        </w:trPr>
        <w:tc>
          <w:tcPr>
            <w:tcW w:w="9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Teaching Methodology:</w:t>
            </w:r>
          </w:p>
        </w:tc>
      </w:tr>
      <w:tr>
        <w:trPr>
          <w:trHeight w:val="1" w:hRule="atLeast"/>
          <w:jc w:val="left"/>
        </w:trPr>
        <w:tc>
          <w:tcPr>
            <w:tcW w:w="9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Lectures, Assignments, Quizzes, Projects, Presentations, etc. Major component of the course should be covered using conventional lectures. </w:t>
            </w:r>
          </w:p>
        </w:tc>
      </w:tr>
      <w:tr>
        <w:trPr>
          <w:trHeight w:val="1" w:hRule="atLeast"/>
          <w:jc w:val="left"/>
        </w:trPr>
        <w:tc>
          <w:tcPr>
            <w:tcW w:w="9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Courses Assessment:</w:t>
            </w:r>
          </w:p>
        </w:tc>
      </w:tr>
      <w:tr>
        <w:trPr>
          <w:trHeight w:val="1" w:hRule="atLeast"/>
          <w:jc w:val="left"/>
        </w:trPr>
        <w:tc>
          <w:tcPr>
            <w:tcW w:w="9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color w:val="auto"/>
                <w:spacing w:val="0"/>
                <w:position w:val="0"/>
                <w:shd w:fill="auto" w:val="clear"/>
              </w:rPr>
            </w:pPr>
            <w:r>
              <w:rPr>
                <w:rFonts w:ascii="Arial" w:hAnsi="Arial" w:cs="Arial" w:eastAsia="Arial"/>
                <w:color w:val="auto"/>
                <w:spacing w:val="0"/>
                <w:position w:val="0"/>
                <w:sz w:val="24"/>
                <w:shd w:fill="auto" w:val="clear"/>
              </w:rPr>
              <w:t xml:space="preserve">Exams, Assignments, Quizzes, Project, Presentations. Course will be assessed using a combination of written examinations and project/assignments and quizzes. </w:t>
            </w:r>
          </w:p>
        </w:tc>
      </w:tr>
      <w:tr>
        <w:trPr>
          <w:trHeight w:val="1" w:hRule="atLeast"/>
          <w:jc w:val="left"/>
        </w:trPr>
        <w:tc>
          <w:tcPr>
            <w:tcW w:w="9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Reference Materials:</w:t>
            </w:r>
          </w:p>
        </w:tc>
      </w:tr>
      <w:tr>
        <w:trPr>
          <w:trHeight w:val="1" w:hRule="atLeast"/>
          <w:jc w:val="left"/>
        </w:trPr>
        <w:tc>
          <w:tcPr>
            <w:tcW w:w="9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39"/>
              </w:numPr>
              <w:spacing w:before="0" w:after="0" w:line="240"/>
              <w:ind w:right="0" w:left="36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Philip Kotler, Principles of Marketing (South Asian Edition) </w:t>
            </w:r>
          </w:p>
          <w:p>
            <w:pPr>
              <w:numPr>
                <w:ilvl w:val="0"/>
                <w:numId w:val="39"/>
              </w:numPr>
              <w:spacing w:before="0" w:after="0" w:line="240"/>
              <w:ind w:right="0" w:left="36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Philip Kotler, Principles of Marketing (19</w:t>
            </w:r>
            <w:r>
              <w:rPr>
                <w:rFonts w:ascii="Arial" w:hAnsi="Arial" w:cs="Arial" w:eastAsia="Arial"/>
                <w:color w:val="auto"/>
                <w:spacing w:val="0"/>
                <w:position w:val="0"/>
                <w:sz w:val="24"/>
                <w:shd w:fill="auto" w:val="clear"/>
                <w:vertAlign w:val="superscript"/>
              </w:rPr>
              <w:t xml:space="preserve">th</w:t>
            </w:r>
            <w:r>
              <w:rPr>
                <w:rFonts w:ascii="Arial" w:hAnsi="Arial" w:cs="Arial" w:eastAsia="Arial"/>
                <w:color w:val="auto"/>
                <w:spacing w:val="0"/>
                <w:position w:val="0"/>
                <w:sz w:val="24"/>
                <w:shd w:fill="auto" w:val="clear"/>
              </w:rPr>
              <w:t xml:space="preserve"> Global Edition) </w:t>
            </w:r>
          </w:p>
          <w:p>
            <w:pPr>
              <w:numPr>
                <w:ilvl w:val="0"/>
                <w:numId w:val="39"/>
              </w:numPr>
              <w:spacing w:before="0" w:after="0" w:line="240"/>
              <w:ind w:right="0" w:left="36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Johan Botha, John Strydom, Annekie Brink, Introduction to Marketing (Latest Edition) </w:t>
            </w:r>
          </w:p>
          <w:p>
            <w:pPr>
              <w:numPr>
                <w:ilvl w:val="0"/>
                <w:numId w:val="39"/>
              </w:numPr>
              <w:spacing w:before="0" w:after="0" w:line="240"/>
              <w:ind w:right="0" w:left="36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Geoffrey A. Lancaster, Geoff Lancaster, Introduction of Marketing (volume 1)</w:t>
            </w:r>
          </w:p>
          <w:p>
            <w:pPr>
              <w:numPr>
                <w:ilvl w:val="0"/>
                <w:numId w:val="39"/>
              </w:numPr>
              <w:spacing w:before="0" w:after="0" w:line="240"/>
              <w:ind w:right="0" w:left="360" w:hanging="360"/>
              <w:jc w:val="both"/>
              <w:rPr>
                <w:color w:val="auto"/>
                <w:spacing w:val="0"/>
                <w:position w:val="0"/>
                <w:shd w:fill="auto" w:val="clear"/>
              </w:rPr>
            </w:pPr>
            <w:r>
              <w:rPr>
                <w:rFonts w:ascii="Arial" w:hAnsi="Arial" w:cs="Arial" w:eastAsia="Arial"/>
                <w:color w:val="auto"/>
                <w:spacing w:val="0"/>
                <w:position w:val="0"/>
                <w:sz w:val="24"/>
                <w:shd w:fill="auto" w:val="clear"/>
              </w:rPr>
              <w:t xml:space="preserve">The Digital Marketing HandBook by simon Kingsnorth</w:t>
            </w:r>
          </w:p>
        </w:tc>
      </w:tr>
    </w:tbl>
    <w:p>
      <w:pPr>
        <w:spacing w:before="0" w:after="0" w:line="240"/>
        <w:ind w:right="0" w:left="0" w:firstLine="0"/>
        <w:jc w:val="left"/>
        <w:rPr>
          <w:rFonts w:ascii="Arial" w:hAnsi="Arial" w:cs="Arial" w:eastAsia="Arial"/>
          <w:color w:val="auto"/>
          <w:spacing w:val="0"/>
          <w:position w:val="0"/>
          <w:sz w:val="24"/>
          <w:shd w:fill="auto" w:val="clear"/>
        </w:rPr>
      </w:pPr>
    </w:p>
    <w:tbl>
      <w:tblPr/>
      <w:tblGrid>
        <w:gridCol w:w="6678"/>
        <w:gridCol w:w="1170"/>
        <w:gridCol w:w="1394"/>
      </w:tblGrid>
      <w:tr>
        <w:trPr>
          <w:trHeight w:val="1" w:hRule="atLeast"/>
          <w:jc w:val="left"/>
        </w:trPr>
        <w:tc>
          <w:tcPr>
            <w:tcW w:w="9242"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Course Learning Outcomes (CLOs):</w:t>
            </w:r>
          </w:p>
        </w:tc>
      </w:tr>
      <w:tr>
        <w:trPr>
          <w:trHeight w:val="1" w:hRule="atLeast"/>
          <w:jc w:val="left"/>
        </w:trPr>
        <w:tc>
          <w:tcPr>
            <w:tcW w:w="66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At the end of the course the students will be able to:</w:t>
            </w:r>
          </w:p>
        </w:tc>
        <w:tc>
          <w:tcPr>
            <w:tcW w:w="11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96"/>
              <w:ind w:right="0" w:left="0" w:firstLine="0"/>
              <w:jc w:val="center"/>
              <w:rPr>
                <w:color w:val="auto"/>
                <w:spacing w:val="0"/>
                <w:position w:val="0"/>
                <w:shd w:fill="auto" w:val="clear"/>
              </w:rPr>
            </w:pPr>
            <w:r>
              <w:rPr>
                <w:rFonts w:ascii="Arial" w:hAnsi="Arial" w:cs="Arial" w:eastAsia="Arial"/>
                <w:b/>
                <w:color w:val="auto"/>
                <w:spacing w:val="0"/>
                <w:position w:val="0"/>
                <w:sz w:val="24"/>
                <w:shd w:fill="auto" w:val="clear"/>
              </w:rPr>
              <w:t xml:space="preserve">Domain</w:t>
            </w:r>
          </w:p>
        </w:tc>
        <w:tc>
          <w:tcPr>
            <w:tcW w:w="13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300"/>
              <w:ind w:right="50" w:left="0" w:firstLine="0"/>
              <w:jc w:val="right"/>
              <w:rPr>
                <w:color w:val="auto"/>
                <w:spacing w:val="0"/>
                <w:position w:val="0"/>
                <w:shd w:fill="auto" w:val="clear"/>
              </w:rPr>
            </w:pPr>
            <w:r>
              <w:rPr>
                <w:rFonts w:ascii="Arial" w:hAnsi="Arial" w:cs="Arial" w:eastAsia="Arial"/>
                <w:b/>
                <w:color w:val="auto"/>
                <w:spacing w:val="0"/>
                <w:position w:val="0"/>
                <w:sz w:val="24"/>
                <w:shd w:fill="auto" w:val="clear"/>
              </w:rPr>
              <w:t xml:space="preserve">BT Level</w:t>
            </w:r>
            <w:r>
              <w:rPr>
                <w:rFonts w:ascii="Arial" w:hAnsi="Arial" w:cs="Arial" w:eastAsia="Arial"/>
                <w:b/>
                <w:color w:val="auto"/>
                <w:spacing w:val="0"/>
                <w:position w:val="0"/>
                <w:sz w:val="24"/>
                <w:shd w:fill="auto" w:val="clear"/>
                <w:vertAlign w:val="superscript"/>
              </w:rPr>
              <w:t xml:space="preserve">*</w:t>
            </w:r>
          </w:p>
        </w:tc>
      </w:tr>
      <w:tr>
        <w:trPr>
          <w:trHeight w:val="1" w:hRule="atLeast"/>
          <w:jc w:val="left"/>
        </w:trPr>
        <w:tc>
          <w:tcPr>
            <w:tcW w:w="667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51"/>
              </w:numPr>
              <w:spacing w:before="0" w:after="0" w:line="240"/>
              <w:ind w:right="0" w:left="360" w:hanging="360"/>
              <w:jc w:val="left"/>
              <w:rPr>
                <w:color w:val="auto"/>
                <w:spacing w:val="0"/>
                <w:position w:val="0"/>
                <w:shd w:fill="auto" w:val="clear"/>
              </w:rPr>
            </w:pPr>
            <w:r>
              <w:rPr>
                <w:rFonts w:ascii="Arial" w:hAnsi="Arial" w:cs="Arial" w:eastAsia="Arial"/>
                <w:color w:val="auto"/>
                <w:spacing w:val="0"/>
                <w:position w:val="0"/>
                <w:sz w:val="24"/>
                <w:shd w:fill="auto" w:val="clear"/>
              </w:rPr>
              <w:t xml:space="preserve">Conceptual knowledge of marketing as applicable to decision making process with a focus on tactical marketing mix decisions.</w:t>
            </w:r>
          </w:p>
        </w:tc>
        <w:tc>
          <w:tcPr>
            <w:tcW w:w="11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C</w:t>
            </w:r>
          </w:p>
        </w:tc>
        <w:tc>
          <w:tcPr>
            <w:tcW w:w="13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1</w:t>
            </w:r>
          </w:p>
        </w:tc>
      </w:tr>
      <w:tr>
        <w:trPr>
          <w:trHeight w:val="1" w:hRule="atLeast"/>
          <w:jc w:val="left"/>
        </w:trPr>
        <w:tc>
          <w:tcPr>
            <w:tcW w:w="9242"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 BT= Bloom’s Taxonomy, C=Cognitive domain, P=Psychomotor domain, A= Affective doma</w:t>
            </w:r>
          </w:p>
        </w:tc>
      </w:tr>
    </w:tbl>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p>
    <w:tbl>
      <w:tblPr/>
      <w:tblGrid>
        <w:gridCol w:w="985"/>
        <w:gridCol w:w="1034"/>
        <w:gridCol w:w="7246"/>
      </w:tblGrid>
      <w:tr>
        <w:trPr>
          <w:trHeight w:val="188" w:hRule="auto"/>
          <w:jc w:val="left"/>
        </w:trPr>
        <w:tc>
          <w:tcPr>
            <w:tcW w:w="2019" w:type="dxa"/>
            <w:gridSpan w:val="2"/>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40"/>
              <w:ind w:right="90" w:left="0" w:firstLine="0"/>
              <w:jc w:val="center"/>
              <w:rPr>
                <w:color w:val="auto"/>
                <w:spacing w:val="0"/>
                <w:position w:val="0"/>
                <w:sz w:val="22"/>
                <w:shd w:fill="auto" w:val="clear"/>
              </w:rPr>
            </w:pPr>
            <w:r>
              <w:rPr>
                <w:rFonts w:ascii="Arial" w:hAnsi="Arial" w:cs="Arial" w:eastAsia="Arial"/>
                <w:b/>
                <w:color w:val="auto"/>
                <w:spacing w:val="0"/>
                <w:position w:val="0"/>
                <w:sz w:val="22"/>
                <w:shd w:fill="auto" w:val="clear"/>
              </w:rPr>
              <w:t xml:space="preserve">Week/Lecture #</w:t>
            </w:r>
          </w:p>
        </w:tc>
        <w:tc>
          <w:tcPr>
            <w:tcW w:w="7246" w:type="dxa"/>
            <w:tcBorders>
              <w:top w:val="single" w:color="000000" w:sz="4"/>
              <w:left w:val="single" w:color="000000" w:sz="4"/>
              <w:bottom w:val="single" w:color="000000" w:sz="4"/>
              <w:right w:val="single" w:color="000000" w:sz="4"/>
            </w:tcBorders>
            <w:shd w:color="auto" w:fill="bfbfbf" w:val="clear"/>
            <w:tcMar>
              <w:left w:w="108" w:type="dxa"/>
              <w:right w:w="108" w:type="dxa"/>
            </w:tcMar>
            <w:vAlign w:val="top"/>
          </w:tcPr>
          <w:p>
            <w:pPr>
              <w:spacing w:before="0" w:after="0" w:line="240"/>
              <w:ind w:right="90" w:left="0" w:firstLine="0"/>
              <w:jc w:val="center"/>
              <w:rPr>
                <w:color w:val="auto"/>
                <w:spacing w:val="0"/>
                <w:position w:val="0"/>
                <w:sz w:val="22"/>
                <w:shd w:fill="auto" w:val="clear"/>
              </w:rPr>
            </w:pPr>
            <w:r>
              <w:rPr>
                <w:rFonts w:ascii="Arial" w:hAnsi="Arial" w:cs="Arial" w:eastAsia="Arial"/>
                <w:b/>
                <w:color w:val="auto"/>
                <w:spacing w:val="0"/>
                <w:position w:val="0"/>
                <w:sz w:val="22"/>
                <w:shd w:fill="auto" w:val="clear"/>
              </w:rPr>
              <w:t xml:space="preserve">Theory</w:t>
            </w:r>
          </w:p>
        </w:tc>
      </w:tr>
      <w:tr>
        <w:trPr>
          <w:trHeight w:val="215" w:hRule="auto"/>
          <w:jc w:val="left"/>
        </w:trPr>
        <w:tc>
          <w:tcPr>
            <w:tcW w:w="985" w:type="dxa"/>
            <w:vMerge w:val="restart"/>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Week 1</w:t>
            </w: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Marketing in a changing World: Creating Customer Value and Satisfaction. </w:t>
            </w:r>
          </w:p>
          <w:p>
            <w:pPr>
              <w:spacing w:before="0" w:after="0" w:line="240"/>
              <w:ind w:right="9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What is Marketing, Marketing Management, Customer Needs, Wants, and Demands  Market Offerings</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Products, Services, and Experiences</w:t>
            </w:r>
          </w:p>
        </w:tc>
      </w:tr>
      <w:tr>
        <w:trPr>
          <w:trHeight w:val="215" w:hRule="auto"/>
          <w:jc w:val="left"/>
        </w:trPr>
        <w:tc>
          <w:tcPr>
            <w:tcW w:w="985" w:type="dxa"/>
            <w:vMerge/>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9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Marketing Management Philosophies, Customer Value and Satisfaction</w:t>
            </w:r>
          </w:p>
        </w:tc>
      </w:tr>
      <w:tr>
        <w:trPr>
          <w:trHeight w:val="1" w:hRule="atLeast"/>
          <w:jc w:val="left"/>
        </w:trPr>
        <w:tc>
          <w:tcPr>
            <w:tcW w:w="985" w:type="dxa"/>
            <w:vMerge w:val="restart"/>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Week 2</w:t>
            </w: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9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Designing a Customer-Driven Marketing Strategy, Marketing Management Orientations, Preparing an Integrated Marketing Plan and Program Building Customer Relationships</w:t>
            </w:r>
          </w:p>
        </w:tc>
      </w:tr>
      <w:tr>
        <w:trPr>
          <w:trHeight w:val="1" w:hRule="atLeast"/>
          <w:jc w:val="left"/>
        </w:trPr>
        <w:tc>
          <w:tcPr>
            <w:tcW w:w="985" w:type="dxa"/>
            <w:vMerge/>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9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Marketing Challenges in the New “Connected” Millennium. Capturing Value from Customers, The Changing Marketing Landscape</w:t>
            </w:r>
          </w:p>
        </w:tc>
      </w:tr>
      <w:tr>
        <w:trPr>
          <w:trHeight w:val="242" w:hRule="auto"/>
          <w:jc w:val="left"/>
        </w:trPr>
        <w:tc>
          <w:tcPr>
            <w:tcW w:w="985" w:type="dxa"/>
            <w:vMerge w:val="restart"/>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Week 3</w:t>
            </w: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Company and Marketing Strategy: Partnering to Build Customer Relationships</w:t>
            </w:r>
          </w:p>
          <w:p>
            <w:pPr>
              <w:spacing w:before="0" w:after="0" w:line="240"/>
              <w:ind w:right="9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Company-Wide Strategic Planning: Setting Company Objectives and Goals ,Designing the Business Portfolio</w:t>
            </w:r>
          </w:p>
        </w:tc>
      </w:tr>
      <w:tr>
        <w:trPr>
          <w:trHeight w:val="242" w:hRule="auto"/>
          <w:jc w:val="left"/>
        </w:trPr>
        <w:tc>
          <w:tcPr>
            <w:tcW w:w="985" w:type="dxa"/>
            <w:vMerge/>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9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Marketing Strategy and the Marketing Mix </w:t>
            </w:r>
          </w:p>
        </w:tc>
      </w:tr>
      <w:tr>
        <w:trPr>
          <w:trHeight w:val="1" w:hRule="atLeast"/>
          <w:jc w:val="left"/>
        </w:trPr>
        <w:tc>
          <w:tcPr>
            <w:tcW w:w="985" w:type="dxa"/>
            <w:vMerge w:val="restart"/>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Week 4</w:t>
            </w: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Marketing Analysis, Marketing Planning, Marketing, Implementation</w:t>
            </w:r>
          </w:p>
        </w:tc>
      </w:tr>
      <w:tr>
        <w:trPr>
          <w:trHeight w:val="1" w:hRule="atLeast"/>
          <w:jc w:val="left"/>
        </w:trPr>
        <w:tc>
          <w:tcPr>
            <w:tcW w:w="985" w:type="dxa"/>
            <w:vMerge/>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Marketing Department Organization, Marketing Control</w:t>
            </w:r>
          </w:p>
        </w:tc>
      </w:tr>
      <w:tr>
        <w:trPr>
          <w:trHeight w:val="188" w:hRule="auto"/>
          <w:jc w:val="left"/>
        </w:trPr>
        <w:tc>
          <w:tcPr>
            <w:tcW w:w="985" w:type="dxa"/>
            <w:vMerge w:val="restart"/>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Week 5</w:t>
            </w: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Analyzing the Marketing Environment</w:t>
            </w:r>
          </w:p>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The Microenvironment</w:t>
            </w:r>
          </w:p>
        </w:tc>
      </w:tr>
      <w:tr>
        <w:trPr>
          <w:trHeight w:val="188" w:hRule="auto"/>
          <w:jc w:val="left"/>
        </w:trPr>
        <w:tc>
          <w:tcPr>
            <w:tcW w:w="985" w:type="dxa"/>
            <w:vMerge/>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The Macro environment ,The Demographic, Economic, Natural Environment</w:t>
            </w:r>
          </w:p>
        </w:tc>
      </w:tr>
      <w:tr>
        <w:trPr>
          <w:trHeight w:val="1" w:hRule="atLeast"/>
          <w:jc w:val="left"/>
        </w:trPr>
        <w:tc>
          <w:tcPr>
            <w:tcW w:w="985" w:type="dxa"/>
            <w:vMerge w:val="restart"/>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Week 6</w:t>
            </w: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9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Responding to the Marketing Environment</w:t>
            </w:r>
          </w:p>
        </w:tc>
      </w:tr>
      <w:tr>
        <w:trPr>
          <w:trHeight w:val="1" w:hRule="atLeast"/>
          <w:jc w:val="left"/>
        </w:trPr>
        <w:tc>
          <w:tcPr>
            <w:tcW w:w="985" w:type="dxa"/>
            <w:vMerge/>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Consumer Markets and Consumer Buyer Behavior</w:t>
            </w:r>
          </w:p>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Model of Consumer Behavior, Characteristics Affecting Consumer Behavior</w:t>
            </w:r>
          </w:p>
        </w:tc>
      </w:tr>
      <w:tr>
        <w:trPr>
          <w:trHeight w:val="197" w:hRule="auto"/>
          <w:jc w:val="left"/>
        </w:trPr>
        <w:tc>
          <w:tcPr>
            <w:tcW w:w="985" w:type="dxa"/>
            <w:vMerge w:val="restart"/>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Week 7</w:t>
            </w: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Types of Buying Decision Behavior</w:t>
            </w:r>
          </w:p>
        </w:tc>
      </w:tr>
      <w:tr>
        <w:trPr>
          <w:trHeight w:val="197" w:hRule="auto"/>
          <w:jc w:val="left"/>
        </w:trPr>
        <w:tc>
          <w:tcPr>
            <w:tcW w:w="985" w:type="dxa"/>
            <w:vMerge/>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The Buyer Decision Process </w:t>
            </w:r>
          </w:p>
        </w:tc>
      </w:tr>
      <w:tr>
        <w:trPr>
          <w:trHeight w:val="1" w:hRule="atLeast"/>
          <w:jc w:val="left"/>
        </w:trPr>
        <w:tc>
          <w:tcPr>
            <w:tcW w:w="985" w:type="dxa"/>
            <w:vMerge w:val="restart"/>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Week 8</w:t>
            </w: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Customer-Driven Marketing Strategy: Creating Value for Target Customers</w:t>
            </w:r>
          </w:p>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Market Segmentation, Requirements for Effective Segmentation</w:t>
            </w:r>
          </w:p>
        </w:tc>
      </w:tr>
      <w:tr>
        <w:trPr>
          <w:trHeight w:val="1" w:hRule="atLeast"/>
          <w:jc w:val="left"/>
        </w:trPr>
        <w:tc>
          <w:tcPr>
            <w:tcW w:w="985" w:type="dxa"/>
            <w:vMerge/>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Market Targeting, Differentiation and Positioning</w:t>
            </w:r>
          </w:p>
        </w:tc>
      </w:tr>
      <w:tr>
        <w:trPr>
          <w:trHeight w:val="179" w:hRule="auto"/>
          <w:jc w:val="left"/>
        </w:trPr>
        <w:tc>
          <w:tcPr>
            <w:tcW w:w="9265" w:type="dxa"/>
            <w:gridSpan w:val="3"/>
            <w:tcBorders>
              <w:top w:val="single" w:color="000000" w:sz="4"/>
              <w:left w:val="single" w:color="000000" w:sz="4"/>
              <w:bottom w:val="single" w:color="000000" w:sz="4"/>
              <w:right w:val="single" w:color="000000" w:sz="4"/>
            </w:tcBorders>
            <w:shd w:color="auto" w:fill="auto" w:val="pct25"/>
            <w:tcMar>
              <w:left w:w="108" w:type="dxa"/>
              <w:right w:w="108" w:type="dxa"/>
            </w:tcMar>
            <w:vAlign w:val="top"/>
          </w:tcPr>
          <w:p>
            <w:pPr>
              <w:spacing w:before="0" w:after="0" w:line="240"/>
              <w:ind w:right="90" w:left="0" w:firstLine="0"/>
              <w:jc w:val="center"/>
              <w:rPr>
                <w:color w:val="auto"/>
                <w:spacing w:val="0"/>
                <w:position w:val="0"/>
                <w:shd w:fill="auto" w:val="clear"/>
              </w:rPr>
            </w:pPr>
            <w:r>
              <w:rPr>
                <w:rFonts w:ascii="Arial" w:hAnsi="Arial" w:cs="Arial" w:eastAsia="Arial"/>
                <w:b/>
                <w:color w:val="auto"/>
                <w:spacing w:val="0"/>
                <w:position w:val="0"/>
                <w:sz w:val="24"/>
                <w:shd w:fill="auto" w:val="clear"/>
              </w:rPr>
              <w:t xml:space="preserve">Mid Term Exam</w:t>
            </w:r>
          </w:p>
        </w:tc>
      </w:tr>
      <w:tr>
        <w:trPr>
          <w:trHeight w:val="1" w:hRule="atLeast"/>
          <w:jc w:val="left"/>
        </w:trPr>
        <w:tc>
          <w:tcPr>
            <w:tcW w:w="985" w:type="dxa"/>
            <w:vMerge w:val="restart"/>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Week 9</w:t>
            </w: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Product &amp; Services Strategy</w:t>
            </w:r>
          </w:p>
          <w:p>
            <w:pPr>
              <w:spacing w:before="0" w:after="0" w:line="240"/>
              <w:ind w:right="9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What is Product, Product Classifications, Individual Product Decisions</w:t>
            </w:r>
          </w:p>
        </w:tc>
      </w:tr>
      <w:tr>
        <w:trPr>
          <w:trHeight w:val="1" w:hRule="atLeast"/>
          <w:jc w:val="left"/>
        </w:trPr>
        <w:tc>
          <w:tcPr>
            <w:tcW w:w="985" w:type="dxa"/>
            <w:vMerge/>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9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Product line decisions, Product mix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decisions.</w:t>
            </w:r>
          </w:p>
        </w:tc>
      </w:tr>
      <w:tr>
        <w:trPr>
          <w:trHeight w:val="188" w:hRule="auto"/>
          <w:jc w:val="left"/>
        </w:trPr>
        <w:tc>
          <w:tcPr>
            <w:tcW w:w="985" w:type="dxa"/>
            <w:vMerge w:val="restart"/>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Week 10</w:t>
            </w: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9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Marketing strategies for Service Firms</w:t>
            </w:r>
          </w:p>
        </w:tc>
      </w:tr>
      <w:tr>
        <w:trPr>
          <w:trHeight w:val="188" w:hRule="auto"/>
          <w:jc w:val="left"/>
        </w:trPr>
        <w:tc>
          <w:tcPr>
            <w:tcW w:w="985" w:type="dxa"/>
            <w:vMerge/>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Branding Strategy: Building Strong Brands, Brand Equity</w:t>
            </w:r>
          </w:p>
        </w:tc>
      </w:tr>
      <w:tr>
        <w:trPr>
          <w:trHeight w:val="1" w:hRule="atLeast"/>
          <w:jc w:val="left"/>
        </w:trPr>
        <w:tc>
          <w:tcPr>
            <w:tcW w:w="985" w:type="dxa"/>
            <w:vMerge w:val="restart"/>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Week 11</w:t>
            </w: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New-Product Development and Product Life Cycle strategies</w:t>
            </w:r>
          </w:p>
          <w:p>
            <w:pPr>
              <w:spacing w:before="0" w:after="0" w:line="240"/>
              <w:ind w:right="9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New Product development</w:t>
            </w:r>
          </w:p>
        </w:tc>
      </w:tr>
      <w:tr>
        <w:trPr>
          <w:trHeight w:val="1" w:hRule="atLeast"/>
          <w:jc w:val="left"/>
        </w:trPr>
        <w:tc>
          <w:tcPr>
            <w:tcW w:w="985" w:type="dxa"/>
            <w:vMerge/>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Managing New-Product Development; Customer-Centered New-</w:t>
            </w:r>
          </w:p>
        </w:tc>
      </w:tr>
      <w:tr>
        <w:trPr>
          <w:trHeight w:val="260" w:hRule="auto"/>
          <w:jc w:val="left"/>
        </w:trPr>
        <w:tc>
          <w:tcPr>
            <w:tcW w:w="985" w:type="dxa"/>
            <w:vMerge w:val="restart"/>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Week 12</w:t>
            </w: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Product Development, Product life cycle strategies. Marketing Strategies at every product life cycle stage.</w:t>
            </w:r>
          </w:p>
        </w:tc>
      </w:tr>
      <w:tr>
        <w:trPr>
          <w:trHeight w:val="260" w:hRule="auto"/>
          <w:jc w:val="left"/>
        </w:trPr>
        <w:tc>
          <w:tcPr>
            <w:tcW w:w="985" w:type="dxa"/>
            <w:vMerge/>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New-Product Pricing Strategies </w:t>
            </w:r>
          </w:p>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Market-Skimming Pricing, Market-Penetration Pricing, Product Mix Pricing Strategies, Price Adjustment Strategies</w:t>
            </w:r>
          </w:p>
        </w:tc>
      </w:tr>
      <w:tr>
        <w:trPr>
          <w:trHeight w:val="1" w:hRule="atLeast"/>
          <w:jc w:val="left"/>
        </w:trPr>
        <w:tc>
          <w:tcPr>
            <w:tcW w:w="985" w:type="dxa"/>
            <w:vMerge w:val="restart"/>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Week 13</w:t>
            </w: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Marketing Channels  </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Definition, number of channel level, conventional and vertical marketing channel</w:t>
            </w:r>
          </w:p>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Definition of wholesaler and retailer</w:t>
            </w:r>
          </w:p>
        </w:tc>
      </w:tr>
      <w:tr>
        <w:trPr>
          <w:trHeight w:val="1" w:hRule="atLeast"/>
          <w:jc w:val="left"/>
        </w:trPr>
        <w:tc>
          <w:tcPr>
            <w:tcW w:w="985" w:type="dxa"/>
            <w:vMerge/>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Promotion </w:t>
            </w:r>
          </w:p>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4"/>
                <w:shd w:fill="auto" w:val="clear"/>
              </w:rPr>
              <w:t xml:space="preserve">IMC, promotion mix, Advertising</w:t>
            </w:r>
          </w:p>
        </w:tc>
      </w:tr>
      <w:tr>
        <w:trPr>
          <w:trHeight w:val="242" w:hRule="auto"/>
          <w:jc w:val="left"/>
        </w:trPr>
        <w:tc>
          <w:tcPr>
            <w:tcW w:w="985" w:type="dxa"/>
            <w:vMerge w:val="restart"/>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Week 14</w:t>
            </w: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both"/>
              <w:rPr>
                <w:spacing w:val="0"/>
                <w:position w:val="0"/>
                <w:shd w:fill="auto" w:val="clear"/>
              </w:rPr>
            </w:pPr>
            <w:r>
              <w:rPr>
                <w:rFonts w:ascii="Arial" w:hAnsi="Arial" w:cs="Arial" w:eastAsia="Arial"/>
                <w:color w:val="000000"/>
                <w:spacing w:val="0"/>
                <w:position w:val="0"/>
                <w:sz w:val="24"/>
                <w:shd w:fill="auto" w:val="clear"/>
              </w:rPr>
              <w:t xml:space="preserve">Sales promotion,  personal selling, Public relations, Publicity</w:t>
            </w:r>
          </w:p>
        </w:tc>
      </w:tr>
      <w:tr>
        <w:trPr>
          <w:trHeight w:val="242" w:hRule="auto"/>
          <w:jc w:val="left"/>
        </w:trPr>
        <w:tc>
          <w:tcPr>
            <w:tcW w:w="985" w:type="dxa"/>
            <w:vMerge/>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Introduction to e-business</w:t>
            </w:r>
          </w:p>
          <w:p>
            <w:pPr>
              <w:spacing w:before="0" w:after="0" w:line="240"/>
              <w:ind w:right="0" w:left="0" w:firstLine="0"/>
              <w:jc w:val="both"/>
              <w:rPr>
                <w:spacing w:val="0"/>
                <w:position w:val="0"/>
                <w:shd w:fill="auto" w:val="clear"/>
              </w:rPr>
            </w:pPr>
            <w:r>
              <w:rPr>
                <w:rFonts w:ascii="Arial" w:hAnsi="Arial" w:cs="Arial" w:eastAsia="Arial"/>
                <w:color w:val="000000"/>
                <w:spacing w:val="0"/>
                <w:position w:val="0"/>
                <w:sz w:val="24"/>
                <w:shd w:fill="auto" w:val="clear"/>
              </w:rPr>
              <w:t xml:space="preserve">Introduction, Different trends</w:t>
            </w:r>
          </w:p>
        </w:tc>
      </w:tr>
      <w:tr>
        <w:trPr>
          <w:trHeight w:val="1" w:hRule="atLeast"/>
          <w:jc w:val="left"/>
        </w:trPr>
        <w:tc>
          <w:tcPr>
            <w:tcW w:w="985" w:type="dxa"/>
            <w:vMerge w:val="restart"/>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Week 15</w:t>
            </w: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both"/>
              <w:rPr>
                <w:spacing w:val="0"/>
                <w:position w:val="0"/>
                <w:shd w:fill="auto" w:val="clear"/>
              </w:rPr>
            </w:pPr>
            <w:r>
              <w:rPr>
                <w:rFonts w:ascii="Arial" w:hAnsi="Arial" w:cs="Arial" w:eastAsia="Arial"/>
                <w:color w:val="000000"/>
                <w:spacing w:val="0"/>
                <w:position w:val="0"/>
                <w:sz w:val="24"/>
                <w:shd w:fill="auto" w:val="clear"/>
              </w:rPr>
              <w:t xml:space="preserve">Rules of doing e-business, E-business application in the market</w:t>
            </w:r>
          </w:p>
        </w:tc>
      </w:tr>
      <w:tr>
        <w:trPr>
          <w:trHeight w:val="1" w:hRule="atLeast"/>
          <w:jc w:val="left"/>
        </w:trPr>
        <w:tc>
          <w:tcPr>
            <w:tcW w:w="985" w:type="dxa"/>
            <w:vMerge/>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both"/>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Digital Marketing</w:t>
            </w:r>
          </w:p>
          <w:p>
            <w:pPr>
              <w:spacing w:before="0" w:after="0" w:line="240"/>
              <w:ind w:right="0" w:left="0" w:firstLine="0"/>
              <w:jc w:val="both"/>
              <w:rPr>
                <w:spacing w:val="0"/>
                <w:position w:val="0"/>
                <w:shd w:fill="auto" w:val="clear"/>
              </w:rPr>
            </w:pPr>
            <w:r>
              <w:rPr>
                <w:rFonts w:ascii="Arial" w:hAnsi="Arial" w:cs="Arial" w:eastAsia="Arial"/>
                <w:color w:val="000000"/>
                <w:spacing w:val="0"/>
                <w:position w:val="0"/>
                <w:sz w:val="24"/>
                <w:shd w:fill="auto" w:val="clear"/>
              </w:rPr>
              <w:t xml:space="preserve">Definition</w:t>
            </w:r>
            <w:r>
              <w:rPr>
                <w:rFonts w:ascii="Arial" w:hAnsi="Arial" w:cs="Arial" w:eastAsia="Arial"/>
                <w:b/>
                <w:color w:val="000000"/>
                <w:spacing w:val="0"/>
                <w:position w:val="0"/>
                <w:sz w:val="24"/>
                <w:shd w:fill="auto" w:val="clear"/>
              </w:rPr>
              <w:t xml:space="preserve">, </w:t>
            </w:r>
            <w:r>
              <w:rPr>
                <w:rFonts w:ascii="Arial" w:hAnsi="Arial" w:cs="Arial" w:eastAsia="Arial"/>
                <w:color w:val="000000"/>
                <w:spacing w:val="0"/>
                <w:position w:val="0"/>
                <w:sz w:val="24"/>
                <w:shd w:fill="auto" w:val="clear"/>
              </w:rPr>
              <w:t xml:space="preserve">using analytics to interpret and optimize results to maximize performance</w:t>
            </w:r>
          </w:p>
        </w:tc>
      </w:tr>
      <w:tr>
        <w:trPr>
          <w:trHeight w:val="1" w:hRule="atLeast"/>
          <w:jc w:val="left"/>
        </w:trPr>
        <w:tc>
          <w:tcPr>
            <w:tcW w:w="985" w:type="dxa"/>
            <w:vMerge w:val="restart"/>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Week 16</w:t>
            </w: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both"/>
              <w:rPr>
                <w:spacing w:val="0"/>
                <w:position w:val="0"/>
                <w:shd w:fill="auto" w:val="clear"/>
              </w:rPr>
            </w:pPr>
            <w:r>
              <w:rPr>
                <w:rFonts w:ascii="Arial" w:hAnsi="Arial" w:cs="Arial" w:eastAsia="Arial"/>
                <w:color w:val="000000"/>
                <w:spacing w:val="0"/>
                <w:position w:val="0"/>
                <w:sz w:val="24"/>
                <w:shd w:fill="auto" w:val="clear"/>
              </w:rPr>
              <w:t xml:space="preserve">Project presentation</w:t>
            </w:r>
          </w:p>
        </w:tc>
      </w:tr>
      <w:tr>
        <w:trPr>
          <w:trHeight w:val="1" w:hRule="atLeast"/>
          <w:jc w:val="left"/>
        </w:trPr>
        <w:tc>
          <w:tcPr>
            <w:tcW w:w="985" w:type="dxa"/>
            <w:vMerge/>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03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0" w:after="0" w:line="240"/>
              <w:ind w:right="90" w:left="0" w:firstLine="0"/>
              <w:jc w:val="center"/>
              <w:rPr>
                <w:color w:val="auto"/>
                <w:spacing w:val="0"/>
                <w:position w:val="0"/>
                <w:shd w:fill="auto" w:val="clear"/>
              </w:rPr>
            </w:pPr>
            <w:r>
              <w:rPr>
                <w:rFonts w:ascii="Arial" w:hAnsi="Arial" w:cs="Arial" w:eastAsia="Arial"/>
                <w:color w:val="auto"/>
                <w:spacing w:val="0"/>
                <w:position w:val="0"/>
                <w:sz w:val="24"/>
                <w:shd w:fill="auto" w:val="clear"/>
              </w:rPr>
              <w:t xml:space="preserve">Lect-II</w:t>
            </w:r>
          </w:p>
        </w:tc>
        <w:tc>
          <w:tcPr>
            <w:tcW w:w="7246"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Project presentation</w:t>
            </w:r>
          </w:p>
        </w:tc>
      </w:tr>
      <w:tr>
        <w:trPr>
          <w:trHeight w:val="269" w:hRule="auto"/>
          <w:jc w:val="left"/>
        </w:trPr>
        <w:tc>
          <w:tcPr>
            <w:tcW w:w="9265" w:type="dxa"/>
            <w:gridSpan w:val="3"/>
            <w:tcBorders>
              <w:top w:val="single" w:color="000000" w:sz="4"/>
              <w:left w:val="single" w:color="000000" w:sz="4"/>
              <w:bottom w:val="single" w:color="000000" w:sz="4"/>
              <w:right w:val="single" w:color="000000" w:sz="4"/>
            </w:tcBorders>
            <w:shd w:color="auto" w:fill="a6a6a6" w:val="clear"/>
            <w:tcMar>
              <w:left w:w="108" w:type="dxa"/>
              <w:right w:w="108" w:type="dxa"/>
            </w:tcMar>
            <w:vAlign w:val="top"/>
          </w:tcPr>
          <w:p>
            <w:pPr>
              <w:spacing w:before="0" w:after="0" w:line="240"/>
              <w:ind w:right="90" w:left="0" w:firstLine="0"/>
              <w:jc w:val="center"/>
              <w:rPr>
                <w:color w:val="auto"/>
                <w:spacing w:val="0"/>
                <w:position w:val="0"/>
                <w:shd w:fill="auto" w:val="clear"/>
              </w:rPr>
            </w:pPr>
            <w:r>
              <w:rPr>
                <w:rFonts w:ascii="Arial" w:hAnsi="Arial" w:cs="Arial" w:eastAsia="Arial"/>
                <w:b/>
                <w:color w:val="auto"/>
                <w:spacing w:val="0"/>
                <w:position w:val="0"/>
                <w:sz w:val="24"/>
                <w:shd w:fill="auto" w:val="clear"/>
              </w:rPr>
              <w:t xml:space="preserve">Final Term Exam</w:t>
            </w:r>
          </w:p>
        </w:tc>
      </w:tr>
    </w:tbl>
    <w:p>
      <w:pPr>
        <w:spacing w:before="0" w:after="0" w:line="240"/>
        <w:ind w:right="0" w:left="0" w:firstLine="0"/>
        <w:jc w:val="left"/>
        <w:rPr>
          <w:rFonts w:ascii="Arial" w:hAnsi="Arial" w:cs="Arial" w:eastAsia="Arial"/>
          <w:color w:val="auto"/>
          <w:spacing w:val="0"/>
          <w:position w:val="0"/>
          <w:sz w:val="24"/>
          <w:shd w:fill="auto" w:val="clear"/>
        </w:rPr>
      </w:pPr>
    </w:p>
    <w:tbl>
      <w:tblPr/>
      <w:tblGrid>
        <w:gridCol w:w="9265"/>
      </w:tblGrid>
      <w:tr>
        <w:trPr>
          <w:trHeight w:val="1" w:hRule="atLeast"/>
          <w:jc w:val="left"/>
        </w:trPr>
        <w:tc>
          <w:tcPr>
            <w:tcW w:w="9265"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Course Learning Outcomes (CLOs)</w:t>
            </w:r>
          </w:p>
        </w:tc>
      </w:tr>
      <w:tr>
        <w:trPr>
          <w:trHeight w:val="1" w:hRule="atLeast"/>
          <w:jc w:val="left"/>
        </w:trPr>
        <w:tc>
          <w:tcPr>
            <w:tcW w:w="9265"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At the end of course the students will be able to:</w:t>
            </w:r>
          </w:p>
        </w:tc>
      </w:tr>
      <w:tr>
        <w:trPr>
          <w:trHeight w:val="1" w:hRule="atLeast"/>
          <w:jc w:val="left"/>
        </w:trPr>
        <w:tc>
          <w:tcPr>
            <w:tcW w:w="9265" w:type="dxa"/>
            <w:tcBorders>
              <w:top w:val="single" w:color="000000" w:sz="4"/>
              <w:left w:val="single" w:color="000000" w:sz="4"/>
              <w:bottom w:val="single" w:color="000000" w:sz="4"/>
              <w:right w:val="single" w:color="000000" w:sz="4"/>
            </w:tcBorders>
            <w:shd w:color="auto" w:fill="auto" w:val="clear"/>
            <w:tcMar>
              <w:left w:w="108" w:type="dxa"/>
              <w:right w:w="108" w:type="dxa"/>
            </w:tcMar>
            <w:vAlign w:val="top"/>
          </w:tcPr>
          <w:p>
            <w:pPr>
              <w:numPr>
                <w:ilvl w:val="0"/>
                <w:numId w:val="224"/>
              </w:numPr>
              <w:spacing w:before="0" w:after="0" w:line="240"/>
              <w:ind w:right="0" w:left="540" w:hanging="360"/>
              <w:jc w:val="left"/>
              <w:rPr>
                <w:color w:val="auto"/>
                <w:spacing w:val="0"/>
                <w:position w:val="0"/>
                <w:shd w:fill="auto" w:val="clear"/>
              </w:rPr>
            </w:pPr>
            <w:r>
              <w:rPr>
                <w:rFonts w:ascii="Arial" w:hAnsi="Arial" w:cs="Arial" w:eastAsia="Arial"/>
                <w:color w:val="auto"/>
                <w:spacing w:val="0"/>
                <w:position w:val="0"/>
                <w:sz w:val="24"/>
                <w:shd w:fill="auto" w:val="clear"/>
              </w:rPr>
              <w:t xml:space="preserve">Conceptual knowledge of marketing as applicable to decision making process with a focus on tactical marketing mix decisions.</w:t>
            </w:r>
          </w:p>
        </w:tc>
      </w:tr>
    </w:tbl>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39">
    <w:abstractNumId w:val="12"/>
  </w:num>
  <w:num w:numId="51">
    <w:abstractNumId w:val="6"/>
  </w:num>
  <w:num w:numId="22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