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Forecasting the trajectory of covid-19 deaths in France, March 5, 2021, through March 4, 2022</w:t>
      </w:r>
    </w:p>
    <w:p w:rsidR="00000000" w:rsidDel="00000000" w:rsidP="00000000" w:rsidRDefault="00000000" w:rsidRPr="00000000" w14:paraId="0000000B">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Shanquell Thompson-Sanders and Tatyana Valteau</w:t>
      </w:r>
    </w:p>
    <w:p w:rsidR="00000000" w:rsidDel="00000000" w:rsidP="00000000" w:rsidRDefault="00000000" w:rsidRPr="00000000" w14:paraId="0000000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Population Health Sciences</w:t>
      </w:r>
    </w:p>
    <w:p w:rsidR="00000000" w:rsidDel="00000000" w:rsidP="00000000" w:rsidRDefault="00000000" w:rsidRPr="00000000" w14:paraId="000000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Topics: Infectious Disease Modeling</w:t>
      </w:r>
    </w:p>
    <w:p w:rsidR="00000000" w:rsidDel="00000000" w:rsidP="00000000" w:rsidRDefault="00000000" w:rsidRPr="00000000" w14:paraId="0000000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Gerardo Chowell</w:t>
      </w:r>
    </w:p>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23, 2023</w:t>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December 2019, individuals began experiencing pneumonia-like symptoms of this mysterious illness. At the beginning of 2020, the causative agent was identified as coronavirus 2 (SARS-CoV-2), the source of the outbreak in Wuhan China. It spread rapidly across the world resulting in a global pandemic that has taken the lives of so many. Even though there are tests, protective measures, and vaccines available to combat Covid-19, it can still infect and result in death. Short-term forecasting can be beneficial in understanding the trajectory of this disease and be a source of guidance for what public health measures should be taken to mitigate the potential for future pandemics. We obtained weekly data on confirmed Covid-19 deaths from the European Covid-19 Forecast Hub for France. We conducted 1,760 forecasts across 10 models and 44 dates using retrospective weekly data forecasting 1-4 weeks ahead beginning the week of March 5, 2021, and ending the week of March 4, 2022, using a 10-week calibration period across four modeling frameworks.  Our ARIMA modeling framework across all forecasting periods observing the performance metrics outperformed the other modeling frameworks. Our findings reflect that this model would be the best for understanding the trajectory of Covid-19 deaths.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Covid-19, ARIMA modeling framework, GAM modeling framework, Simple Linear Regression, Sub-Epidemic TopRanked, Sub-Epidemic Ensemble, France, Performance metrics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Coronavirus disease (Covid-19) has overwhelmed the daily lives of many people from the United States and Europe for three years now. Coronavirus 2 (SARS-CoV-2), the virus that spreads the disease has resulted in infections and has taken the lives of over 6.8 million people [1]. The virus is currently under control since its initial rapidness in January 2020. Do not be mistaken Covid-19 still poses threat due to new variants which are part of the evolution of viruses.</w:t>
      </w:r>
    </w:p>
    <w:p w:rsidR="00000000" w:rsidDel="00000000" w:rsidP="00000000" w:rsidRDefault="00000000" w:rsidRPr="00000000" w14:paraId="0000003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December 2019 many individuals in Wuhan China began experiencing pneumonia-like symptoms but very little was known about this mysterious illness at the time. This cluster of initial cases was linked to the Huanan Seafood Wholesale Market [2]. On January 7, 2020, it was identified by public health officials in China that a novel coronavirus was the causative agent of this outbreak [1]. This sequence of a novel coronavirus 2 (SARS-CoV-2). On January 14, 2020, the World Health Organization (WHO) discovered potential human-to-human transmission of the SARS-CoV-2 virus. The virus spreads quickly when an infected person expires droplets or very minuscule particles that contain the virus. This can be done by coughing or sneezing. Anyone that is infected with Covid-19 can spread it even if they are not experiencing symptoms that are being asymptomatic. Symptoms can be mild but can be severe as well and result in death. Age is the strongest risk factor for severe Covid-19. Minorities and those suffering from barriers to having access to health care and underlying health conditions are at an increased risk.</w:t>
      </w:r>
    </w:p>
    <w:p w:rsidR="00000000" w:rsidDel="00000000" w:rsidP="00000000" w:rsidRDefault="00000000" w:rsidRPr="00000000" w14:paraId="0000003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Centers for Disease Control and Prevention (CDC) started screening passengers for symptoms of SARS-CoV-2 traveling from Wuhan to major cities and planned to expand screening to major United States airports as well. Cases were rapidly increasing by the day and the Secretary of the Department of Health and Human Services declared the 2019 novel coronavirus outbreak a public health emergency on January 31, 2020 [1]. WHO’s International Health Regulation Emergency Committee in addition declared the novel coronavirus as a public health emergency of international concern as well. Less than two months later, WHO declared Covid-19 a global pandemic with more than 118,000 cases in 114 countries and 4,291 deaths [1]. </w:t>
      </w:r>
    </w:p>
    <w:p w:rsidR="00000000" w:rsidDel="00000000" w:rsidP="00000000" w:rsidRDefault="00000000" w:rsidRPr="00000000" w14:paraId="0000003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of March 27, 2023, France has had 161,700 deaths [3]. On March 17, 2020, six days after WHO declared a global pandemic, France’s president, Emmanuel Macron, ordered a nationwide lockdown. Since the spring of 2021, France has gone on three national lockdowns due to the overwhelming surge in cases and hospital admissions [4]. France is currently ranked in the top 35 amongst countries worldwide with the highest mortality rate for Covid-19. Between March 5, 2021, and March 5, 2022, 48,451 people died in France due to complications with Covid-19.</w:t>
      </w:r>
    </w:p>
    <w:p w:rsidR="00000000" w:rsidDel="00000000" w:rsidP="00000000" w:rsidRDefault="00000000" w:rsidRPr="00000000" w14:paraId="0000003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cases, hospitalizations, and deaths of Covid-19 are helpful to make public health decisions that project the impact of the Covid-19 pandemic in the coming weeks and months as well as for future pandemics [5]. The purpose of this study is to evaluate various modeling frameworks to generate forecasts and model fits to determine the most effective for forecasting the trajectory of Covid-19 deaths. The types of modeling frameworks that were used to generate forecasts and model fits were ensemble n-sub epidemic, automated-regressive integrated moving average (ARIMA), generalized additive models (GAM) and simple linear regression also known as (GLM). After a thorough evaluation of multiple modeling frameworks, the ARIMA modeling framework presented the best-forecast trajectory of deaths. In this study, we generated 1 to 4 weeks ahead forecasts of confirmed deaths of Covid-19 in France. In addition to generating forecasts, we evaluated model fits and performance of forecasts that are based on mean squared error (MSE), mean absolute error (MAE), percentage coverage of the 95% prediction interval (PI), and weighted interval score (WIS) to determine which forecasting model is the most effective for forecasting the trajectory of Covid-19 deaths. </w:t>
      </w:r>
    </w:p>
    <w:p w:rsidR="00000000" w:rsidDel="00000000" w:rsidP="00000000" w:rsidRDefault="00000000" w:rsidRPr="00000000" w14:paraId="00000037">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w:t>
      </w:r>
    </w:p>
    <w:p w:rsidR="00000000" w:rsidDel="00000000" w:rsidP="00000000" w:rsidRDefault="00000000" w:rsidRPr="00000000" w14:paraId="0000003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obtained weekly data on confirmed Covid-19 deaths that were publicly made available from the European Covid-19 Forecast Hub [5]. The number of deaths each week was recorded starting the week of March 5, 2021, through the week of March 4, 2022. The data was then recorded in an Excel spreadsheet to be used to run the necessary models using MATLAB and R Studio. </w:t>
      </w:r>
    </w:p>
    <w:p w:rsidR="00000000" w:rsidDel="00000000" w:rsidP="00000000" w:rsidRDefault="00000000" w:rsidRPr="00000000" w14:paraId="0000003A">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Forecasting strategy</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our sole location of interest, France, we conducted a total of 1,760 forecasts across 10 models and 44 dates using retrospective weekly sequential 1-4 weeks ahead forecasts beginning the week of May 7, 2021, and ending the week of February 4, 2022, the date of the last forecasting period, using a 10-week calibration period across four modeling frameworks. Descriptions of the n-sub-epidemic, Auto-regressive Integrated Moving Average (ARIMA), and Generalized Additive Models (GAM) methodologies can be found below. We also conducted forecasts using a simple linear regression model, with </w:t>
      </w:r>
      <w:r w:rsidDel="00000000" w:rsidR="00000000" w:rsidRPr="00000000">
        <w:rPr>
          <w:rFonts w:ascii="Times New Roman" w:cs="Times New Roman" w:eastAsia="Times New Roman" w:hAnsi="Times New Roman"/>
          <w:i w:val="1"/>
          <w:iCs w:val="1"/>
          <w:rtl w:val="0"/>
        </w:rPr>
        <w:t xml:space="preserve">time</w:t>
      </w:r>
      <w:r w:rsidDel="00000000" w:rsidR="00000000" w:rsidRPr="00000000">
        <w:rPr>
          <w:rFonts w:ascii="Times New Roman" w:cs="Times New Roman" w:eastAsia="Times New Roman" w:hAnsi="Times New Roman"/>
          <w:rtl w:val="0"/>
        </w:rPr>
        <w:t xml:space="preserve"> being the only covariate. Date posted weekly was used to produce all forecasts. </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n-sub-epidemic modeling framework</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n-sub epidemic modeling framework, epidemic trajectories are modeling as the aggregation of overlapping and asynchronous sub-epidemics. A sub-epidemic follows the 3-parameter generalized-logistic growth model (GLM), which has displayed competitive performance. [6-8] [X-Z]. This model is given by the following differential equation: </w:t>
      </w:r>
    </w:p>
    <w:p w:rsidR="00000000" w:rsidDel="00000000" w:rsidP="00000000" w:rsidRDefault="00000000" w:rsidRPr="00000000" w14:paraId="00000040">
      <w:pPr>
        <w:spacing w:lin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m:oMath>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dC(t)</m:t>
            </m:r>
          </m:num>
          <m:den>
            <m:r>
              <w:rPr>
                <w:rFonts w:ascii="Cambria Math" w:cs="Cambria Math" w:eastAsia="Cambria Math" w:hAnsi="Cambria Math"/>
                <w:color w:val="000000"/>
              </w:rPr>
              <m:t xml:space="preserve">dt</m:t>
            </m:r>
          </m:den>
        </m:f>
        <m:r>
          <w:rPr>
            <w:rFonts w:ascii="Cambria Math" w:cs="Cambria Math" w:eastAsia="Cambria Math" w:hAnsi="Cambria Math"/>
            <w:color w:val="000000"/>
          </w:rPr>
          <m:t xml:space="preserve">=</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C</m:t>
            </m:r>
          </m:e>
          <m:sup>
            <m:r>
              <w:rPr>
                <w:rFonts w:ascii="Cambria Math" w:cs="Cambria Math" w:eastAsia="Cambria Math" w:hAnsi="Cambria Math"/>
                <w:color w:val="000000"/>
              </w:rPr>
              <m:t xml:space="preserve">'</m:t>
            </m:r>
          </m:sup>
        </m:sSup>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t</m:t>
            </m:r>
          </m:e>
        </m:d>
        <m:r>
          <w:rPr>
            <w:rFonts w:ascii="Cambria Math" w:cs="Cambria Math" w:eastAsia="Cambria Math" w:hAnsi="Cambria Math"/>
            <w:color w:val="000000"/>
          </w:rPr>
          <m:t xml:space="preserve">=r</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C</m:t>
            </m:r>
          </m:e>
          <m:sup>
            <m:r>
              <w:rPr>
                <w:rFonts w:ascii="Cambria Math" w:cs="Cambria Math" w:eastAsia="Cambria Math" w:hAnsi="Cambria Math"/>
                <w:color w:val="000000"/>
              </w:rPr>
              <m:t xml:space="preserve">p</m:t>
            </m:r>
          </m:sup>
        </m:sSup>
        <m:r>
          <w:rPr>
            <w:rFonts w:ascii="Cambria Math" w:cs="Cambria Math" w:eastAsia="Cambria Math" w:hAnsi="Cambria Math"/>
            <w:color w:val="000000"/>
          </w:rPr>
          <m:t xml:space="preserve">(t)</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1-</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C(t)</m:t>
                </m:r>
              </m:num>
              <m:den>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K</m:t>
                    </m:r>
                  </m:e>
                  <m:sub>
                    <m:r>
                      <w:rPr>
                        <w:rFonts w:ascii="Cambria Math" w:cs="Cambria Math" w:eastAsia="Cambria Math" w:hAnsi="Cambria Math"/>
                        <w:color w:val="000000"/>
                      </w:rPr>
                      <m:t xml:space="preserve">0</m:t>
                    </m:r>
                  </m:sub>
                </m:sSub>
              </m:den>
            </m:f>
          </m:e>
        </m:d>
      </m:oMath>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1">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rtl w:val="0"/>
        </w:rPr>
        <w:t xml:space="preserve">Where C(t) denotes the cumulative number of cases at time t and </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𝑑𝐶</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𝑡</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ambria Math" w:cs="Cambria Math" w:eastAsia="Cambria Math" w:hAnsi="Cambria Math"/>
          <w:sz w:val="23"/>
          <w:szCs w:val="23"/>
          <w:rtl w:val="0"/>
        </w:rPr>
        <w:t xml:space="preserve">𝑑𝑡</w:t>
      </w:r>
      <w:r w:rsidDel="00000000" w:rsidR="00000000" w:rsidRPr="00000000">
        <w:rPr>
          <w:rFonts w:ascii="Times New Roman" w:cs="Times New Roman" w:eastAsia="Times New Roman" w:hAnsi="Times New Roman"/>
          <w:sz w:val="22"/>
          <w:szCs w:val="22"/>
          <w:rtl w:val="0"/>
        </w:rPr>
        <w:t xml:space="preserve">(dC(t))/dt</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describes the curve of daily cases over time t. The parameter r is positive, denoting the growth rate per unit of time, </w:t>
      </w:r>
      <w:r w:rsidDel="00000000" w:rsidR="00000000" w:rsidRPr="00000000">
        <w:rPr>
          <w:rFonts w:ascii="Cambria Math" w:cs="Cambria Math" w:eastAsia="Cambria Math" w:hAnsi="Cambria Math"/>
          <w:sz w:val="23"/>
          <w:szCs w:val="23"/>
          <w:rtl w:val="0"/>
        </w:rPr>
        <w:t xml:space="preserve">𝐾</w:t>
      </w:r>
      <w:r w:rsidDel="00000000" w:rsidR="00000000" w:rsidRPr="00000000">
        <w:rPr>
          <w:rFonts w:ascii="Times New Roman" w:cs="Times New Roman" w:eastAsia="Times New Roman" w:hAnsi="Times New Roman"/>
          <w:sz w:val="23"/>
          <w:szCs w:val="23"/>
          <w:rtl w:val="0"/>
        </w:rPr>
        <w:t xml:space="preserve">_0</w:t>
      </w:r>
      <w:r w:rsidDel="00000000" w:rsidR="00000000" w:rsidRPr="00000000">
        <w:rPr>
          <w:rFonts w:ascii="Times New Roman" w:cs="Times New Roman" w:eastAsia="Times New Roman" w:hAnsi="Times New Roman"/>
          <w:rtl w:val="0"/>
        </w:rPr>
        <w:t xml:space="preserve"> is the final outbreak size, and </w:t>
      </w: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23"/>
          <w:szCs w:val="23"/>
          <w:rtl w:val="0"/>
        </w:rPr>
        <w:t xml:space="preserve"> [0,1]</w:t>
      </w:r>
      <w:r w:rsidDel="00000000" w:rsidR="00000000" w:rsidRPr="00000000">
        <w:rPr>
          <w:rFonts w:ascii="Times New Roman" w:cs="Times New Roman" w:eastAsia="Times New Roman" w:hAnsi="Times New Roman"/>
          <w:rtl w:val="0"/>
        </w:rPr>
        <w:t xml:space="preserve"> is the “scaling of growth” parameter which allows the model to capture early sub-exponential and exponential growth patterns. If p=0, this equation describes a constant number of new cases over time, while p=1 indicates that the early growth phase is exponential. Intermediate values of p (0 </w:t>
      </w:r>
      <w:r w:rsidDel="00000000" w:rsidR="00000000" w:rsidRPr="00000000">
        <w:rPr>
          <w:rFonts w:ascii="Times New Roman" w:cs="Times New Roman" w:eastAsia="Times New Roman" w:hAnsi="Times New Roman"/>
          <w:sz w:val="23"/>
          <w:szCs w:val="23"/>
          <w:rtl w:val="0"/>
        </w:rPr>
        <w:t xml:space="preserve">&lt;</w:t>
      </w:r>
      <w:r w:rsidDel="00000000" w:rsidR="00000000" w:rsidRPr="00000000">
        <w:rPr>
          <w:rFonts w:ascii="Cambria Math" w:cs="Cambria Math" w:eastAsia="Cambria Math" w:hAnsi="Cambria Math"/>
          <w:sz w:val="23"/>
          <w:szCs w:val="23"/>
          <w:rtl w:val="0"/>
        </w:rPr>
        <w:t xml:space="preserve">𝑝</w:t>
      </w:r>
      <w:r w:rsidDel="00000000" w:rsidR="00000000" w:rsidRPr="00000000">
        <w:rPr>
          <w:rFonts w:ascii="Times New Roman" w:cs="Times New Roman" w:eastAsia="Times New Roman" w:hAnsi="Times New Roman"/>
          <w:sz w:val="23"/>
          <w:szCs w:val="23"/>
          <w:rtl w:val="0"/>
        </w:rPr>
        <w:t xml:space="preserve">&lt;1</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rtl w:val="0"/>
        </w:rPr>
        <w:t xml:space="preserve"> describe early sub-exponential (e.g., polynomial) growth dynamics.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An n-sub-epidemic trajectory comprises n overlapping sub-epidemics and is given by the following system of coupled differential equations: </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45">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d</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r>
              <w:rPr>
                <w:rFonts w:ascii="Cambria Math" w:cs="Cambria Math" w:eastAsia="Cambria Math" w:hAnsi="Cambria Math"/>
              </w:rPr>
              <m:t xml:space="preserve">(t)</m:t>
            </m:r>
          </m:num>
          <m:den>
            <m:r>
              <w:rPr>
                <w:rFonts w:ascii="Cambria Math" w:cs="Cambria Math" w:eastAsia="Cambria Math" w:hAnsi="Cambria Math"/>
              </w:rPr>
              <m:t xml:space="preserve">dt</m:t>
            </m:r>
          </m:den>
        </m:f>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e>
          <m:sup>
            <m:r>
              <w:rPr>
                <w:rFonts w:ascii="Cambria Math" w:cs="Cambria Math" w:eastAsia="Cambria Math" w:hAnsi="Cambria Math"/>
              </w:rPr>
              <m:t xml:space="preserve">'</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e>
          <m:sup>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sup>
        </m:sSup>
        <m:r>
          <w:rPr>
            <w:rFonts w:ascii="Cambria Math" w:cs="Cambria Math" w:eastAsia="Cambria Math" w:hAnsi="Cambria Math"/>
          </w:rPr>
          <m:t xml:space="preserve">(t)</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r>
                  <w:rPr>
                    <w:rFonts w:ascii="Cambria Math" w:cs="Cambria Math" w:eastAsia="Cambria Math" w:hAnsi="Cambria Math"/>
                  </w:rPr>
                  <m:t xml:space="preserve">(t)</m:t>
                </m:r>
              </m:num>
              <m:den>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0</m:t>
                        </m:r>
                      </m:sub>
                    </m:sSub>
                  </m:e>
                  <m:sub>
                    <m:r>
                      <w:rPr>
                        <w:rFonts w:ascii="Cambria Math" w:cs="Cambria Math" w:eastAsia="Cambria Math" w:hAnsi="Cambria Math"/>
                      </w:rPr>
                      <m:t xml:space="preserve">i</m:t>
                    </m:r>
                  </m:sub>
                </m:sSub>
              </m:den>
            </m:f>
          </m:e>
        </m:d>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4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r>
          <w:rPr>
            <w:rFonts w:ascii="Cambria Math" w:cs="Cambria Math" w:eastAsia="Cambria Math" w:hAnsi="Cambria Math"/>
          </w:rPr>
          <m:t xml:space="preserve">(t)</m:t>
        </m:r>
      </m:oMath>
      <w:r w:rsidDel="00000000" w:rsidR="00000000" w:rsidRPr="00000000">
        <w:rPr>
          <w:rFonts w:ascii="Times New Roman" w:cs="Times New Roman" w:eastAsia="Times New Roman" w:hAnsi="Times New Roman"/>
          <w:rtl w:val="0"/>
        </w:rPr>
        <w:t xml:space="preserve"> tracks the cumulative number of cases for sub-epidemic </w:t>
      </w:r>
      <m:oMath>
        <m:r>
          <w:rPr>
            <w:rFonts w:ascii="Cambria Math" w:cs="Cambria Math" w:eastAsia="Cambria Math" w:hAnsi="Cambria Math"/>
          </w:rPr>
          <m:t xml:space="preserve">i</m:t>
        </m:r>
      </m:oMath>
      <w:r w:rsidDel="00000000" w:rsidR="00000000" w:rsidRPr="00000000">
        <w:rPr>
          <w:rFonts w:ascii="Times New Roman" w:cs="Times New Roman" w:eastAsia="Times New Roman" w:hAnsi="Times New Roman"/>
          <w:rtl w:val="0"/>
        </w:rPr>
        <w:t xml:space="preserve">, and the parameters that characterize the shape of the</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th</m:t>
            </m:r>
          </m:sub>
        </m:sSub>
      </m:oMath>
      <w:r w:rsidDel="00000000" w:rsidR="00000000" w:rsidRPr="00000000">
        <w:rPr>
          <w:rFonts w:ascii="Times New Roman" w:cs="Times New Roman" w:eastAsia="Times New Roman" w:hAnsi="Times New Roman"/>
          <w:rtl w:val="0"/>
        </w:rPr>
        <w:t xml:space="preserve"> sub-epidemic are given by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0</m:t>
                </m:r>
              </m:sub>
            </m:sSub>
          </m:e>
          <m:sub>
            <m:r>
              <w:rPr>
                <w:rFonts w:ascii="Cambria Math" w:cs="Cambria Math" w:eastAsia="Cambria Math" w:hAnsi="Cambria Math"/>
              </w:rPr>
              <m:t xml:space="preserve">i</m:t>
            </m:r>
          </m:sub>
        </m:sSub>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for </w:t>
      </w:r>
      <m:oMath>
        <m:r>
          <w:rPr>
            <w:rFonts w:ascii="Cambria Math" w:cs="Cambria Math" w:eastAsia="Cambria Math" w:hAnsi="Cambria Math"/>
          </w:rPr>
          <m:t xml:space="preserve">i=1,…,n</m:t>
        </m:r>
      </m:oMath>
      <w:r w:rsidDel="00000000" w:rsidR="00000000" w:rsidRPr="00000000">
        <w:rPr>
          <w:rFonts w:ascii="Times New Roman" w:cs="Times New Roman" w:eastAsia="Times New Roman" w:hAnsi="Times New Roman"/>
          <w:rtl w:val="0"/>
        </w:rPr>
        <w:t xml:space="preserve">. Thus, the </w:t>
      </w:r>
      <m:oMath>
        <m:r>
          <w:rPr>
            <w:rFonts w:ascii="Cambria Math" w:cs="Cambria Math" w:eastAsia="Cambria Math" w:hAnsi="Cambria Math"/>
          </w:rPr>
          <m:t xml:space="preserve">1</m:t>
        </m:r>
      </m:oMath>
      <w:r w:rsidDel="00000000" w:rsidR="00000000" w:rsidRPr="00000000">
        <w:rPr>
          <w:rFonts w:ascii="Times New Roman" w:cs="Times New Roman" w:eastAsia="Times New Roman" w:hAnsi="Times New Roman"/>
          <w:rtl w:val="0"/>
        </w:rPr>
        <w:t xml:space="preserve">-sub-epidemic model is equivalent to the generalized growth model described above. When </w:t>
      </w:r>
      <m:oMath>
        <m:r>
          <w:rPr>
            <w:rFonts w:ascii="Cambria Math" w:cs="Cambria Math" w:eastAsia="Cambria Math" w:hAnsi="Cambria Math"/>
          </w:rPr>
          <m:t xml:space="preserve">n&gt;1,</m:t>
        </m:r>
      </m:oMath>
      <w:r w:rsidDel="00000000" w:rsidR="00000000" w:rsidRPr="00000000">
        <w:rPr>
          <w:rFonts w:ascii="Times New Roman" w:cs="Times New Roman" w:eastAsia="Times New Roman" w:hAnsi="Times New Roman"/>
          <w:rtl w:val="0"/>
        </w:rPr>
        <w:t xml:space="preserve"> we model the onset timing of the </w:t>
      </w:r>
      <m:oMath>
        <m:sSub>
          <m:sSubPr>
            <m:ctrlPr>
              <w:rPr>
                <w:rFonts w:ascii="Cambria Math" w:cs="Cambria Math" w:eastAsia="Cambria Math" w:hAnsi="Cambria Math"/>
              </w:rPr>
            </m:ctrlPr>
          </m:sSubPr>
          <m:e>
            <m:r>
              <w:rPr>
                <w:rFonts w:ascii="Cambria Math" w:cs="Cambria Math" w:eastAsia="Cambria Math" w:hAnsi="Cambria Math"/>
              </w:rPr>
              <m:t xml:space="preserve">(i+1)</m:t>
            </m:r>
          </m:e>
          <m:sub>
            <m:r>
              <w:rPr>
                <w:rFonts w:ascii="Cambria Math" w:cs="Cambria Math" w:eastAsia="Cambria Math" w:hAnsi="Cambria Math"/>
              </w:rPr>
              <m:t xml:space="preserve">th</m:t>
            </m:r>
          </m:sub>
        </m:sSub>
      </m:oMath>
      <w:r w:rsidDel="00000000" w:rsidR="00000000" w:rsidRPr="00000000">
        <w:rPr>
          <w:rFonts w:ascii="Times New Roman" w:cs="Times New Roman" w:eastAsia="Times New Roman" w:hAnsi="Times New Roman"/>
          <w:rtl w:val="0"/>
        </w:rPr>
        <w:t xml:space="preserve"> sub-epidemic, where </w:t>
      </w:r>
      <m:oMath>
        <m:r>
          <w:rPr>
            <w:rFonts w:ascii="Cambria Math" w:cs="Cambria Math" w:eastAsia="Cambria Math" w:hAnsi="Cambria Math"/>
          </w:rPr>
          <m:t xml:space="preserve">(i+1)≤n</m:t>
        </m:r>
      </m:oMath>
      <w:r w:rsidDel="00000000" w:rsidR="00000000" w:rsidRPr="00000000">
        <w:rPr>
          <w:rFonts w:ascii="Times New Roman" w:cs="Times New Roman" w:eastAsia="Times New Roman" w:hAnsi="Times New Roman"/>
          <w:rtl w:val="0"/>
        </w:rPr>
        <w:t xml:space="preserve">, by employing an indicator variable given by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r>
          <w:rPr>
            <w:rFonts w:ascii="Cambria Math" w:cs="Cambria Math" w:eastAsia="Cambria Math" w:hAnsi="Cambria Math"/>
          </w:rPr>
          <m:t xml:space="preserve">(t)</m:t>
        </m:r>
      </m:oMath>
      <w:r w:rsidDel="00000000" w:rsidR="00000000" w:rsidRPr="00000000">
        <w:rPr>
          <w:rFonts w:ascii="Times New Roman" w:cs="Times New Roman" w:eastAsia="Times New Roman" w:hAnsi="Times New Roman"/>
          <w:rtl w:val="0"/>
        </w:rPr>
        <w:t xml:space="preserve"> so that the </w:t>
      </w:r>
      <m:oMath>
        <m:sSub>
          <m:sSubPr>
            <m:ctrlPr>
              <w:rPr>
                <w:rFonts w:ascii="Cambria Math" w:cs="Cambria Math" w:eastAsia="Cambria Math" w:hAnsi="Cambria Math"/>
              </w:rPr>
            </m:ctrlPr>
          </m:sSubPr>
          <m:e>
            <m:r>
              <w:rPr>
                <w:rFonts w:ascii="Cambria Math" w:cs="Cambria Math" w:eastAsia="Cambria Math" w:hAnsi="Cambria Math"/>
              </w:rPr>
              <m:t xml:space="preserve">(i+1)</m:t>
            </m:r>
          </m:e>
          <m:sub>
            <m:r>
              <w:rPr>
                <w:rFonts w:ascii="Cambria Math" w:cs="Cambria Math" w:eastAsia="Cambria Math" w:hAnsi="Cambria Math"/>
              </w:rPr>
              <m:t xml:space="preserve">th</m:t>
            </m:r>
          </m:sub>
        </m:sSub>
      </m:oMath>
      <w:r w:rsidDel="00000000" w:rsidR="00000000" w:rsidRPr="00000000">
        <w:rPr>
          <w:rFonts w:ascii="Times New Roman" w:cs="Times New Roman" w:eastAsia="Times New Roman" w:hAnsi="Times New Roman"/>
          <w:rtl w:val="0"/>
        </w:rPr>
        <w:t xml:space="preserve"> Sub-epidemic is triggered when the cumulative curve of the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th</m:t>
            </m:r>
          </m:sub>
        </m:sSub>
      </m:oMath>
      <w:r w:rsidDel="00000000" w:rsidR="00000000" w:rsidRPr="00000000">
        <w:rPr>
          <w:rFonts w:ascii="Times New Roman" w:cs="Times New Roman" w:eastAsia="Times New Roman" w:hAnsi="Times New Roman"/>
          <w:rtl w:val="0"/>
        </w:rPr>
        <w:t xml:space="preserve"> sub-epidemic exceeds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thr</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m:oMath>
        <m:sSub>
          <m:sSubPr>
            <m:ctrlPr>
              <w:rPr>
                <w:rFonts w:ascii="Cambria Math" w:cs="Cambria Math" w:eastAsia="Cambria Math" w:hAnsi="Cambria Math"/>
              </w:rPr>
            </m:ctrlPr>
          </m:sSubPr>
          <m:e>
            <m:r>
              <w:rPr>
                <w:rFonts w:ascii="Cambria Math" w:cs="Cambria Math" w:eastAsia="Cambria Math" w:hAnsi="Cambria Math"/>
              </w:rPr>
              <m:t xml:space="preserve">(i+1)</m:t>
            </m:r>
          </m:e>
          <m:sub>
            <m:r>
              <w:rPr>
                <w:rFonts w:ascii="Cambria Math" w:cs="Cambria Math" w:eastAsia="Cambria Math" w:hAnsi="Cambria Math"/>
              </w:rPr>
              <m:t xml:space="preserve">th</m:t>
            </m:r>
          </m:sub>
        </m:sSub>
      </m:oMath>
      <w:r w:rsidDel="00000000" w:rsidR="00000000" w:rsidRPr="00000000">
        <w:rPr>
          <w:rFonts w:ascii="Times New Roman" w:cs="Times New Roman" w:eastAsia="Times New Roman" w:hAnsi="Times New Roman"/>
          <w:rtl w:val="0"/>
        </w:rPr>
        <w:t xml:space="preserve"> sub-epidemic is only triggered when  </w:t>
      </w:r>
      <m:oMath>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thr</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0</m:t>
                </m:r>
              </m:sub>
            </m:sSub>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Then, we have: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9">
      <w:pPr>
        <w:spacing w:line="480" w:lineRule="auto"/>
        <w:ind w:left="2160" w:firstLine="72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r>
          <w:rPr/>
          <m:t xml:space="preserve">{</m:t>
        </m:r>
        <m:r>
          <w:rPr>
            <w:rFonts w:ascii="Cambria Math" w:cs="Cambria Math" w:eastAsia="Cambria Math" w:hAnsi="Cambria Math"/>
          </w:rPr>
          <m:t xml:space="preserve">1,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thr</m:t>
            </m:r>
          </m:sub>
        </m:sSub>
        <m:r>
          <w:rPr/>
          <m:t xml:space="preserve"> </m:t>
        </m:r>
        <m:r>
          <w:rPr>
            <w:rFonts w:ascii="Cambria Math" w:cs="Cambria Math" w:eastAsia="Cambria Math" w:hAnsi="Cambria Math"/>
          </w:rPr>
          <m:t xml:space="preserve">            </m:t>
        </m:r>
        <m:r>
          <w:rPr/>
          <m:t xml:space="preserve"> </m:t>
        </m:r>
        <m:r>
          <w:rPr>
            <w:rFonts w:ascii="Cambria Math" w:cs="Cambria Math" w:eastAsia="Cambria Math" w:hAnsi="Cambria Math"/>
          </w:rPr>
          <m:t xml:space="preserve">0, Otherwise</m:t>
        </m:r>
        <m:r>
          <w:rPr/>
          <m:t xml:space="preserve"> </m:t>
        </m:r>
      </m:oMath>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(t)</m:t>
        </m:r>
      </m:oMath>
      <w:r w:rsidDel="00000000" w:rsidR="00000000" w:rsidRPr="00000000">
        <w:rPr>
          <w:rFonts w:ascii="Times New Roman" w:cs="Times New Roman" w:eastAsia="Times New Roman" w:hAnsi="Times New Roman"/>
          <w:rtl w:val="0"/>
        </w:rPr>
        <w:t xml:space="preserve"> =1 for the first sub-epidemic. Hence, the total number of parameters that are needed to model an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-sub-epidemic trajectory is given by </w:t>
      </w:r>
      <m:oMath>
        <m:r>
          <w:rPr>
            <w:rFonts w:ascii="Cambria Math" w:cs="Cambria Math" w:eastAsia="Cambria Math" w:hAnsi="Cambria Math"/>
          </w:rPr>
          <m:t xml:space="preserve">3n+1</m:t>
        </m:r>
      </m:oMath>
      <w:r w:rsidDel="00000000" w:rsidR="00000000" w:rsidRPr="00000000">
        <w:rPr>
          <w:rFonts w:ascii="Times New Roman" w:cs="Times New Roman" w:eastAsia="Times New Roman" w:hAnsi="Times New Roman"/>
          <w:rtl w:val="0"/>
        </w:rPr>
        <w:t xml:space="preserve">. The initial number of cases is given by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0</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 </m:t>
            </m:r>
          </m:sub>
        </m:sSub>
      </m:oMath>
      <w:r w:rsidDel="00000000" w:rsidR="00000000" w:rsidRPr="00000000">
        <w:rPr>
          <w:rFonts w:ascii="Times New Roman" w:cs="Times New Roman" w:eastAsia="Times New Roman" w:hAnsi="Times New Roman"/>
          <w:rtl w:val="0"/>
        </w:rPr>
        <w:t xml:space="preserve">is the initial number of cases in the observed data. The cumulative curve of the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-sub-epidemic trajectory is given by:</w:t>
      </w:r>
    </w:p>
    <w:p w:rsidR="00000000" w:rsidDel="00000000" w:rsidP="00000000" w:rsidRDefault="00000000" w:rsidRPr="00000000" w14:paraId="0000004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tot</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r>
          <w:rPr>
            <w:rFonts w:ascii="Cambria Math" w:cs="Cambria Math" w:eastAsia="Cambria Math" w:hAnsi="Cambria Math"/>
          </w:rPr>
          <m:t xml:space="preserve">(t).  </m:t>
        </m:r>
      </m:oMath>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this modeling framework is suitable for diverse epidemic patterns including those characterized by multiple peaks. </w:t>
      </w:r>
    </w:p>
    <w:p w:rsidR="00000000" w:rsidDel="00000000" w:rsidP="00000000" w:rsidRDefault="00000000" w:rsidRPr="00000000" w14:paraId="0000004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Parameter estimation for the n-sub-epidemic model</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time series of new weekly Covid-19 deaths are denoted by:</w:t>
      </w: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r>
              <w:rPr>
                <w:rFonts w:ascii="Cambria Math" w:cs="Cambria Math" w:eastAsia="Cambria Math" w:hAnsi="Cambria Math"/>
              </w:rPr>
              <m:t xml:space="preserve">,  </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sub>
            </m:sSub>
          </m:sub>
        </m:sSub>
      </m:oMath>
      <w:r w:rsidDel="00000000" w:rsidR="00000000" w:rsidRPr="00000000">
        <w:rPr>
          <w:rFonts w:ascii="Times New Roman" w:cs="Times New Roman" w:eastAsia="Times New Roman" w:hAnsi="Times New Roman"/>
          <w:rtl w:val="0"/>
        </w:rPr>
        <w:t xml:space="preserve">where </w:t>
      </w:r>
      <m:oMath>
        <m:r>
          <w:rPr>
            <w:rFonts w:ascii="Cambria Math" w:cs="Cambria Math" w:eastAsia="Cambria Math" w:hAnsi="Cambria Math"/>
          </w:rPr>
          <m:t xml:space="preserve">j=1,2,…,</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oMath>
      <w:r w:rsidDel="00000000" w:rsidR="00000000" w:rsidRPr="00000000">
        <w:rPr>
          <w:rtl w:val="0"/>
        </w:rPr>
      </w:r>
    </w:p>
    <w:p w:rsidR="00000000" w:rsidDel="00000000" w:rsidP="00000000" w:rsidRDefault="00000000" w:rsidRPr="00000000" w14:paraId="0000005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are the time points for the time series data,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oMath>
      <w:r w:rsidDel="00000000" w:rsidR="00000000" w:rsidRPr="00000000">
        <w:rPr>
          <w:rFonts w:ascii="Times New Roman" w:cs="Times New Roman" w:eastAsia="Times New Roman" w:hAnsi="Times New Roman"/>
          <w:rtl w:val="0"/>
        </w:rPr>
        <w:t xml:space="preserve"> is the number of observations. Using these case series, we estimate a total of </w:t>
      </w:r>
      <m:oMath>
        <m:r>
          <w:rPr>
            <w:rFonts w:ascii="Cambria Math" w:cs="Cambria Math" w:eastAsia="Cambria Math" w:hAnsi="Cambria Math"/>
          </w:rPr>
          <m:t xml:space="preserve">3n+1</m:t>
        </m:r>
      </m:oMath>
      <w:r w:rsidDel="00000000" w:rsidR="00000000" w:rsidRPr="00000000">
        <w:rPr>
          <w:rFonts w:ascii="Times New Roman" w:cs="Times New Roman" w:eastAsia="Times New Roman" w:hAnsi="Times New Roman"/>
          <w:rtl w:val="0"/>
        </w:rPr>
        <w:t xml:space="preserve"> model parameters, namely </w:t>
      </w:r>
      <m:oMath>
        <m:r>
          <w:rPr>
            <w:rFonts w:ascii="Cambria Math" w:cs="Cambria Math" w:eastAsia="Cambria Math" w:hAnsi="Cambria Math"/>
          </w:rPr>
          <m:t xml:space="preserve">Θ=</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thr</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0</m:t>
                    </m:r>
                  </m:sub>
                </m:sSub>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0</m:t>
                    </m:r>
                  </m:sub>
                </m:sSub>
              </m:e>
              <m:sub>
                <m:r>
                  <w:rPr>
                    <w:rFonts w:ascii="Cambria Math" w:cs="Cambria Math" w:eastAsia="Cambria Math" w:hAnsi="Cambria Math"/>
                  </w:rPr>
                  <m:t xml:space="preserve">n</m:t>
                </m:r>
              </m:sub>
            </m:sSub>
          </m:e>
        </m:d>
      </m:oMath>
      <w:r w:rsidDel="00000000" w:rsidR="00000000" w:rsidRPr="00000000">
        <w:rPr>
          <w:rFonts w:ascii="Times New Roman" w:cs="Times New Roman" w:eastAsia="Times New Roman" w:hAnsi="Times New Roman"/>
          <w:rtl w:val="0"/>
        </w:rPr>
        <w:t xml:space="preserve">. Let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t,Θ</m:t>
            </m:r>
          </m:e>
        </m:d>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denote the expected curve of new Covid-19 deaths of the epidemic’s trajectory. We can estimate model parameters by fitting the model solution to the observed data via nonlinear least squares [9] or via maximum likelihood estimation assuming a specific error structure. [10] For nonlinear least squares, this is achieved by searching for the set of parameters </w:t>
      </w:r>
      <m:oMath>
        <m:acc>
          <m:accPr>
            <m:chr m:val="̂"/>
          </m:accPr>
          <m:e>
            <m:r>
              <m:t>Θ</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that minimizes the sum of squared differences between the observed data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r>
              <w:rPr>
                <w:rFonts w:ascii="Cambria Math" w:cs="Cambria Math" w:eastAsia="Cambria Math" w:hAnsi="Cambria Math"/>
              </w:rPr>
              <m:t xml:space="preserve">,  </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sub>
            </m:sSub>
          </m:sub>
        </m:sSub>
      </m:oMath>
      <w:r w:rsidDel="00000000" w:rsidR="00000000" w:rsidRPr="00000000">
        <w:rPr>
          <w:rFonts w:ascii="Times New Roman" w:cs="Times New Roman" w:eastAsia="Times New Roman" w:hAnsi="Times New Roman"/>
          <w:rtl w:val="0"/>
        </w:rPr>
        <w:t xml:space="preserve">and the model mean </w:t>
      </w:r>
      <m:oMath>
        <m:r>
          <w:rPr>
            <w:rFonts w:ascii="Cambria Math" w:cs="Cambria Math" w:eastAsia="Cambria Math" w:hAnsi="Cambria Math"/>
          </w:rPr>
          <m:t xml:space="preserve">f(t,Θ)</m:t>
        </m:r>
      </m:oMath>
      <w:r w:rsidDel="00000000" w:rsidR="00000000" w:rsidRPr="00000000">
        <w:rPr>
          <w:rFonts w:ascii="Times New Roman" w:cs="Times New Roman" w:eastAsia="Times New Roman" w:hAnsi="Times New Roman"/>
          <w:rtl w:val="0"/>
        </w:rPr>
        <w:t xml:space="preserve">. That is, </w:t>
      </w:r>
      <m:oMath>
        <m:r>
          <w:rPr>
            <w:rFonts w:ascii="Cambria Math" w:cs="Cambria Math" w:eastAsia="Cambria Math" w:hAnsi="Cambria Math"/>
          </w:rPr>
          <m:t xml:space="preserve">Θ=</m:t>
        </m:r>
        <m:d>
          <m:dPr>
            <m:begChr m:val="("/>
            <m:endChr m:val=")"/>
            <m:ctrlPr>
              <w:rPr>
                <w:rFonts w:ascii="Cambria Math" w:cs="Cambria Math" w:eastAsia="Cambria Math" w:hAnsi="Cambria Math"/>
                <w:color w:val="000000"/>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thr</m:t>
                </m:r>
              </m:sub>
            </m:sSub>
            <m:r>
              <w:rPr>
                <w:rFonts w:ascii="Cambria Math" w:cs="Cambria Math" w:eastAsia="Cambria Math" w:hAnsi="Cambria Math"/>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1</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p</m:t>
                </m:r>
              </m:e>
              <m:sub>
                <m:r>
                  <w:rPr>
                    <w:rFonts w:ascii="Cambria Math" w:cs="Cambria Math" w:eastAsia="Cambria Math" w:hAnsi="Cambria Math"/>
                    <w:color w:val="000000"/>
                  </w:rPr>
                  <m:t xml:space="preserve">1</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K</m:t>
                    </m:r>
                  </m:e>
                  <m:sub>
                    <m:r>
                      <w:rPr>
                        <w:rFonts w:ascii="Cambria Math" w:cs="Cambria Math" w:eastAsia="Cambria Math" w:hAnsi="Cambria Math"/>
                        <w:color w:val="000000"/>
                      </w:rPr>
                      <m:t xml:space="preserve">0</m:t>
                    </m:r>
                  </m:sub>
                </m:sSub>
              </m:e>
              <m:sub>
                <m:r>
                  <w:rPr>
                    <w:rFonts w:ascii="Cambria Math" w:cs="Cambria Math" w:eastAsia="Cambria Math" w:hAnsi="Cambria Math"/>
                    <w:color w:val="000000"/>
                  </w:rPr>
                  <m:t xml:space="preserve">1</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n</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p</m:t>
                </m:r>
              </m:e>
              <m:sub>
                <m:r>
                  <w:rPr>
                    <w:rFonts w:ascii="Cambria Math" w:cs="Cambria Math" w:eastAsia="Cambria Math" w:hAnsi="Cambria Math"/>
                    <w:color w:val="000000"/>
                  </w:rPr>
                  <m:t xml:space="preserve">n</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K</m:t>
                    </m:r>
                  </m:e>
                  <m:sub>
                    <m:r>
                      <w:rPr>
                        <w:rFonts w:ascii="Cambria Math" w:cs="Cambria Math" w:eastAsia="Cambria Math" w:hAnsi="Cambria Math"/>
                        <w:color w:val="000000"/>
                      </w:rPr>
                      <m:t xml:space="preserve">0</m:t>
                    </m:r>
                  </m:sub>
                </m:sSub>
              </m:e>
              <m:sub>
                <m:r>
                  <w:rPr>
                    <w:rFonts w:ascii="Cambria Math" w:cs="Cambria Math" w:eastAsia="Cambria Math" w:hAnsi="Cambria Math"/>
                    <w:color w:val="000000"/>
                  </w:rPr>
                  <m:t xml:space="preserve">n</m:t>
                </m:r>
              </m:sub>
            </m:sSub>
          </m:e>
        </m:d>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is estimated by  </w:t>
      </w:r>
      <m:oMath>
        <m:acc>
          <m:accPr>
            <m:chr m:val="̂"/>
          </m:accPr>
          <m:e>
            <m:r>
              <m:t>Θ</m:t>
            </m:r>
          </m:e>
        </m:acc>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arg</m:t>
            </m:r>
          </m:e>
        </m:box>
        <m:r>
          <w:rPr>
            <w:rFonts w:ascii="Cambria Math" w:cs="Cambria Math" w:eastAsia="Cambria Math" w:hAnsi="Cambria Math"/>
          </w:rPr>
          <m:t xml:space="preserve">arg</m:t>
        </m:r>
        <m:r>
          <w:rPr/>
          <m:t xml:space="preserve"> </m:t>
        </m:r>
        <m:r>
          <w:rPr>
            <w:rFonts w:ascii="Cambria Math" w:cs="Cambria Math" w:eastAsia="Cambria Math" w:hAnsi="Cambria Math"/>
          </w:rPr>
          <m:t xml:space="preserve">min</m:t>
        </m:r>
        <m:r>
          <w:rPr/>
          <m:t xml:space="preserve"> </m:t>
        </m:r>
        <m:r>
          <w:rPr>
            <w:rFonts w:ascii="Cambria Math" w:cs="Cambria Math" w:eastAsia="Cambria Math" w:hAnsi="Cambria Math"/>
          </w:rPr>
          <m:t xml:space="preserve">  </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sup>
        </m:nary>
        <m:sSup>
          <m:sSupPr>
            <m:ctrlPr>
              <w:rPr>
                <w:rFonts w:ascii="Cambria Math" w:cs="Cambria Math" w:eastAsia="Cambria Math" w:hAnsi="Cambria Math"/>
              </w:rPr>
            </m:ctrlPr>
          </m:sSupPr>
          <m:e>
            <m:r>
              <w:rPr>
                <w:rFonts w:ascii="Cambria Math" w:cs="Cambria Math" w:eastAsia="Cambria Math" w:hAnsi="Cambria Math"/>
              </w:rPr>
              <m:t xml:space="preserve">(f</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,Θ</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sub>
            </m:sSub>
            <m:r>
              <w:rPr>
                <w:rFonts w:ascii="Cambria Math" w:cs="Cambria Math" w:eastAsia="Cambria Math" w:hAnsi="Cambria Math"/>
              </w:rPr>
              <m:t xml:space="preserve">)</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quantify parameter uncertainty using a bootstrapping approach described in [11] which allows the computation of standard errors and related statistics in the absence of closed-form solutions. To that end, we use the best-fit model </w:t>
      </w:r>
      <m:oMath>
        <m:r>
          <w:rPr>
            <w:rFonts w:ascii="Cambria Math" w:cs="Cambria Math" w:eastAsia="Cambria Math" w:hAnsi="Cambria Math"/>
          </w:rPr>
          <m:t xml:space="preserve"> f(t,</m:t>
        </m:r>
        <m:acc>
          <m:accPr>
            <m:chr m:val="̂"/>
            <m:ctrlPr>
              <w:rPr>
                <w:rFonts w:ascii="Cambria Math" w:cs="Cambria Math" w:eastAsia="Cambria Math" w:hAnsi="Cambria Math"/>
              </w:rPr>
            </m:ctrlPr>
          </m:accPr>
          <m:e>
            <m:r>
              <w:rPr>
                <w:rFonts w:ascii="Cambria Math" w:cs="Cambria Math" w:eastAsia="Cambria Math" w:hAnsi="Cambria Math"/>
              </w:rPr>
              <m:t>Θ</m:t>
            </m:r>
          </m:e>
        </m:acc>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to generate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-times replicated simulated datasets of size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oMath>
      <w:r w:rsidDel="00000000" w:rsidR="00000000" w:rsidRPr="00000000">
        <w:rPr>
          <w:rFonts w:ascii="Times New Roman" w:cs="Times New Roman" w:eastAsia="Times New Roman" w:hAnsi="Times New Roman"/>
          <w:rtl w:val="0"/>
        </w:rPr>
        <w:t xml:space="preserve">, where the observation at time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 </m:t>
            </m:r>
          </m:sub>
        </m:sSub>
      </m:oMath>
      <w:r w:rsidDel="00000000" w:rsidR="00000000" w:rsidRPr="00000000">
        <w:rPr>
          <w:rFonts w:ascii="Times New Roman" w:cs="Times New Roman" w:eastAsia="Times New Roman" w:hAnsi="Times New Roman"/>
          <w:rtl w:val="0"/>
        </w:rPr>
        <w:t xml:space="preserve">is sampled from a normal distribution with mean </w:t>
      </w:r>
      <m:oMath>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Θ</m:t>
            </m:r>
          </m:e>
        </m:acc>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and variance   </w:t>
      </w:r>
      <m:oMath>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sup>
            </m:nary>
            <m:sSup>
              <m:sSupPr>
                <m:ctrlPr>
                  <w:rPr>
                    <w:rFonts w:ascii="Cambria Math" w:cs="Cambria Math" w:eastAsia="Cambria Math" w:hAnsi="Cambria Math"/>
                  </w:rPr>
                </m:ctrlPr>
              </m:sSupPr>
              <m:e>
                <m:r>
                  <w:rPr>
                    <w:rFonts w:ascii="Cambria Math" w:cs="Cambria Math" w:eastAsia="Cambria Math" w:hAnsi="Cambria Math"/>
                  </w:rPr>
                  <m:t xml:space="preserve">(f</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Θ</m:t>
                        </m:r>
                      </m:e>
                    </m:acc>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sub>
                </m:sSub>
                <m:r>
                  <w:rPr>
                    <w:rFonts w:ascii="Cambria Math" w:cs="Cambria Math" w:eastAsia="Cambria Math" w:hAnsi="Cambria Math"/>
                  </w:rPr>
                  <m:t xml:space="preserve">)</m:t>
                </m:r>
              </m:e>
              <m:sup>
                <m:r>
                  <w:rPr>
                    <w:rFonts w:ascii="Cambria Math" w:cs="Cambria Math" w:eastAsia="Cambria Math" w:hAnsi="Cambria Math"/>
                  </w:rPr>
                  <m:t xml:space="preserve">2</m:t>
                </m:r>
              </m:sup>
            </m:sSup>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r>
              <w:rPr>
                <w:rFonts w:ascii="Cambria Math" w:cs="Cambria Math" w:eastAsia="Cambria Math" w:hAnsi="Cambria Math"/>
              </w:rPr>
              <m:t xml:space="preserve">-(3n+1)</m:t>
            </m:r>
          </m:den>
        </m:f>
      </m:oMath>
      <w:r w:rsidDel="00000000" w:rsidR="00000000" w:rsidRPr="00000000">
        <w:rPr>
          <w:rFonts w:ascii="Times New Roman" w:cs="Times New Roman" w:eastAsia="Times New Roman" w:hAnsi="Times New Roman"/>
          <w:rtl w:val="0"/>
        </w:rPr>
        <w:t xml:space="preserve">. Then, we refit the model to each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simulated dataset to re-estimate each parameter. The new parameter estimates for each realization are denoted by  </w:t>
      </w:r>
      <m:oMath>
        <m:sSub>
          <m:sSubPr>
            <m:ctrlPr>
              <w:rPr>
                <w:rFonts w:ascii="Cambria Math" w:cs="Cambria Math" w:eastAsia="Cambria Math" w:hAnsi="Cambria Math"/>
              </w:rPr>
            </m:ctrlPr>
          </m:sSubPr>
          <m:e>
            <m:acc>
              <m:accPr>
                <m:chr m:val="̂"/>
              </m:accPr>
              <m:e>
                <m:r>
                  <m:t>Θ</m:t>
                </m:r>
              </m:e>
            </m:acc>
          </m:e>
          <m:sub>
            <m:r>
              <w:rPr>
                <w:rFonts w:ascii="Cambria Math" w:cs="Cambria Math" w:eastAsia="Cambria Math" w:hAnsi="Cambria Math"/>
              </w:rPr>
              <m:t xml:space="preserve">b</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where </w:t>
      </w:r>
      <m:oMath>
        <m:r>
          <w:rPr>
            <w:rFonts w:ascii="Cambria Math" w:cs="Cambria Math" w:eastAsia="Cambria Math" w:hAnsi="Cambria Math"/>
          </w:rPr>
          <m:t xml:space="preserve">b=1,2,…,B.</m:t>
        </m:r>
      </m:oMath>
      <w:r w:rsidDel="00000000" w:rsidR="00000000" w:rsidRPr="00000000">
        <w:rPr>
          <w:rFonts w:ascii="Times New Roman" w:cs="Times New Roman" w:eastAsia="Times New Roman" w:hAnsi="Times New Roman"/>
          <w:rtl w:val="0"/>
        </w:rPr>
        <w:t xml:space="preserve"> Using the sets of re-estimated parameters </w:t>
      </w:r>
      <m:oMath>
        <m:d>
          <m:dPr>
            <m:begChr m:val="("/>
            <m:endChr m:val=")"/>
          </m:dPr>
          <m:e>
            <m:sSub>
              <m:sSubPr>
                <m:ctrlPr>
                  <w:rPr>
                    <w:rFonts w:ascii="Cambria Math" w:cs="Cambria Math" w:eastAsia="Cambria Math" w:hAnsi="Cambria Math"/>
                  </w:rPr>
                </m:ctrlPr>
              </m:sSubPr>
              <m:e>
                <m:acc>
                  <m:accPr>
                    <m:chr m:val="̂"/>
                  </m:accPr>
                  <m:e>
                    <m:r>
                      <m:t>Θ</m:t>
                    </m:r>
                  </m:e>
                </m:acc>
              </m:e>
              <m:sub>
                <m:r>
                  <w:rPr>
                    <w:rFonts w:ascii="Cambria Math" w:cs="Cambria Math" w:eastAsia="Cambria Math" w:hAnsi="Cambria Math"/>
                  </w:rPr>
                  <m:t xml:space="preserve">b</m:t>
                </m:r>
              </m:sub>
            </m:sSub>
          </m:e>
        </m:d>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the empirical distribution of each estimate can be characterized, and the resulting uncertainty around the model fit can similarly be obtained from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Θ</m:t>
                    </m:r>
                  </m:e>
                </m:acc>
              </m:e>
              <m:sub>
                <m:r>
                  <w:rPr>
                    <w:rFonts w:ascii="Cambria Math" w:cs="Cambria Math" w:eastAsia="Cambria Math" w:hAnsi="Cambria Math"/>
                  </w:rPr>
                  <m:t xml:space="preserve">1</m:t>
                </m:r>
              </m:sub>
            </m:sSub>
          </m:e>
        </m:d>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Θ</m:t>
                    </m:r>
                  </m:e>
                </m:acc>
              </m:e>
              <m:sub>
                <m:r>
                  <w:rPr>
                    <w:rFonts w:ascii="Cambria Math" w:cs="Cambria Math" w:eastAsia="Cambria Math" w:hAnsi="Cambria Math"/>
                  </w:rPr>
                  <m:t xml:space="preserve">2</m:t>
                </m:r>
              </m:sub>
            </m:sSub>
          </m:e>
        </m:d>
        <m:r>
          <w:rPr>
            <w:rFonts w:ascii="Cambria Math" w:cs="Cambria Math" w:eastAsia="Cambria Math" w:hAnsi="Cambria Math"/>
          </w:rPr>
          <m:t xml:space="preserve">,…,f(t,</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Θ</m:t>
                </m:r>
              </m:e>
            </m:acc>
          </m:e>
          <m:sub>
            <m:r>
              <w:rPr>
                <w:rFonts w:ascii="Cambria Math" w:cs="Cambria Math" w:eastAsia="Cambria Math" w:hAnsi="Cambria Math"/>
              </w:rPr>
              <m:t xml:space="preserve">B</m:t>
            </m:r>
          </m:sub>
        </m:sSub>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We run the calibrated model forward in time to generate short-term forecasts with quantified uncertainty.  </w:t>
      </w:r>
    </w:p>
    <w:p w:rsidR="00000000" w:rsidDel="00000000" w:rsidP="00000000" w:rsidRDefault="00000000" w:rsidRPr="00000000" w14:paraId="00000053">
      <w:pPr>
        <w:spacing w:line="48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4">
      <w:pPr>
        <w:spacing w:line="48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Selecting the top-rank sub-epidemic models</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rtl w:val="0"/>
        </w:rPr>
        <w:t xml:space="preserve">We used the </w:t>
      </w:r>
      <w:r w:rsidDel="00000000" w:rsidR="00000000" w:rsidRPr="00000000">
        <w:rPr>
          <w:rFonts w:ascii="Cambria Math" w:cs="Cambria Math" w:eastAsia="Cambria Math" w:hAnsi="Cambria Math"/>
          <w:sz w:val="23"/>
          <w:szCs w:val="23"/>
          <w:rtl w:val="0"/>
        </w:rPr>
        <w:t xml:space="preserve">𝐴𝐼𝐶</w:t>
      </w:r>
      <w:r w:rsidDel="00000000" w:rsidR="00000000" w:rsidRPr="00000000">
        <w:rPr>
          <w:rFonts w:ascii="Cambria Math" w:cs="Cambria Math" w:eastAsia="Cambria Math" w:hAnsi="Cambria Math"/>
          <w:sz w:val="16"/>
          <w:szCs w:val="16"/>
          <w:rtl w:val="0"/>
        </w:rPr>
        <w:t xml:space="preserve">𝑐</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000000"/>
          <w:rtl w:val="0"/>
        </w:rPr>
        <w:t xml:space="preserve">values of the set of best fit models based on one and two sub-epidemics to select the top-ranked sub-epidemic models. We ranked the models from best to worst according to their values, which are given by [10, 11]: </w:t>
      </w:r>
      <w:r w:rsidDel="00000000" w:rsidR="00000000" w:rsidRPr="00000000">
        <w:rPr>
          <w:rtl w:val="0"/>
        </w:rPr>
      </w:r>
    </w:p>
    <w:p w:rsidR="00000000" w:rsidDel="00000000" w:rsidP="00000000" w:rsidRDefault="00000000" w:rsidRPr="00000000" w14:paraId="0000005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AIC</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r>
          <w:rPr>
            <w:rFonts w:ascii="Cambria Math" w:cs="Cambria Math" w:eastAsia="Cambria Math" w:hAnsi="Cambria Math"/>
          </w:rPr>
          <m:t xml:space="preserve">log</m:t>
        </m:r>
        <m:d>
          <m:dPr>
            <m:begChr m:val="("/>
            <m:endChr m:val=")"/>
            <m:ctrlPr>
              <w:rPr>
                <w:rFonts w:ascii="Cambria Math" w:cs="Cambria Math" w:eastAsia="Cambria Math" w:hAnsi="Cambria Math"/>
              </w:rPr>
            </m:ctrlPr>
          </m:dPr>
          <m:e>
            <m:r>
              <w:rPr>
                <w:rFonts w:ascii="Cambria Math" w:cs="Cambria Math" w:eastAsia="Cambria Math" w:hAnsi="Cambria Math"/>
              </w:rPr>
              <m:t xml:space="preserve">SSE</m:t>
            </m:r>
          </m:e>
        </m:d>
        <m:r>
          <w:rPr>
            <w:rFonts w:ascii="Cambria Math" w:cs="Cambria Math" w:eastAsia="Cambria Math" w:hAnsi="Cambria Math"/>
          </w:rPr>
          <m:t xml:space="preserve">+2m+</m:t>
        </m:r>
        <m:f>
          <m:fPr>
            <m:ctrlPr>
              <w:rPr>
                <w:rFonts w:ascii="Cambria Math" w:cs="Cambria Math" w:eastAsia="Cambria Math" w:hAnsi="Cambria Math"/>
              </w:rPr>
            </m:ctrlPr>
          </m:fPr>
          <m:num>
            <m:r>
              <w:rPr>
                <w:rFonts w:ascii="Cambria Math" w:cs="Cambria Math" w:eastAsia="Cambria Math" w:hAnsi="Cambria Math"/>
              </w:rPr>
              <m:t xml:space="preserve">2m</m:t>
            </m:r>
            <m:d>
              <m:dPr>
                <m:begChr m:val="("/>
                <m:endChr m:val=")"/>
                <m:ctrlPr>
                  <w:rPr>
                    <w:rFonts w:ascii="Cambria Math" w:cs="Cambria Math" w:eastAsia="Cambria Math" w:hAnsi="Cambria Math"/>
                  </w:rPr>
                </m:ctrlPr>
              </m:dPr>
              <m:e>
                <m:r>
                  <w:rPr>
                    <w:rFonts w:ascii="Cambria Math" w:cs="Cambria Math" w:eastAsia="Cambria Math" w:hAnsi="Cambria Math"/>
                  </w:rPr>
                  <m:t xml:space="preserve">m+1</m:t>
                </m:r>
              </m:e>
            </m:d>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r>
              <w:rPr>
                <w:rFonts w:ascii="Cambria Math" w:cs="Cambria Math" w:eastAsia="Cambria Math" w:hAnsi="Cambria Math"/>
              </w:rPr>
              <m:t xml:space="preserve">-m-1</m:t>
            </m:r>
          </m:den>
        </m:f>
      </m:oMath>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Cambria Math" w:cs="Cambria Math" w:eastAsia="Cambria Math" w:hAnsi="Cambria Math"/>
          </w:rPr>
          <m:t xml:space="preserve">SSE=</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sup>
        </m:nary>
        <m:sSup>
          <m:sSupPr>
            <m:ctrlPr>
              <w:rPr>
                <w:rFonts w:ascii="Cambria Math" w:cs="Cambria Math" w:eastAsia="Cambria Math" w:hAnsi="Cambria Math"/>
              </w:rPr>
            </m:ctrlPr>
          </m:sSupPr>
          <m:e>
            <m:r>
              <w:rPr>
                <w:rFonts w:ascii="Cambria Math" w:cs="Cambria Math" w:eastAsia="Cambria Math" w:hAnsi="Cambria Math"/>
              </w:rPr>
              <m:t xml:space="preserve">(f</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Θ</m:t>
                    </m:r>
                  </m:e>
                </m:acc>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sub>
            </m:sSub>
            <m:r>
              <w:rPr>
                <w:rFonts w:ascii="Cambria Math" w:cs="Cambria Math" w:eastAsia="Cambria Math" w:hAnsi="Cambria Math"/>
              </w:rPr>
              <m:t xml:space="preserve">)</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 </w:t>
      </w:r>
      <m:oMath>
        <m:r>
          <w:rPr>
            <w:rFonts w:ascii="Cambria Math" w:cs="Cambria Math" w:eastAsia="Cambria Math" w:hAnsi="Cambria Math"/>
          </w:rPr>
          <m:t xml:space="preserve">m=3n+1</m:t>
        </m:r>
      </m:oMath>
      <w:r w:rsidDel="00000000" w:rsidR="00000000" w:rsidRPr="00000000">
        <w:rPr>
          <w:rFonts w:ascii="Times New Roman" w:cs="Times New Roman" w:eastAsia="Times New Roman" w:hAnsi="Times New Roman"/>
          <w:rtl w:val="0"/>
        </w:rPr>
        <w:t xml:space="preserve">  is the number of model parameters, and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d</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is the number of data points. Parameters from the above formula for </w:t>
      </w:r>
      <m:oMath>
        <m:sSub>
          <m:sSubPr>
            <m:ctrlPr>
              <w:rPr>
                <w:rFonts w:ascii="Cambria Math" w:cs="Cambria Math" w:eastAsia="Cambria Math" w:hAnsi="Cambria Math"/>
              </w:rPr>
            </m:ctrlPr>
          </m:sSubPr>
          <m:e>
            <m:r>
              <w:rPr>
                <w:rFonts w:ascii="Cambria Math" w:cs="Cambria Math" w:eastAsia="Cambria Math" w:hAnsi="Cambria Math"/>
              </w:rPr>
              <m:t xml:space="preserve">AIC</m:t>
            </m:r>
          </m:e>
          <m:sub>
            <m:r>
              <w:rPr>
                <w:rFonts w:ascii="Cambria Math" w:cs="Cambria Math" w:eastAsia="Cambria Math" w:hAnsi="Cambria Math"/>
              </w:rPr>
              <m:t xml:space="preserve">c</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are estimated from the nonlinear least-squares fit, which implicitly assumes normal distribution for error. </w:t>
      </w:r>
    </w:p>
    <w:p w:rsidR="00000000" w:rsidDel="00000000" w:rsidP="00000000" w:rsidRDefault="00000000" w:rsidRPr="00000000" w14:paraId="0000005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Constructing ensemble n-sub-epidemic models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48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We generated ensemble models from a weighted combination of the highest-ranking sub-epidemic models as deemed </w:t>
      </w:r>
      <w:r w:rsidDel="00000000" w:rsidR="00000000" w:rsidRPr="00000000">
        <w:rPr>
          <w:rFonts w:ascii="Times New Roman" w:cs="Times New Roman" w:eastAsia="Times New Roman" w:hAnsi="Times New Roman"/>
          <w:color w:val="000000"/>
          <w:rtl w:val="0"/>
        </w:rPr>
        <w:t xml:space="preserve">by the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AIC</m:t>
            </m:r>
          </m:e>
          <m:sub>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i</m:t>
                </m:r>
              </m:sub>
            </m:sSub>
          </m:sub>
        </m:sSub>
      </m:oMath>
      <w:r w:rsidDel="00000000" w:rsidR="00000000" w:rsidRPr="00000000">
        <w:rPr>
          <w:rFonts w:ascii="Times New Roman" w:cs="Times New Roman" w:eastAsia="Times New Roman" w:hAnsi="Times New Roman"/>
          <w:color w:val="000000"/>
          <w:rtl w:val="0"/>
        </w:rPr>
        <w:t xml:space="preserve"> for the </w:t>
      </w:r>
      <m:oMath>
        <m:r>
          <w:rPr>
            <w:rFonts w:ascii="Cambria Math" w:cs="Cambria Math" w:eastAsia="Cambria Math" w:hAnsi="Cambria Math"/>
            <w:color w:val="000000"/>
          </w:rPr>
          <m:t xml:space="preserve">i</m:t>
        </m:r>
      </m:oMath>
      <w:r w:rsidDel="00000000" w:rsidR="00000000" w:rsidRPr="00000000">
        <w:rPr>
          <w:rFonts w:ascii="Times New Roman" w:cs="Times New Roman" w:eastAsia="Times New Roman" w:hAnsi="Times New Roman"/>
          <w:color w:val="000000"/>
          <w:rtl w:val="0"/>
        </w:rPr>
        <w:t xml:space="preserve">-th ranked model where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AIC</m:t>
            </m:r>
          </m:e>
          <m:sub>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1</m:t>
                </m:r>
              </m:sub>
            </m:sSub>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AIC</m:t>
            </m:r>
          </m:e>
          <m:sub>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I</m:t>
                </m:r>
              </m:sub>
            </m:sSub>
          </m:sub>
        </m:sSub>
      </m:oMath>
      <w:r w:rsidDel="00000000" w:rsidR="00000000" w:rsidRPr="00000000">
        <w:rPr>
          <w:rFonts w:ascii="Times New Roman" w:cs="Times New Roman" w:eastAsia="Times New Roman" w:hAnsi="Times New Roman"/>
          <w:color w:val="000000"/>
          <w:rtl w:val="0"/>
        </w:rPr>
        <w:t xml:space="preserve"> and </w:t>
      </w:r>
      <m:oMath>
        <m:r>
          <w:rPr>
            <w:rFonts w:ascii="Cambria Math" w:cs="Cambria Math" w:eastAsia="Cambria Math" w:hAnsi="Cambria Math"/>
            <w:color w:val="000000"/>
          </w:rPr>
          <m:t xml:space="preserve">i</m:t>
        </m:r>
      </m:oMath>
      <w:r w:rsidDel="00000000" w:rsidR="00000000" w:rsidRPr="00000000">
        <w:rPr>
          <w:rFonts w:ascii="Times New Roman" w:cs="Times New Roman" w:eastAsia="Times New Roman" w:hAnsi="Times New Roman"/>
          <w:color w:val="000000"/>
          <w:rtl w:val="0"/>
        </w:rPr>
        <w:t xml:space="preserve"> = 1, ..., </w:t>
      </w:r>
      <w:r w:rsidDel="00000000" w:rsidR="00000000" w:rsidRPr="00000000">
        <w:rPr>
          <w:rFonts w:ascii="Times New Roman" w:cs="Times New Roman" w:eastAsia="Times New Roman" w:hAnsi="Times New Roman"/>
          <w:i w:val="1"/>
          <w:iCs w:val="1"/>
          <w:color w:val="000000"/>
          <w:rtl w:val="0"/>
        </w:rPr>
        <w:t xml:space="preserve">I. </w:t>
      </w:r>
      <w:r w:rsidDel="00000000" w:rsidR="00000000" w:rsidRPr="00000000">
        <w:rPr>
          <w:rFonts w:ascii="Times New Roman" w:cs="Times New Roman" w:eastAsia="Times New Roman" w:hAnsi="Times New Roman"/>
          <w:rtl w:val="0"/>
        </w:rPr>
        <w:t xml:space="preserve">We employed the first-, second-, third- and fourth-ranked models to derive the ensemble forecasts. </w:t>
      </w:r>
      <w:r w:rsidDel="00000000" w:rsidR="00000000" w:rsidRPr="00000000">
        <w:rPr>
          <w:rFonts w:ascii="Times New Roman" w:cs="Times New Roman" w:eastAsia="Times New Roman" w:hAnsi="Times New Roman"/>
          <w:color w:val="000000"/>
          <w:rtl w:val="0"/>
        </w:rPr>
        <w:t xml:space="preserve">An ensemble derived from the top-ranking </w:t>
      </w:r>
      <m:oMath>
        <m:r>
          <w:rPr>
            <w:rFonts w:ascii="Cambria Math" w:cs="Cambria Math" w:eastAsia="Cambria Math" w:hAnsi="Cambria Math"/>
            <w:color w:val="000000"/>
          </w:rPr>
          <m:t xml:space="preserve">I</m:t>
        </m:r>
      </m:oMath>
      <w:r w:rsidDel="00000000" w:rsidR="00000000" w:rsidRPr="00000000">
        <w:rPr>
          <w:rFonts w:ascii="Times New Roman" w:cs="Times New Roman" w:eastAsia="Times New Roman" w:hAnsi="Times New Roman"/>
          <w:color w:val="000000"/>
          <w:rtl w:val="0"/>
        </w:rPr>
        <w:t xml:space="preserve"> models is denoted by Ensemble(</w:t>
      </w:r>
      <w:r w:rsidDel="00000000" w:rsidR="00000000" w:rsidRPr="00000000">
        <w:rPr>
          <w:rFonts w:ascii="Times New Roman" w:cs="Times New Roman" w:eastAsia="Times New Roman" w:hAnsi="Times New Roman"/>
          <w:i w:val="1"/>
          <w:iCs w:val="1"/>
          <w:color w:val="000000"/>
          <w:rtl w:val="0"/>
        </w:rPr>
        <w:t xml:space="preserve">I</w:t>
      </w:r>
      <w:r w:rsidDel="00000000" w:rsidR="00000000" w:rsidRPr="00000000">
        <w:rPr>
          <w:rFonts w:ascii="Times New Roman" w:cs="Times New Roman" w:eastAsia="Times New Roman" w:hAnsi="Times New Roman"/>
          <w:color w:val="000000"/>
          <w:rtl w:val="0"/>
        </w:rPr>
        <w:t xml:space="preserve">). Thus, Ensemble (2) refers to the ensemble model generated from the weighted combination of the top-ranking 2 sub-epidemic models. We compute the weight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w</m:t>
            </m:r>
          </m:e>
          <m:sub>
            <m:r>
              <w:rPr>
                <w:rFonts w:ascii="Cambria Math" w:cs="Cambria Math" w:eastAsia="Cambria Math" w:hAnsi="Cambria Math"/>
                <w:color w:val="000000"/>
              </w:rPr>
              <m:t xml:space="preserve">i</m:t>
            </m:r>
          </m:sub>
        </m:sSub>
      </m:oMath>
      <w:r w:rsidDel="00000000" w:rsidR="00000000" w:rsidRPr="00000000">
        <w:rPr>
          <w:rFonts w:ascii="Times New Roman" w:cs="Times New Roman" w:eastAsia="Times New Roman" w:hAnsi="Times New Roman"/>
          <w:color w:val="000000"/>
          <w:rtl w:val="0"/>
        </w:rPr>
        <w:t xml:space="preserve"> for the </w:t>
      </w:r>
      <m:oMath>
        <m:r>
          <w:rPr>
            <w:rFonts w:ascii="Cambria Math" w:cs="Cambria Math" w:eastAsia="Cambria Math" w:hAnsi="Cambria Math"/>
            <w:color w:val="000000"/>
          </w:rPr>
          <m:t xml:space="preserve">i</m:t>
        </m:r>
      </m:oMath>
      <w:r w:rsidDel="00000000" w:rsidR="00000000" w:rsidRPr="00000000">
        <w:rPr>
          <w:rFonts w:ascii="Times New Roman" w:cs="Times New Roman" w:eastAsia="Times New Roman" w:hAnsi="Times New Roman"/>
          <w:color w:val="000000"/>
          <w:rtl w:val="0"/>
        </w:rPr>
        <w:t xml:space="preserve">-th model, </w:t>
      </w:r>
      <m:oMath>
        <m:r>
          <w:rPr>
            <w:rFonts w:ascii="Cambria Math" w:cs="Cambria Math" w:eastAsia="Cambria Math" w:hAnsi="Cambria Math"/>
            <w:color w:val="000000"/>
          </w:rPr>
          <m:t xml:space="preserve">i</m:t>
        </m:r>
      </m:oMath>
      <w:r w:rsidDel="00000000" w:rsidR="00000000" w:rsidRPr="00000000">
        <w:rPr>
          <w:rFonts w:ascii="Times New Roman" w:cs="Times New Roman" w:eastAsia="Times New Roman" w:hAnsi="Times New Roman"/>
          <w:color w:val="000000"/>
          <w:rtl w:val="0"/>
        </w:rPr>
        <w:t xml:space="preserve"> = 1, ... , </w:t>
      </w:r>
      <w:r w:rsidDel="00000000" w:rsidR="00000000" w:rsidRPr="00000000">
        <w:rPr>
          <w:rFonts w:ascii="Times New Roman" w:cs="Times New Roman" w:eastAsia="Times New Roman" w:hAnsi="Times New Roman"/>
          <w:i w:val="1"/>
          <w:iCs w:val="1"/>
          <w:color w:val="000000"/>
          <w:rtl w:val="0"/>
        </w:rPr>
        <w:t xml:space="preserve">I</w:t>
      </w:r>
      <w:r w:rsidDel="00000000" w:rsidR="00000000" w:rsidRPr="00000000">
        <w:rPr>
          <w:rFonts w:ascii="Times New Roman" w:cs="Times New Roman" w:eastAsia="Times New Roman" w:hAnsi="Times New Roman"/>
          <w:color w:val="000000"/>
          <w:rtl w:val="0"/>
        </w:rPr>
        <w:t xml:space="preserve">, where </w:t>
      </w:r>
      <m:oMath>
        <m:nary>
          <m:naryPr>
            <m:chr m:val="∑"/>
          </m:naryPr>
          <m:sub/>
          <m:sup/>
        </m:nary>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 1 as follows:</w:t>
      </w:r>
    </w:p>
    <w:p w:rsidR="00000000" w:rsidDel="00000000" w:rsidP="00000000" w:rsidRDefault="00000000" w:rsidRPr="00000000" w14:paraId="0000005B">
      <w:pPr>
        <w:spacing w:line="480" w:lineRule="auto"/>
        <w:jc w:val="center"/>
        <w:rPr>
          <w:rFonts w:ascii="Times New Roman" w:cs="Times New Roman" w:eastAsia="Times New Roman" w:hAnsi="Times New Roman"/>
        </w:rPr>
      </w:pPr>
      <w:bookmarkStart w:colFirst="0" w:colLast="0" w:name="_ap0wlstdr3dg" w:id="0"/>
      <w:bookmarkEnd w:id="0"/>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num>
          <m:den>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den>
        </m:f>
      </m:oMath>
      <w:r w:rsidDel="00000000" w:rsidR="00000000" w:rsidRPr="00000000">
        <w:rPr>
          <w:rFonts w:ascii="Times New Roman" w:cs="Times New Roman" w:eastAsia="Times New Roman" w:hAnsi="Times New Roman"/>
          <w:rtl w:val="0"/>
        </w:rPr>
        <w:t xml:space="preserve">   for all </w:t>
      </w:r>
      <m:oMath>
        <m:r>
          <w:rPr>
            <w:rFonts w:ascii="Cambria Math" w:cs="Cambria Math" w:eastAsia="Cambria Math" w:hAnsi="Cambria Math"/>
          </w:rPr>
          <m:t xml:space="preserve">i=1,2,…,I</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2"/>
          <w:rtl w:val="0"/>
        </w:rPr>
        <w:t xml:space="preserve">where </w:t>
      </w:r>
      <m:oMath>
        <m:sSub>
          <m:sSubPr>
            <m:ctrlPr>
              <w:rPr>
                <w:rFonts w:ascii="Cambria Math" w:cs="Cambria Math" w:eastAsia="Cambria Math" w:hAnsi="Cambria Math"/>
                <w:color w:val="202122"/>
              </w:rPr>
            </m:ctrlPr>
          </m:sSubPr>
          <m:e>
            <m:r>
              <w:rPr>
                <w:rFonts w:ascii="Cambria Math" w:cs="Cambria Math" w:eastAsia="Cambria Math" w:hAnsi="Cambria Math"/>
                <w:color w:val="202122"/>
              </w:rPr>
              <m:t xml:space="preserve">l</m:t>
            </m:r>
          </m:e>
          <m:sub>
            <m:r>
              <w:rPr>
                <w:rFonts w:ascii="Cambria Math" w:cs="Cambria Math" w:eastAsia="Cambria Math" w:hAnsi="Cambria Math"/>
                <w:color w:val="202122"/>
              </w:rPr>
              <m:t xml:space="preserve">i</m:t>
            </m:r>
          </m:sub>
        </m:sSub>
      </m:oMath>
      <w:r w:rsidDel="00000000" w:rsidR="00000000" w:rsidRPr="00000000">
        <w:rPr>
          <w:rFonts w:ascii="Times New Roman" w:cs="Times New Roman" w:eastAsia="Times New Roman" w:hAnsi="Times New Roman"/>
          <w:color w:val="202122"/>
          <w:rtl w:val="0"/>
        </w:rPr>
        <w:t xml:space="preserve"> is the relative likelihood of model </w:t>
      </w:r>
      <m:oMath>
        <m:r>
          <w:rPr>
            <w:rFonts w:ascii="Cambria Math" w:cs="Cambria Math" w:eastAsia="Cambria Math" w:hAnsi="Cambria Math"/>
            <w:color w:val="202122"/>
          </w:rPr>
          <m:t xml:space="preserve">i</m:t>
        </m:r>
      </m:oMath>
      <w:r w:rsidDel="00000000" w:rsidR="00000000" w:rsidRPr="00000000">
        <w:rPr>
          <w:rFonts w:ascii="Times New Roman" w:cs="Times New Roman" w:eastAsia="Times New Roman" w:hAnsi="Times New Roman"/>
          <w:color w:val="202122"/>
          <w:rtl w:val="0"/>
        </w:rPr>
        <w:t xml:space="preserve">, which is given by </w:t>
      </w:r>
      <m:oMath>
        <m:sSub>
          <m:sSubPr>
            <m:ctrlPr>
              <w:rPr>
                <w:rFonts w:ascii="Cambria Math" w:cs="Cambria Math" w:eastAsia="Cambria Math" w:hAnsi="Cambria Math"/>
                <w:color w:val="202122"/>
              </w:rPr>
            </m:ctrlPr>
          </m:sSubPr>
          <m:e>
            <m:r>
              <w:rPr>
                <w:rFonts w:ascii="Cambria Math" w:cs="Cambria Math" w:eastAsia="Cambria Math" w:hAnsi="Cambria Math"/>
                <w:color w:val="202122"/>
              </w:rPr>
              <m:t xml:space="preserve">l</m:t>
            </m:r>
          </m:e>
          <m:sub>
            <m:r>
              <w:rPr>
                <w:rFonts w:ascii="Cambria Math" w:cs="Cambria Math" w:eastAsia="Cambria Math" w:hAnsi="Cambria Math"/>
                <w:color w:val="202122"/>
              </w:rPr>
              <m:t xml:space="preserve">i</m:t>
            </m:r>
          </m:sub>
        </m:sSub>
        <m:r>
          <w:rPr>
            <w:rFonts w:ascii="Cambria Math" w:cs="Cambria Math" w:eastAsia="Cambria Math" w:hAnsi="Cambria Math"/>
            <w:color w:val="202122"/>
          </w:rPr>
          <m:t xml:space="preserve">=</m:t>
        </m:r>
        <m:sSup>
          <m:sSupPr>
            <m:ctrlPr>
              <w:rPr>
                <w:rFonts w:ascii="Cambria Math" w:cs="Cambria Math" w:eastAsia="Cambria Math" w:hAnsi="Cambria Math"/>
                <w:color w:val="202122"/>
              </w:rPr>
            </m:ctrlPr>
          </m:sSupPr>
          <m:e>
            <m:r>
              <w:rPr>
                <w:rFonts w:ascii="Cambria Math" w:cs="Cambria Math" w:eastAsia="Cambria Math" w:hAnsi="Cambria Math"/>
                <w:color w:val="202122"/>
              </w:rPr>
              <m:t xml:space="preserve">e</m:t>
            </m:r>
          </m:e>
          <m:sup>
            <m:r>
              <w:rPr>
                <w:rFonts w:ascii="Cambria Math" w:cs="Cambria Math" w:eastAsia="Cambria Math" w:hAnsi="Cambria Math"/>
                <w:color w:val="202122"/>
              </w:rPr>
              <m:t xml:space="preserve">(</m:t>
            </m:r>
            <m:sSub>
              <m:sSubPr>
                <m:ctrlPr>
                  <w:rPr>
                    <w:rFonts w:ascii="Cambria Math" w:cs="Cambria Math" w:eastAsia="Cambria Math" w:hAnsi="Cambria Math"/>
                    <w:color w:val="202122"/>
                  </w:rPr>
                </m:ctrlPr>
              </m:sSubPr>
              <m:e>
                <m:r>
                  <w:rPr>
                    <w:rFonts w:ascii="Cambria Math" w:cs="Cambria Math" w:eastAsia="Cambria Math" w:hAnsi="Cambria Math"/>
                    <w:color w:val="202122"/>
                  </w:rPr>
                  <m:t xml:space="preserve">(AIC</m:t>
                </m:r>
              </m:e>
              <m:sub>
                <m:r>
                  <w:rPr>
                    <w:rFonts w:ascii="Cambria Math" w:cs="Cambria Math" w:eastAsia="Cambria Math" w:hAnsi="Cambria Math"/>
                    <w:color w:val="202122"/>
                  </w:rPr>
                  <m:t xml:space="preserve">min</m:t>
                </m:r>
              </m:sub>
            </m:sSub>
            <m:r>
              <w:rPr>
                <w:rFonts w:ascii="Cambria Math" w:cs="Cambria Math" w:eastAsia="Cambria Math" w:hAnsi="Cambria Math"/>
                <w:color w:val="202122"/>
              </w:rPr>
              <m:t xml:space="preserve">-</m:t>
            </m:r>
            <m:sSub>
              <m:sSubPr>
                <m:ctrlPr>
                  <w:rPr>
                    <w:rFonts w:ascii="Cambria Math" w:cs="Cambria Math" w:eastAsia="Cambria Math" w:hAnsi="Cambria Math"/>
                    <w:color w:val="202122"/>
                  </w:rPr>
                </m:ctrlPr>
              </m:sSubPr>
              <m:e>
                <m:r>
                  <w:rPr>
                    <w:rFonts w:ascii="Cambria Math" w:cs="Cambria Math" w:eastAsia="Cambria Math" w:hAnsi="Cambria Math"/>
                    <w:color w:val="202122"/>
                  </w:rPr>
                  <m:t xml:space="preserve">AIC</m:t>
                </m:r>
              </m:e>
              <m:sub>
                <m:r>
                  <w:rPr>
                    <w:rFonts w:ascii="Cambria Math" w:cs="Cambria Math" w:eastAsia="Cambria Math" w:hAnsi="Cambria Math"/>
                    <w:color w:val="202122"/>
                  </w:rPr>
                  <m:t xml:space="preserve">i</m:t>
                </m:r>
              </m:sub>
            </m:sSub>
            <m:r>
              <w:rPr>
                <w:rFonts w:ascii="Cambria Math" w:cs="Cambria Math" w:eastAsia="Cambria Math" w:hAnsi="Cambria Math"/>
                <w:color w:val="202122"/>
              </w:rPr>
              <m:t xml:space="preserve">)/2)</m:t>
            </m:r>
          </m:sup>
        </m:sSup>
      </m:oMath>
      <w:r w:rsidDel="00000000" w:rsidR="00000000" w:rsidRPr="00000000">
        <w:rPr>
          <w:rFonts w:ascii="Times New Roman" w:cs="Times New Roman" w:eastAsia="Times New Roman" w:hAnsi="Times New Roman"/>
          <w:color w:val="202122"/>
          <w:rtl w:val="0"/>
        </w:rPr>
        <w:t xml:space="preserve"> [12] </w:t>
      </w:r>
      <w:r w:rsidDel="00000000" w:rsidR="00000000" w:rsidRPr="00000000">
        <w:rPr>
          <w:rFonts w:ascii="Times New Roman" w:cs="Times New Roman" w:eastAsia="Times New Roman" w:hAnsi="Times New Roman"/>
          <w:rtl w:val="0"/>
        </w:rPr>
        <w:t xml:space="preserve">and hence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The same methodology is applied to generate the Ensemble (3) and Ensemble (4) models. The prediction intervals based on the ensemble model can be obtained using a bootstrap approach similar as before.</w:t>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Auto-Regressive Integrated Moving Average Models (ARIMA)</w:t>
      </w:r>
    </w:p>
    <w:p w:rsidR="00000000" w:rsidDel="00000000" w:rsidP="00000000" w:rsidRDefault="00000000" w:rsidRPr="00000000" w14:paraId="0000005F">
      <w:pPr>
        <w:spacing w:line="480" w:lineRule="auto"/>
        <w:ind w:firstLine="720"/>
        <w:rPr>
          <w:rFonts w:ascii="Times New Roman" w:cs="Times New Roman" w:eastAsia="Times New Roman" w:hAnsi="Times New Roman"/>
          <w:color w:val="202020"/>
        </w:rPr>
      </w:pPr>
      <w:r w:rsidDel="00000000" w:rsidR="00000000" w:rsidRPr="00000000">
        <w:rPr>
          <w:rFonts w:ascii="Times New Roman" w:cs="Times New Roman" w:eastAsia="Times New Roman" w:hAnsi="Times New Roman"/>
          <w:rtl w:val="0"/>
        </w:rPr>
        <w:t xml:space="preserve">ARIMA models are commonly employed when forecasting financial [13-15] weather [16-18] trends and have become a standard benchmark in disease forecasting [19-21]. T</w:t>
      </w:r>
      <w:r w:rsidDel="00000000" w:rsidR="00000000" w:rsidRPr="00000000">
        <w:rPr>
          <w:rFonts w:ascii="Times New Roman" w:cs="Times New Roman" w:eastAsia="Times New Roman" w:hAnsi="Times New Roman"/>
          <w:color w:val="202020"/>
          <w:rtl w:val="0"/>
        </w:rPr>
        <w:t xml:space="preserve">he ARIMA (p, d, q) process is given by:</w:t>
      </w:r>
    </w:p>
    <w:p w:rsidR="00000000" w:rsidDel="00000000" w:rsidP="00000000" w:rsidRDefault="00000000" w:rsidRPr="00000000" w14:paraId="00000060">
      <w:pPr>
        <w:jc w:val="center"/>
        <w:rPr>
          <w:rFonts w:ascii="Cambria Math" w:cs="Cambria Math" w:eastAsia="Cambria Math" w:hAnsi="Cambria Math"/>
          <w:b w:val="0"/>
          <w:bCs w:val="0"/>
          <w:i w:val="0"/>
          <w:iCs w:val="0"/>
          <w:smallCaps w:val="0"/>
          <w:strike w:val="0"/>
          <w:color w:val="202020"/>
          <w:sz w:val="24"/>
          <w:szCs w:val="24"/>
          <w:u w:val="none"/>
          <w:shd w:fill="auto" w:val="clear"/>
          <w:vertAlign w:val="baseline"/>
        </w:rPr>
      </w:pPr>
      <m:oMath>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ϕ(B)(1-</m:t>
        </m:r>
        <m:sSup>
          <m:sSup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B)</m:t>
            </m:r>
          </m:e>
          <m:sup>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d</m:t>
            </m:r>
          </m:sup>
        </m:sSup>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=c+θ(B)</m:t>
        </m:r>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ϵ</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m:t>
            </m:r>
          </m:sub>
        </m:sSub>
      </m:oMath>
      <w:r w:rsidDel="00000000" w:rsidR="00000000" w:rsidRPr="00000000">
        <w:rPr>
          <w:rtl w:val="0"/>
        </w:rPr>
      </w:r>
    </w:p>
    <w:p w:rsidR="00000000" w:rsidDel="00000000" w:rsidP="00000000" w:rsidRDefault="00000000" w:rsidRPr="00000000" w14:paraId="00000061">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2020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or equivalently as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B</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(1 −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perscript"/>
          <w:rtl w:val="0"/>
        </w:rPr>
        <w:t xml:space="preserve"> d</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t</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μ</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per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 θ(</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)ϵ</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where p is the order of the AR model, d is the degree of differencing, q is the order of the MA model,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ϵ</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is a white noise process with mean 0 and variance σ</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and B denotes the backshift operator which implies </w:t>
      </w:r>
      <m:oMath>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B</m:t>
        </m:r>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B</m:t>
        </m:r>
        <m:d>
          <m:dPr>
            <m:begChr m:val="("/>
            <m:endChr m:val=")"/>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B</m:t>
            </m:r>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m:t>
                </m:r>
              </m:sub>
            </m:sSub>
          </m:e>
        </m:d>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B</m:t>
            </m:r>
          </m:e>
          <m:sup>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2</m:t>
            </m:r>
          </m:sup>
        </m:sSup>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0202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202020"/>
                <w:sz w:val="24"/>
                <w:szCs w:val="24"/>
                <w:u w:val="none"/>
                <w:shd w:fill="auto" w:val="clear"/>
                <w:vertAlign w:val="baseline"/>
              </w:rPr>
              <m:t xml:space="preserve">t-2</m:t>
            </m:r>
          </m:sub>
        </m:sSub>
      </m:oMath>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The p-order polynomial ϕ(</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z</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1 − ϕ</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z</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ϕ</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perscript"/>
          <w:rtl w:val="0"/>
        </w:rPr>
        <w:t xml:space="preserve">p</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and the q-order polynomial θ(</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z</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1 − θ</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z</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perscript"/>
          <w:rtl w:val="0"/>
        </w:rPr>
        <w:t xml:space="preserve">q</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are assumed to have no roots inside the unit circle to ensure causality and invertibility. The constant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μ</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(1 −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subscript"/>
          <w:rtl w:val="0"/>
        </w:rPr>
        <w:t xml:space="preserve">1</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20202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p</w:t>
      </w:r>
      <w:r w:rsidDel="00000000" w:rsidR="00000000" w:rsidRPr="00000000">
        <w:rPr>
          <w:rFonts w:ascii="Cardo" w:cs="Cardo" w:eastAsia="Cardo" w:hAnsi="Cardo"/>
          <w:b w:val="0"/>
          <w:bCs w:val="0"/>
          <w:i w:val="0"/>
          <w:iCs w:val="0"/>
          <w:smallCaps w:val="0"/>
          <w:strike w:val="0"/>
          <w:color w:val="202020"/>
          <w:sz w:val="24"/>
          <w:szCs w:val="24"/>
          <w:u w:val="none"/>
          <w:shd w:fill="auto" w:val="clear"/>
          <w:vertAlign w:val="baseline"/>
          <w:rtl w:val="0"/>
        </w:rPr>
        <w:t xml:space="preserve">), and μ is the mean of (1 −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perscript"/>
          <w:rtl w:val="0"/>
        </w:rPr>
        <w:t xml:space="preserve">d</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When d = 0,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 is the mean of </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20202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202020"/>
          <w:sz w:val="24"/>
          <w:szCs w:val="24"/>
          <w:u w:val="none"/>
          <w:shd w:fill="auto" w:val="clear"/>
          <w:vertAlign w:val="baseline"/>
          <w:rtl w:val="0"/>
        </w:rPr>
        <w:t xml:space="preserve">.</w:t>
      </w:r>
    </w:p>
    <w:p w:rsidR="00000000" w:rsidDel="00000000" w:rsidP="00000000" w:rsidRDefault="00000000" w:rsidRPr="00000000" w14:paraId="0000006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020"/>
          <w:rtl w:val="0"/>
        </w:rPr>
        <w:t xml:space="preserve">The </w:t>
      </w:r>
      <w:r w:rsidDel="00000000" w:rsidR="00000000" w:rsidRPr="00000000">
        <w:rPr>
          <w:rFonts w:ascii="Times New Roman" w:cs="Times New Roman" w:eastAsia="Times New Roman" w:hAnsi="Times New Roman"/>
          <w:i w:val="1"/>
          <w:iCs w:val="1"/>
          <w:color w:val="202020"/>
          <w:rtl w:val="0"/>
        </w:rPr>
        <w:t xml:space="preserve">auto</w:t>
      </w:r>
      <w:r w:rsidDel="00000000" w:rsidR="00000000" w:rsidRPr="00000000">
        <w:rPr>
          <w:rFonts w:ascii="Times New Roman" w:cs="Times New Roman" w:eastAsia="Times New Roman" w:hAnsi="Times New Roman"/>
          <w:color w:val="202020"/>
          <w:rtl w:val="0"/>
        </w:rPr>
        <w:t xml:space="preserve">.</w:t>
      </w:r>
      <w:r w:rsidDel="00000000" w:rsidR="00000000" w:rsidRPr="00000000">
        <w:rPr>
          <w:rFonts w:ascii="Times New Roman" w:cs="Times New Roman" w:eastAsia="Times New Roman" w:hAnsi="Times New Roman"/>
          <w:i w:val="1"/>
          <w:iCs w:val="1"/>
          <w:color w:val="202020"/>
          <w:rtl w:val="0"/>
        </w:rPr>
        <w:t xml:space="preserve">arima</w:t>
      </w:r>
      <w:r w:rsidDel="00000000" w:rsidR="00000000" w:rsidRPr="00000000">
        <w:rPr>
          <w:rFonts w:ascii="Gungsuh" w:cs="Gungsuh" w:eastAsia="Gungsuh" w:hAnsi="Gungsuh"/>
          <w:color w:val="202020"/>
          <w:rtl w:val="0"/>
        </w:rPr>
        <w:t xml:space="preserve"> function in the R package "forecast" was used to select orders and build the model [22]. First, the degree of differencing 0 ≤ </w:t>
      </w:r>
      <w:r w:rsidDel="00000000" w:rsidR="00000000" w:rsidRPr="00000000">
        <w:rPr>
          <w:rFonts w:ascii="Times New Roman" w:cs="Times New Roman" w:eastAsia="Times New Roman" w:hAnsi="Times New Roman"/>
          <w:i w:val="1"/>
          <w:iCs w:val="1"/>
          <w:color w:val="202020"/>
          <w:rtl w:val="0"/>
        </w:rPr>
        <w:t xml:space="preserve">d</w:t>
      </w:r>
      <w:r w:rsidDel="00000000" w:rsidR="00000000" w:rsidRPr="00000000">
        <w:rPr>
          <w:rFonts w:ascii="Gungsuh" w:cs="Gungsuh" w:eastAsia="Gungsuh" w:hAnsi="Gungsuh"/>
          <w:color w:val="202020"/>
          <w:rtl w:val="0"/>
        </w:rPr>
        <w:t xml:space="preserve"> ≤ 2 is selected based on successive KPSS unit-root tests [23], which test the data for a unit root; if the test result is significant, the differenced data is tested for a unit root; and this procedure is repeated until the first insignificant result is obtained. Then given d, the orders p and q are selected based on the </w:t>
      </w:r>
      <w:r w:rsidDel="00000000" w:rsidR="00000000" w:rsidRPr="00000000">
        <w:rPr>
          <w:rFonts w:ascii="Times New Roman" w:cs="Times New Roman" w:eastAsia="Times New Roman" w:hAnsi="Times New Roman"/>
          <w:i w:val="1"/>
          <w:iCs w:val="1"/>
          <w:color w:val="202020"/>
          <w:rtl w:val="0"/>
        </w:rPr>
        <w:t xml:space="preserve">AIC</w:t>
      </w:r>
      <w:r w:rsidDel="00000000" w:rsidR="00000000" w:rsidRPr="00000000">
        <w:rPr>
          <w:rFonts w:ascii="Times New Roman" w:cs="Times New Roman" w:eastAsia="Times New Roman" w:hAnsi="Times New Roman"/>
          <w:i w:val="1"/>
          <w:iCs w:val="1"/>
          <w:color w:val="202020"/>
          <w:sz w:val="19"/>
          <w:szCs w:val="19"/>
          <w:vertAlign w:val="subscript"/>
          <w:rtl w:val="0"/>
        </w:rPr>
        <w:t xml:space="preserve">c</w:t>
      </w:r>
      <w:r w:rsidDel="00000000" w:rsidR="00000000" w:rsidRPr="00000000">
        <w:rPr>
          <w:rFonts w:ascii="Times New Roman" w:cs="Times New Roman" w:eastAsia="Times New Roman" w:hAnsi="Times New Roman"/>
          <w:color w:val="202020"/>
          <w:rtl w:val="0"/>
        </w:rPr>
        <w:t xml:space="preserve"> for the d-times differenced data. For d = 0 or d = 1, a constant will be included if it improves the </w:t>
      </w:r>
      <w:r w:rsidDel="00000000" w:rsidR="00000000" w:rsidRPr="00000000">
        <w:rPr>
          <w:rFonts w:ascii="Times New Roman" w:cs="Times New Roman" w:eastAsia="Times New Roman" w:hAnsi="Times New Roman"/>
          <w:i w:val="1"/>
          <w:iCs w:val="1"/>
          <w:color w:val="202020"/>
          <w:rtl w:val="0"/>
        </w:rPr>
        <w:t xml:space="preserve">AIC</w:t>
      </w:r>
      <w:r w:rsidDel="00000000" w:rsidR="00000000" w:rsidRPr="00000000">
        <w:rPr>
          <w:rFonts w:ascii="Times New Roman" w:cs="Times New Roman" w:eastAsia="Times New Roman" w:hAnsi="Times New Roman"/>
          <w:i w:val="1"/>
          <w:iCs w:val="1"/>
          <w:color w:val="202020"/>
          <w:sz w:val="19"/>
          <w:szCs w:val="19"/>
          <w:vertAlign w:val="subscript"/>
          <w:rtl w:val="0"/>
        </w:rPr>
        <w:t xml:space="preserve">c</w:t>
      </w:r>
      <w:r w:rsidDel="00000000" w:rsidR="00000000" w:rsidRPr="00000000">
        <w:rPr>
          <w:rFonts w:ascii="Times New Roman" w:cs="Times New Roman" w:eastAsia="Times New Roman" w:hAnsi="Times New Roman"/>
          <w:color w:val="202020"/>
          <w:rtl w:val="0"/>
        </w:rPr>
        <w:t xml:space="preserve"> value; for d&gt;1, the constant </w:t>
      </w:r>
      <w:r w:rsidDel="00000000" w:rsidR="00000000" w:rsidRPr="00000000">
        <w:rPr>
          <w:rFonts w:ascii="Times New Roman" w:cs="Times New Roman" w:eastAsia="Times New Roman" w:hAnsi="Times New Roman"/>
          <w:i w:val="1"/>
          <w:iCs w:val="1"/>
          <w:color w:val="202020"/>
          <w:rtl w:val="0"/>
        </w:rPr>
        <w:t xml:space="preserve">μ</w:t>
      </w:r>
      <w:r w:rsidDel="00000000" w:rsidR="00000000" w:rsidRPr="00000000">
        <w:rPr>
          <w:rFonts w:ascii="Times New Roman" w:cs="Times New Roman" w:eastAsia="Times New Roman" w:hAnsi="Times New Roman"/>
          <w:color w:val="202020"/>
          <w:rtl w:val="0"/>
        </w:rPr>
        <w:t xml:space="preserve"> is fixed at 0 to avoid the model having a quadratic or higher order trend, which is dangerous when forecasting. The final model is fitted using the maximum likelihood estimation. </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Generalized Additive Models (GAM)</w:t>
      </w:r>
    </w:p>
    <w:p w:rsidR="00000000" w:rsidDel="00000000" w:rsidP="00000000" w:rsidRDefault="00000000" w:rsidRPr="00000000" w14:paraId="0000006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Generalized Additive Models (GAM) [24] are an extension of Generalized Linear Models (GLM) models by including a sum of unknown smooth functions of some covariates. Specific to our study with time as the only covariate, assuming that </w:t>
      </w:r>
      <w:r w:rsidDel="00000000" w:rsidR="00000000" w:rsidRPr="00000000">
        <w:rPr>
          <w:rFonts w:ascii="Cambria Math" w:cs="Cambria Math" w:eastAsia="Cambria Math" w:hAnsi="Cambria Math"/>
          <w:rtl w:val="0"/>
        </w:rPr>
        <w:t xml:space="preserve">𝑦𝑡</w:t>
      </w:r>
      <w:r w:rsidDel="00000000" w:rsidR="00000000" w:rsidRPr="00000000">
        <w:rPr>
          <w:rFonts w:ascii="Times New Roman" w:cs="Times New Roman" w:eastAsia="Times New Roman" w:hAnsi="Times New Roman"/>
          <w:rtl w:val="0"/>
        </w:rPr>
        <w:t xml:space="preserve">yt </w:t>
      </w:r>
      <w:r w:rsidDel="00000000" w:rsidR="00000000" w:rsidRPr="00000000">
        <w:rPr>
          <w:rFonts w:ascii="Times New Roman" w:cs="Times New Roman" w:eastAsia="Times New Roman" w:hAnsi="Times New Roman"/>
          <w:color w:val="202020"/>
          <w:rtl w:val="0"/>
        </w:rPr>
        <w:t xml:space="preserve">has normal distribution, </w:t>
      </w:r>
      <w:r w:rsidDel="00000000" w:rsidR="00000000" w:rsidRPr="00000000">
        <w:rPr>
          <w:rFonts w:ascii="Times New Roman" w:cs="Times New Roman" w:eastAsia="Times New Roman" w:hAnsi="Times New Roman"/>
          <w:rtl w:val="0"/>
        </w:rPr>
        <w:t xml:space="preserve">the GAM is given as [25]: </w:t>
      </w:r>
    </w:p>
    <w:p w:rsidR="00000000" w:rsidDel="00000000" w:rsidP="00000000" w:rsidRDefault="00000000" w:rsidRPr="00000000" w14:paraId="00000067">
      <w:pPr>
        <w:jc w:val="center"/>
        <w:rPr>
          <w:rFonts w:ascii="Cambria Math" w:cs="Cambria Math" w:eastAsia="Cambria Math" w:hAnsi="Cambria Math"/>
        </w:rPr>
      </w:pPr>
      <m:oMath>
        <m:sSub>
          <m:sSubPr>
            <m:ctrlPr>
              <w:rPr>
                <w:rFonts w:ascii="Cambria Math" w:cs="Cambria Math" w:eastAsia="Cambria Math" w:hAnsi="Cambria Math"/>
                <w:color w:val="202020"/>
              </w:rPr>
            </m:ctrlPr>
          </m:sSubPr>
          <m:e>
            <m:r>
              <w:rPr>
                <w:rFonts w:ascii="Cambria Math" w:cs="Cambria Math" w:eastAsia="Cambria Math" w:hAnsi="Cambria Math"/>
                <w:color w:val="202020"/>
              </w:rPr>
              <m:t xml:space="preserve">y</m:t>
            </m:r>
          </m:e>
          <m:sub>
            <m:r>
              <w:rPr>
                <w:rFonts w:ascii="Cambria Math" w:cs="Cambria Math" w:eastAsia="Cambria Math" w:hAnsi="Cambria Math"/>
                <w:color w:val="202020"/>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+s</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color w:val="202020"/>
              </w:rPr>
            </m:ctrlPr>
          </m:sSubPr>
          <m:e>
            <m:r>
              <w:rPr>
                <w:rFonts w:ascii="Cambria Math" w:cs="Cambria Math" w:eastAsia="Cambria Math" w:hAnsi="Cambria Math"/>
              </w:rPr>
              <m:t>ϵ</m:t>
            </m:r>
          </m:e>
          <m:sub>
            <m:r>
              <w:rPr>
                <w:rFonts w:ascii="Cambria Math" w:cs="Cambria Math" w:eastAsia="Cambria Math" w:hAnsi="Cambria Math"/>
                <w:color w:val="202020"/>
              </w:rPr>
              <m:t xml:space="preserve">t</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 ()</w:t>
      </w:r>
      <w:r w:rsidDel="00000000" w:rsidR="00000000" w:rsidRPr="00000000">
        <w:rPr>
          <w:rFonts w:ascii="Times New Roman" w:cs="Times New Roman" w:eastAsia="Times New Roman" w:hAnsi="Times New Roman"/>
          <w:vertAlign w:val="subscript"/>
          <w:rtl w:val="0"/>
        </w:rPr>
        <w:t xml:space="preserve"> </w:t>
      </w:r>
      <w:r w:rsidDel="00000000" w:rsidR="00000000" w:rsidRPr="00000000">
        <w:rPr>
          <w:rFonts w:ascii="Times New Roman" w:cs="Times New Roman" w:eastAsia="Times New Roman" w:hAnsi="Times New Roman"/>
          <w:rtl w:val="0"/>
        </w:rPr>
        <w:t xml:space="preserve"> is an unknown smooth function of time, and </w:t>
      </w:r>
      <w:r w:rsidDel="00000000" w:rsidR="00000000" w:rsidRPr="00000000">
        <w:rPr>
          <w:rFonts w:ascii="Cambria Math" w:cs="Cambria Math" w:eastAsia="Cambria Math" w:hAnsi="Cambria Math"/>
          <w:rtl w:val="0"/>
        </w:rPr>
        <w:t xml:space="preserve">𝜖𝑡</w:t>
      </w:r>
      <w:r w:rsidDel="00000000" w:rsidR="00000000" w:rsidRPr="00000000">
        <w:rPr>
          <w:rFonts w:ascii="Times New Roman" w:cs="Times New Roman" w:eastAsia="Times New Roman" w:hAnsi="Times New Roman"/>
          <w:rtl w:val="0"/>
        </w:rPr>
        <w:t xml:space="preserve">~</w:t>
      </w:r>
      <w:r w:rsidDel="00000000" w:rsidR="00000000" w:rsidRPr="00000000">
        <w:rPr>
          <w:rFonts w:ascii="Cambria Math" w:cs="Cambria Math" w:eastAsia="Cambria Math" w:hAnsi="Cambria Math"/>
          <w:rtl w:val="0"/>
        </w:rPr>
        <w:t xml:space="preserve">𝑁</w:t>
      </w:r>
      <w:r w:rsidDel="00000000" w:rsidR="00000000" w:rsidRPr="00000000">
        <w:rPr>
          <w:rFonts w:ascii="Times New Roman" w:cs="Times New Roman" w:eastAsia="Times New Roman" w:hAnsi="Times New Roman"/>
          <w:rtl w:val="0"/>
        </w:rPr>
        <w:t xml:space="preserve">(0, </w:t>
      </w:r>
      <w:r w:rsidDel="00000000" w:rsidR="00000000" w:rsidRPr="00000000">
        <w:rPr>
          <w:rFonts w:ascii="Cambria Math" w:cs="Cambria Math" w:eastAsia="Cambria Math" w:hAnsi="Cambria Math"/>
          <w:rtl w:val="0"/>
        </w:rPr>
        <w:t xml:space="preserve">𝜎</w:t>
      </w:r>
      <w:r w:rsidDel="00000000" w:rsidR="00000000" w:rsidRPr="00000000">
        <w:rPr>
          <w:rFonts w:ascii="Times New Roman" w:cs="Times New Roman" w:eastAsia="Times New Roman" w:hAnsi="Times New Roman"/>
          <w:rtl w:val="0"/>
        </w:rPr>
        <w:t xml:space="preserve">2)</w:t>
      </w:r>
      <w:r w:rsidDel="00000000" w:rsidR="00000000" w:rsidRPr="00000000">
        <w:rPr>
          <w:rFonts w:ascii="Cambria Math" w:cs="Cambria Math" w:eastAsia="Cambria Math" w:hAnsi="Cambria Math"/>
          <w:rtl w:val="0"/>
        </w:rPr>
        <w:t xml:space="preserve">𝜖</w:t>
      </w:r>
      <w:r w:rsidDel="00000000" w:rsidR="00000000" w:rsidRPr="00000000">
        <w:rPr>
          <w:rFonts w:ascii="Times New Roman" w:cs="Times New Roman" w:eastAsia="Times New Roman" w:hAnsi="Times New Roman"/>
          <w:rtl w:val="0"/>
        </w:rPr>
        <w:t xml:space="preserve">t~N(0, </w:t>
      </w:r>
      <w:r w:rsidDel="00000000" w:rsidR="00000000" w:rsidRPr="00000000">
        <w:rPr>
          <w:rFonts w:ascii="Cambria Math" w:cs="Cambria Math" w:eastAsia="Cambria Math" w:hAnsi="Cambria Math"/>
          <w:rtl w:val="0"/>
        </w:rPr>
        <w:t xml:space="preserve">𝜎</w:t>
      </w:r>
      <w:r w:rsidDel="00000000" w:rsidR="00000000" w:rsidRPr="00000000">
        <w:rPr>
          <w:rFonts w:ascii="Times New Roman" w:cs="Times New Roman" w:eastAsia="Times New Roman" w:hAnsi="Times New Roman"/>
          <w:rtl w:val="0"/>
        </w:rPr>
        <w:t xml:space="preserve">2). We used the </w:t>
      </w:r>
      <w:r w:rsidDel="00000000" w:rsidR="00000000" w:rsidRPr="00000000">
        <w:rPr>
          <w:rFonts w:ascii="Times New Roman" w:cs="Times New Roman" w:eastAsia="Times New Roman" w:hAnsi="Times New Roman"/>
          <w:i w:val="1"/>
          <w:iCs w:val="1"/>
          <w:rtl w:val="0"/>
        </w:rPr>
        <w:t xml:space="preserve">gam </w:t>
      </w:r>
      <w:r w:rsidDel="00000000" w:rsidR="00000000" w:rsidRPr="00000000">
        <w:rPr>
          <w:rFonts w:ascii="Times New Roman" w:cs="Times New Roman" w:eastAsia="Times New Roman" w:hAnsi="Times New Roman"/>
          <w:rtl w:val="0"/>
        </w:rPr>
        <w:t xml:space="preserve">function in the “mgcv” package to fit this model, where the smooth function s () is represented using penalized regression splines. Specifically, </w:t>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center"/>
        <w:rPr>
          <w:rFonts w:ascii="Cambria Math" w:cs="Cambria Math" w:eastAsia="Cambria Math" w:hAnsi="Cambria Math"/>
        </w:rPr>
      </w:pPr>
      <m:oMath>
        <m:r>
          <w:rPr>
            <w:rFonts w:ascii="Cambria Math" w:cs="Cambria Math" w:eastAsia="Cambria Math" w:hAnsi="Cambria Math"/>
          </w:rPr>
          <m:t xml:space="preserve">s</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k</m:t>
            </m:r>
          </m:sub>
          <m:sup>
            <m:r>
              <w:rPr>
                <w:rFonts w:ascii="Cambria Math" w:cs="Cambria Math" w:eastAsia="Cambria Math" w:hAnsi="Cambria Math"/>
              </w:rPr>
              <m:t xml:space="preserve">K</m:t>
            </m:r>
          </m:sup>
        </m:nary>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k</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k</m:t>
            </m:r>
          </m:sub>
        </m:sSub>
        <m:r>
          <w:rPr>
            <w:rFonts w:ascii="Cambria Math" w:cs="Cambria Math" w:eastAsia="Cambria Math" w:hAnsi="Cambria Math"/>
          </w:rPr>
          <m:t xml:space="preserve">(t),</m:t>
        </m:r>
      </m:oMath>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Cambria Math" w:cs="Cambria Math" w:eastAsia="Cambria Math" w:hAnsi="Cambria Math"/>
          <w:sz w:val="23"/>
          <w:szCs w:val="23"/>
          <w:rtl w:val="0"/>
        </w:rPr>
        <w:t xml:space="preserve">𝑏</w:t>
      </w:r>
      <w:r w:rsidDel="00000000" w:rsidR="00000000" w:rsidRPr="00000000">
        <w:rPr>
          <w:rFonts w:ascii="Cambria Math" w:cs="Cambria Math" w:eastAsia="Cambria Math" w:hAnsi="Cambria Math"/>
          <w:sz w:val="16"/>
          <w:szCs w:val="16"/>
          <w:rtl w:val="0"/>
        </w:rPr>
        <w:t xml:space="preserve">𝑘</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22"/>
          <w:szCs w:val="22"/>
          <w:rtl w:val="0"/>
        </w:rPr>
        <w:t xml:space="preserve">bk(.)</w:t>
      </w:r>
      <w:r w:rsidDel="00000000" w:rsidR="00000000" w:rsidRPr="00000000">
        <w:rPr>
          <w:rFonts w:ascii="Times New Roman" w:cs="Times New Roman" w:eastAsia="Times New Roman" w:hAnsi="Times New Roman"/>
          <w:rtl w:val="0"/>
        </w:rPr>
        <w:t xml:space="preserve">} represent the B-spline basis functions,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k</m:t>
            </m:r>
          </m:sub>
        </m:sSub>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are the expansion coefficients to be estimated, and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is the number of basis functions</w:t>
      </w:r>
      <w:r w:rsidDel="00000000" w:rsidR="00000000" w:rsidRPr="00000000">
        <w:rPr>
          <w:rFonts w:ascii="Times New Roman" w:cs="Times New Roman" w:eastAsia="Times New Roman" w:hAnsi="Times New Roman"/>
          <w:i w:val="1"/>
          <w:iCs w:val="1"/>
          <w:rtl w:val="0"/>
        </w:rPr>
        <w:t xml:space="preserve"> [26]. </w:t>
      </w:r>
      <w:r w:rsidDel="00000000" w:rsidR="00000000" w:rsidRPr="00000000">
        <w:rPr>
          <w:rFonts w:ascii="Times New Roman" w:cs="Times New Roman" w:eastAsia="Times New Roman" w:hAnsi="Times New Roman"/>
          <w:rtl w:val="0"/>
        </w:rPr>
        <w:t xml:space="preserve"> Here, the number of basis functions varied depending on the length of calibration data available for a given forecasting period. A discrete penalty was imposed on the basis coefficients to control the degree of smoothness and the model was fitted by solving a penalized least square problem. The smoothness tuning parameter was selected by the GCV criterion. </w:t>
      </w:r>
      <w:r w:rsidDel="00000000" w:rsidR="00000000" w:rsidRPr="00000000">
        <w:rPr>
          <w:rFonts w:ascii="Times New Roman" w:cs="Times New Roman" w:eastAsia="Times New Roman" w:hAnsi="Times New Roman"/>
          <w:color w:val="0e101a"/>
          <w:rtl w:val="0"/>
        </w:rPr>
        <w:t xml:space="preserve">A more detailed description of the model fitting methodology can be found in ref [27].  The associated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predict</w:t>
      </w:r>
      <w:r w:rsidDel="00000000" w:rsidR="00000000" w:rsidRPr="00000000">
        <w:rPr>
          <w:rFonts w:ascii="Times New Roman" w:cs="Times New Roman" w:eastAsia="Times New Roman" w:hAnsi="Times New Roman"/>
          <w:rtl w:val="0"/>
        </w:rPr>
        <w:t xml:space="preserve"> function was used for forecasting.  </w:t>
      </w: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Performance metrics</w:t>
      </w:r>
    </w:p>
    <w:p w:rsidR="00000000" w:rsidDel="00000000" w:rsidP="00000000" w:rsidRDefault="00000000" w:rsidRPr="00000000" w14:paraId="0000006E">
      <w:pPr>
        <w:spacing w:line="48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To assess performance, we used the mean absolute error (MAE), the mean squared error (MSE), the coverage of the 95% prediction interval (95% PI), and the weighted interval score (WIS). A more detailed description of the performance metrics strategy can be found in ref [21]. MAE and MSE were used in assessing deviations of the mean model fit to the observed case data {Gneiting, 2007 #28; Kuhn, 2013 #29. See below: </w:t>
      </w:r>
    </w:p>
    <w:p w:rsidR="00000000" w:rsidDel="00000000" w:rsidP="00000000" w:rsidRDefault="00000000" w:rsidRPr="00000000" w14:paraId="0000006F">
      <w:pPr>
        <w:jc w:val="center"/>
        <w:rPr>
          <w:rFonts w:ascii="Cambria Math" w:cs="Cambria Math" w:eastAsia="Cambria Math" w:hAnsi="Cambria Math"/>
          <w:b w:val="0"/>
          <w:bCs w:val="0"/>
          <w:i w:val="0"/>
          <w:iCs w:val="0"/>
          <w:smallCaps w:val="0"/>
          <w:strike w:val="0"/>
          <w:color w:val="0e101a"/>
          <w:sz w:val="24"/>
          <w:szCs w:val="24"/>
          <w:u w:val="none"/>
          <w:shd w:fill="auto" w:val="clear"/>
          <w:vertAlign w:val="baseline"/>
        </w:rPr>
      </w:pP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MAE=</m:t>
        </m:r>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N</m:t>
            </m:r>
          </m:den>
        </m:f>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N</m:t>
            </m:r>
          </m:sup>
        </m:nary>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|f(</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Θ</m:t>
            </m:r>
          </m:e>
        </m:acc>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t>
                </m:r>
              </m:e>
            </m:acc>
          </m:e>
          <m: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h</m:t>
                </m:r>
              </m:sub>
            </m:sSub>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70">
      <w:pPr>
        <w:jc w:val="center"/>
        <w:rPr>
          <w:rFonts w:ascii="Cambria Math" w:cs="Cambria Math" w:eastAsia="Cambria Math" w:hAnsi="Cambria Math"/>
          <w:color w:val="0e101a"/>
        </w:rPr>
      </w:pPr>
      <m:oMath>
        <m:r>
          <w:rPr>
            <w:rFonts w:ascii="Cambria Math" w:cs="Cambria Math" w:eastAsia="Cambria Math" w:hAnsi="Cambria Math"/>
            <w:color w:val="0e101a"/>
          </w:rPr>
          <m:t xml:space="preserve">MSE=</m:t>
        </m:r>
        <m:f>
          <m:fPr>
            <m:ctrlPr>
              <w:rPr>
                <w:rFonts w:ascii="Cambria Math" w:cs="Cambria Math" w:eastAsia="Cambria Math" w:hAnsi="Cambria Math"/>
                <w:color w:val="0e101a"/>
              </w:rPr>
            </m:ctrlPr>
          </m:fPr>
          <m:num>
            <m:r>
              <w:rPr>
                <w:rFonts w:ascii="Cambria Math" w:cs="Cambria Math" w:eastAsia="Cambria Math" w:hAnsi="Cambria Math"/>
                <w:color w:val="0e101a"/>
              </w:rPr>
              <m:t xml:space="preserve">1</m:t>
            </m:r>
          </m:num>
          <m:den>
            <m:r>
              <w:rPr>
                <w:rFonts w:ascii="Cambria Math" w:cs="Cambria Math" w:eastAsia="Cambria Math" w:hAnsi="Cambria Math"/>
                <w:color w:val="0e101a"/>
              </w:rPr>
              <m:t xml:space="preserve">N</m:t>
            </m:r>
          </m:den>
        </m:f>
        <m:sSup>
          <m:sSupPr>
            <m:ctrlPr>
              <w:rPr>
                <w:rFonts w:ascii="Cambria Math" w:cs="Cambria Math" w:eastAsia="Cambria Math" w:hAnsi="Cambria Math"/>
                <w:color w:val="0e101a"/>
              </w:rPr>
            </m:ctrlPr>
          </m:sSupPr>
          <m:e>
            <m:nary>
              <m:naryPr>
                <m:chr m:val="∑"/>
                <m:ctrlPr>
                  <w:rPr>
                    <w:rFonts w:ascii="Cambria Math" w:cs="Cambria Math" w:eastAsia="Cambria Math" w:hAnsi="Cambria Math"/>
                    <w:color w:val="0e101a"/>
                  </w:rPr>
                </m:ctrlPr>
              </m:naryPr>
              <m:sub>
                <m:r>
                  <w:rPr>
                    <w:rFonts w:ascii="Cambria Math" w:cs="Cambria Math" w:eastAsia="Cambria Math" w:hAnsi="Cambria Math"/>
                    <w:color w:val="0e101a"/>
                  </w:rPr>
                  <m:t xml:space="preserve">h=1</m:t>
                </m:r>
              </m:sub>
              <m:sup>
                <m:r>
                  <w:rPr>
                    <w:rFonts w:ascii="Cambria Math" w:cs="Cambria Math" w:eastAsia="Cambria Math" w:hAnsi="Cambria Math"/>
                    <w:color w:val="0e101a"/>
                  </w:rPr>
                  <m:t xml:space="preserve">N</m:t>
                </m:r>
              </m:sup>
            </m:nary>
            <m:r>
              <w:rPr>
                <w:rFonts w:ascii="Cambria Math" w:cs="Cambria Math" w:eastAsia="Cambria Math" w:hAnsi="Cambria Math"/>
                <w:color w:val="0e101a"/>
              </w:rPr>
              <m:t xml:space="preserve">(f(</m:t>
            </m:r>
            <m:sSub>
              <m:sSubPr>
                <m:ctrlPr>
                  <w:rPr>
                    <w:rFonts w:ascii="Cambria Math" w:cs="Cambria Math" w:eastAsia="Cambria Math" w:hAnsi="Cambria Math"/>
                    <w:color w:val="0e101a"/>
                  </w:rPr>
                </m:ctrlPr>
              </m:sSubPr>
              <m:e>
                <m:r>
                  <w:rPr>
                    <w:rFonts w:ascii="Cambria Math" w:cs="Cambria Math" w:eastAsia="Cambria Math" w:hAnsi="Cambria Math"/>
                    <w:color w:val="0e101a"/>
                  </w:rPr>
                  <m:t xml:space="preserve">t</m:t>
                </m:r>
              </m:e>
              <m:sub>
                <m:r>
                  <w:rPr>
                    <w:rFonts w:ascii="Cambria Math" w:cs="Cambria Math" w:eastAsia="Cambria Math" w:hAnsi="Cambria Math"/>
                    <w:color w:val="0e101a"/>
                  </w:rPr>
                  <m:t xml:space="preserve">h</m:t>
                </m:r>
              </m:sub>
            </m:sSub>
            <m:r>
              <w:rPr>
                <w:rFonts w:ascii="Cambria Math" w:cs="Cambria Math" w:eastAsia="Cambria Math" w:hAnsi="Cambria Math"/>
                <w:color w:val="0e101a"/>
              </w:rPr>
              <m:t xml:space="preserve">,</m:t>
            </m:r>
            <m:acc>
              <m:accPr>
                <m:chr m:val="̂"/>
                <m:ctrlPr>
                  <w:rPr>
                    <w:rFonts w:ascii="Cambria Math" w:cs="Cambria Math" w:eastAsia="Cambria Math" w:hAnsi="Cambria Math"/>
                    <w:color w:val="0e101a"/>
                  </w:rPr>
                </m:ctrlPr>
              </m:accPr>
              <m:e>
                <m:r>
                  <w:rPr>
                    <w:rFonts w:ascii="Cambria Math" w:cs="Cambria Math" w:eastAsia="Cambria Math" w:hAnsi="Cambria Math"/>
                    <w:color w:val="0e101a"/>
                  </w:rPr>
                  <m:t>Θ</m:t>
                </m:r>
              </m:e>
            </m:acc>
            <m:r>
              <w:rPr>
                <w:rFonts w:ascii="Cambria Math" w:cs="Cambria Math" w:eastAsia="Cambria Math" w:hAnsi="Cambria Math"/>
                <w:color w:val="0e101a"/>
              </w:rPr>
              <m:t xml:space="preserve">)-</m:t>
            </m:r>
            <m:sSub>
              <m:sSubPr>
                <m:ctrlPr>
                  <w:rPr>
                    <w:rFonts w:ascii="Cambria Math" w:cs="Cambria Math" w:eastAsia="Cambria Math" w:hAnsi="Cambria Math"/>
                    <w:color w:val="0e101a"/>
                  </w:rPr>
                </m:ctrlPr>
              </m:sSubPr>
              <m:e>
                <m:acc>
                  <m:accPr>
                    <m:chr m:val="̃"/>
                    <m:ctrlPr>
                      <w:rPr>
                        <w:rFonts w:ascii="Cambria Math" w:cs="Cambria Math" w:eastAsia="Cambria Math" w:hAnsi="Cambria Math"/>
                        <w:color w:val="0e101a"/>
                      </w:rPr>
                    </m:ctrlPr>
                  </m:accPr>
                  <m:e>
                    <m:r>
                      <w:rPr>
                        <w:rFonts w:ascii="Cambria Math" w:cs="Cambria Math" w:eastAsia="Cambria Math" w:hAnsi="Cambria Math"/>
                        <w:color w:val="0e101a"/>
                      </w:rPr>
                      <m:t xml:space="preserve">y</m:t>
                    </m:r>
                  </m:e>
                </m:acc>
              </m:e>
              <m:sub>
                <m:sSub>
                  <m:sSubPr>
                    <m:ctrlPr>
                      <w:rPr>
                        <w:rFonts w:ascii="Cambria Math" w:cs="Cambria Math" w:eastAsia="Cambria Math" w:hAnsi="Cambria Math"/>
                        <w:color w:val="0e101a"/>
                      </w:rPr>
                    </m:ctrlPr>
                  </m:sSubPr>
                  <m:e>
                    <m:r>
                      <w:rPr>
                        <w:rFonts w:ascii="Cambria Math" w:cs="Cambria Math" w:eastAsia="Cambria Math" w:hAnsi="Cambria Math"/>
                        <w:color w:val="0e101a"/>
                      </w:rPr>
                      <m:t xml:space="preserve">t</m:t>
                    </m:r>
                  </m:e>
                  <m:sub>
                    <m:r>
                      <w:rPr>
                        <w:rFonts w:ascii="Cambria Math" w:cs="Cambria Math" w:eastAsia="Cambria Math" w:hAnsi="Cambria Math"/>
                        <w:color w:val="0e101a"/>
                      </w:rPr>
                      <m:t xml:space="preserve">h</m:t>
                    </m:r>
                  </m:sub>
                </m:sSub>
              </m:sub>
            </m:sSub>
            <m:r>
              <w:rPr>
                <w:rFonts w:ascii="Cambria Math" w:cs="Cambria Math" w:eastAsia="Cambria Math" w:hAnsi="Cambria Math"/>
                <w:color w:val="0e101a"/>
              </w:rPr>
              <m:t xml:space="preserve">)</m:t>
            </m:r>
          </m:e>
          <m:sup>
            <m:r>
              <w:rPr>
                <w:rFonts w:ascii="Cambria Math" w:cs="Cambria Math" w:eastAsia="Cambria Math" w:hAnsi="Cambria Math"/>
                <w:color w:val="0e101a"/>
              </w:rPr>
              <m:t xml:space="preserve">2</m:t>
            </m:r>
          </m:sup>
        </m:sSup>
      </m:oMath>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e101a"/>
          <w:rtl w:val="0"/>
        </w:rPr>
        <w:t xml:space="preserve">  </w:t>
      </w:r>
      <m:oMath>
        <m:sSub>
          <m:e>
            <m:acc>
              <m:accPr>
                <m:chr m:val="̃"/>
                <m:ctrlPr>
                  <w:rPr>
                    <w:rFonts w:ascii="Cambria Math" w:cs="Cambria Math" w:eastAsia="Cambria Math" w:hAnsi="Cambria Math"/>
                    <w:color w:val="0e101a"/>
                  </w:rPr>
                </m:ctrlPr>
              </m:accPr>
              <m:e>
                <m:r>
                  <w:rPr>
                    <w:rFonts w:ascii="Cambria Math" w:cs="Cambria Math" w:eastAsia="Cambria Math" w:hAnsi="Cambria Math"/>
                    <w:color w:val="0e101a"/>
                  </w:rPr>
                  <m:t xml:space="preserve">y</m:t>
                </m:r>
              </m:e>
            </m:acc>
          </m:e>
          <m:sub>
            <m:sSub>
              <m:sSubPr>
                <m:ctrlPr>
                  <w:rPr>
                    <w:rFonts w:ascii="Cambria Math" w:cs="Cambria Math" w:eastAsia="Cambria Math" w:hAnsi="Cambria Math"/>
                    <w:color w:val="0e101a"/>
                  </w:rPr>
                </m:ctrlPr>
              </m:sSubPr>
              <m:e>
                <m:r>
                  <w:rPr>
                    <w:rFonts w:ascii="Cambria Math" w:cs="Cambria Math" w:eastAsia="Cambria Math" w:hAnsi="Cambria Math"/>
                    <w:color w:val="0e101a"/>
                  </w:rPr>
                  <m:t xml:space="preserve">t</m:t>
                </m:r>
              </m:e>
              <m:sub>
                <m:r>
                  <w:rPr>
                    <w:rFonts w:ascii="Cambria Math" w:cs="Cambria Math" w:eastAsia="Cambria Math" w:hAnsi="Cambria Math"/>
                    <w:color w:val="0e101a"/>
                  </w:rPr>
                  <m:t xml:space="preserve">h</m:t>
                </m:r>
              </m:sub>
            </m:sSub>
          </m:sub>
        </m:sSub>
      </m:oMath>
      <w:r w:rsidDel="00000000" w:rsidR="00000000" w:rsidRPr="00000000">
        <w:rPr>
          <w:rFonts w:ascii="Times New Roman" w:cs="Times New Roman" w:eastAsia="Times New Roman" w:hAnsi="Times New Roman"/>
          <w:color w:val="0e101a"/>
          <w:rtl w:val="0"/>
        </w:rPr>
        <w:t xml:space="preserve">represents the untransformed death counts across France of the </w:t>
      </w:r>
      <w:r w:rsidDel="00000000" w:rsidR="00000000" w:rsidRPr="00000000">
        <w:rPr>
          <w:rFonts w:ascii="Times New Roman" w:cs="Times New Roman" w:eastAsia="Times New Roman" w:hAnsi="Times New Roman"/>
          <w:i w:val="1"/>
          <w:iCs w:val="1"/>
          <w:color w:val="0e101a"/>
          <w:rtl w:val="0"/>
        </w:rPr>
        <w:t xml:space="preserve">h</w:t>
      </w:r>
      <w:r w:rsidDel="00000000" w:rsidR="00000000" w:rsidRPr="00000000">
        <w:rPr>
          <w:rFonts w:ascii="Times New Roman" w:cs="Times New Roman" w:eastAsia="Times New Roman" w:hAnsi="Times New Roman"/>
          <w:color w:val="0e101a"/>
          <w:rtl w:val="0"/>
        </w:rPr>
        <w:t xml:space="preserve">-time units ahead forecasts, and </w:t>
      </w:r>
      <w:r w:rsidDel="00000000" w:rsidR="00000000" w:rsidRPr="00000000">
        <w:rPr>
          <w:rFonts w:ascii="Cambria Math" w:cs="Cambria Math" w:eastAsia="Cambria Math" w:hAnsi="Cambria Math"/>
          <w:rtl w:val="0"/>
        </w:rPr>
        <w:t xml:space="preserve">𝑡</w:t>
      </w:r>
      <w:r w:rsidDel="00000000" w:rsidR="00000000" w:rsidRPr="00000000">
        <w:rPr>
          <w:rFonts w:ascii="Times New Roman" w:cs="Times New Roman" w:eastAsia="Times New Roman" w:hAnsi="Times New Roman"/>
          <w:rtl w:val="0"/>
        </w:rPr>
        <w:t xml:space="preserve">ℎ</w:t>
      </w:r>
      <w:r w:rsidDel="00000000" w:rsidR="00000000" w:rsidRPr="00000000">
        <w:rPr>
          <w:rFonts w:ascii="Times New Roman" w:cs="Times New Roman" w:eastAsia="Times New Roman" w:hAnsi="Times New Roman"/>
          <w:color w:val="0e101a"/>
          <w:rtl w:val="0"/>
        </w:rPr>
        <w:t xml:space="preserve"> are the times for the sample data {Gneiting, 2007 #28; Kuhn, 2013 #29}.  </w:t>
      </w:r>
      <w:r w:rsidDel="00000000" w:rsidR="00000000" w:rsidRPr="00000000">
        <w:rPr>
          <w:rtl w:val="0"/>
        </w:rPr>
      </w:r>
    </w:p>
    <w:p w:rsidR="00000000" w:rsidDel="00000000" w:rsidP="00000000" w:rsidRDefault="00000000" w:rsidRPr="00000000" w14:paraId="00000072">
      <w:pPr>
        <w:spacing w:line="480" w:lineRule="auto"/>
        <w:ind w:firstLine="720"/>
        <w:rPr>
          <w:rFonts w:ascii="Times New Roman" w:cs="Times New Roman" w:eastAsia="Times New Roman" w:hAnsi="Times New Roman"/>
          <w:color w:val="0e101a"/>
        </w:rPr>
      </w:pPr>
      <w:r w:rsidDel="00000000" w:rsidR="00000000" w:rsidRPr="00000000">
        <w:rPr>
          <w:rFonts w:ascii="Gungsuh" w:cs="Gungsuh" w:eastAsia="Gungsuh" w:hAnsi="Gungsuh"/>
          <w:color w:val="0e101a"/>
          <w:rtl w:val="0"/>
        </w:rPr>
        <w:t xml:space="preserve">Model uncertainty was assessed via the 95% prediction interval coverage and WIS. Here, the 95% PI represents the proportion of observed cases that fall within the 95% prediction interval. Through the combination of a set of interval scores (IS) from probabilistic forecasts, the WIS proves quantiles of the predictive forecast distribution. Only a central (1−α) ×100% PI is needed to calculate an IS [28]. See below: </w:t>
      </w:r>
    </w:p>
    <w:p w:rsidR="00000000" w:rsidDel="00000000" w:rsidP="00000000" w:rsidRDefault="00000000" w:rsidRPr="00000000" w14:paraId="00000073">
      <w:pPr>
        <w:jc w:val="center"/>
        <w:rPr>
          <w:rFonts w:ascii="Cambria Math" w:cs="Cambria Math" w:eastAsia="Cambria Math" w:hAnsi="Cambria Math"/>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IS</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α</m:t>
            </m:r>
          </m:sub>
        </m:sSub>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F,y</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i-l</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2</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α</m:t>
            </m:r>
          </m:den>
        </m:f>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l-y</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y&lt;l</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2</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α</m:t>
            </m:r>
          </m:den>
        </m:f>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y-u</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y&gt;u</m:t>
            </m:r>
          </m:e>
        </m:d>
      </m:oMath>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indicator function, represented above by </w:t>
      </w: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refers to the fact that </w:t>
      </w:r>
      <w:r w:rsidDel="00000000" w:rsidR="00000000" w:rsidRPr="00000000">
        <w:rPr>
          <w:rFonts w:ascii="Times New Roman" w:cs="Times New Roman" w:eastAsia="Times New Roman" w:hAnsi="Times New Roman"/>
          <w:b w:val="1"/>
          <w:bCs w:val="1"/>
          <w:i w:val="0"/>
          <w:iCs w:val="0"/>
          <w:smallCaps w:val="0"/>
          <w:strike w:val="0"/>
          <w:color w:val="0e101a"/>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&lt;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 1 if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&lt;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0 otherwise. The </w:t>
      </w:r>
      <m:oMath>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m:t>α</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2</m:t>
            </m:r>
          </m:den>
        </m:f>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e101a"/>
                <w:sz w:val="24"/>
                <w:szCs w:val="24"/>
                <w:u w:val="none"/>
                <w:shd w:fill="auto" w:val="clear"/>
                <w:vertAlign w:val="baseline"/>
              </w:rPr>
              <m:t>α</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2</m:t>
            </m:r>
          </m:den>
        </m:f>
      </m:oMath>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quantiles of the forecast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F are represented by l and u</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IS consists of three distinct quantities:</w:t>
      </w:r>
    </w:p>
    <w:p w:rsidR="00000000" w:rsidDel="00000000" w:rsidP="00000000" w:rsidRDefault="00000000" w:rsidRPr="00000000" w14:paraId="00000076">
      <w:pPr>
        <w:spacing w:line="480" w:lineRule="auto"/>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77">
      <w:pPr>
        <w:numPr>
          <w:ilvl w:val="0"/>
          <w:numId w:val="1"/>
        </w:numPr>
        <w:spacing w:line="480" w:lineRule="auto"/>
        <w:ind w:left="72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sharpness of </w:t>
      </w:r>
      <w:r w:rsidDel="00000000" w:rsidR="00000000" w:rsidRPr="00000000">
        <w:rPr>
          <w:rFonts w:ascii="Times New Roman" w:cs="Times New Roman" w:eastAsia="Times New Roman" w:hAnsi="Times New Roman"/>
          <w:i w:val="1"/>
          <w:iCs w:val="1"/>
          <w:color w:val="0e101a"/>
          <w:rtl w:val="0"/>
        </w:rPr>
        <w:t xml:space="preserve">F</w:t>
      </w:r>
      <w:r w:rsidDel="00000000" w:rsidR="00000000" w:rsidRPr="00000000">
        <w:rPr>
          <w:rFonts w:ascii="Times New Roman" w:cs="Times New Roman" w:eastAsia="Times New Roman" w:hAnsi="Times New Roman"/>
          <w:color w:val="0e101a"/>
          <w:rtl w:val="0"/>
        </w:rPr>
        <w:t xml:space="preserve">, given by the width </w:t>
      </w:r>
      <w:r w:rsidDel="00000000" w:rsidR="00000000" w:rsidRPr="00000000">
        <w:rPr>
          <w:rFonts w:ascii="Times New Roman" w:cs="Times New Roman" w:eastAsia="Times New Roman" w:hAnsi="Times New Roman"/>
          <w:i w:val="1"/>
          <w:iCs w:val="1"/>
          <w:color w:val="0e101a"/>
          <w:rtl w:val="0"/>
        </w:rPr>
        <w:t xml:space="preserve">u</w:t>
      </w:r>
      <w:r w:rsidDel="00000000" w:rsidR="00000000" w:rsidRPr="00000000">
        <w:rPr>
          <w:rFonts w:ascii="Gungsuh" w:cs="Gungsuh" w:eastAsia="Gungsuh" w:hAnsi="Gungsuh"/>
          <w:color w:val="0e101a"/>
          <w:rtl w:val="0"/>
        </w:rPr>
        <w:t xml:space="preserve"> − </w:t>
      </w:r>
      <w:r w:rsidDel="00000000" w:rsidR="00000000" w:rsidRPr="00000000">
        <w:rPr>
          <w:rFonts w:ascii="Times New Roman" w:cs="Times New Roman" w:eastAsia="Times New Roman" w:hAnsi="Times New Roman"/>
          <w:i w:val="1"/>
          <w:iCs w:val="1"/>
          <w:color w:val="0e101a"/>
          <w:rtl w:val="0"/>
        </w:rPr>
        <w:t xml:space="preserve">l</w:t>
      </w:r>
      <w:r w:rsidDel="00000000" w:rsidR="00000000" w:rsidRPr="00000000">
        <w:rPr>
          <w:rFonts w:ascii="Gungsuh" w:cs="Gungsuh" w:eastAsia="Gungsuh" w:hAnsi="Gungsuh"/>
          <w:color w:val="0e101a"/>
          <w:rtl w:val="0"/>
        </w:rPr>
        <w:t xml:space="preserve"> of the central (1 −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color w:val="0e101a"/>
          <w:rtl w:val="0"/>
        </w:rPr>
        <w:t xml:space="preserve">) × 100% PI.</w:t>
      </w:r>
    </w:p>
    <w:p w:rsidR="00000000" w:rsidDel="00000000" w:rsidP="00000000" w:rsidRDefault="00000000" w:rsidRPr="00000000" w14:paraId="00000078">
      <w:pPr>
        <w:numPr>
          <w:ilvl w:val="0"/>
          <w:numId w:val="1"/>
        </w:numPr>
        <w:spacing w:line="480" w:lineRule="auto"/>
        <w:ind w:left="72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A penalty term </w:t>
      </w:r>
      <m:oMath>
        <m:f>
          <m:fPr>
            <m:ctrlPr>
              <w:rPr>
                <w:rFonts w:ascii="Cambria Math" w:cs="Cambria Math" w:eastAsia="Cambria Math" w:hAnsi="Cambria Math"/>
                <w:color w:val="0e101a"/>
              </w:rPr>
            </m:ctrlPr>
          </m:fPr>
          <m:num>
            <m:r>
              <w:rPr>
                <w:rFonts w:ascii="Cambria Math" w:cs="Cambria Math" w:eastAsia="Cambria Math" w:hAnsi="Cambria Math"/>
                <w:color w:val="0e101a"/>
              </w:rPr>
              <m:t xml:space="preserve">2</m:t>
            </m:r>
          </m:num>
          <m:den>
            <m:r>
              <w:rPr>
                <w:rFonts w:ascii="Cambria Math" w:cs="Cambria Math" w:eastAsia="Cambria Math" w:hAnsi="Cambria Math"/>
                <w:color w:val="0e101a"/>
              </w:rPr>
              <m:t>α</m:t>
            </m:r>
          </m:den>
        </m:f>
        <m:r>
          <w:rPr>
            <w:rFonts w:ascii="Cambria Math" w:cs="Cambria Math" w:eastAsia="Cambria Math" w:hAnsi="Cambria Math"/>
            <w:color w:val="0e101a"/>
          </w:rPr>
          <m:t xml:space="preserve">*</m:t>
        </m:r>
        <m:d>
          <m:dPr>
            <m:begChr m:val="("/>
            <m:endChr m:val=")"/>
            <m:ctrlPr>
              <w:rPr>
                <w:rFonts w:ascii="Cambria Math" w:cs="Cambria Math" w:eastAsia="Cambria Math" w:hAnsi="Cambria Math"/>
                <w:color w:val="0e101a"/>
              </w:rPr>
            </m:ctrlPr>
          </m:dPr>
          <m:e>
            <m:r>
              <w:rPr>
                <w:rFonts w:ascii="Cambria Math" w:cs="Cambria Math" w:eastAsia="Cambria Math" w:hAnsi="Cambria Math"/>
                <w:color w:val="0e101a"/>
              </w:rPr>
              <m:t xml:space="preserve">l-y</m:t>
            </m:r>
          </m:e>
        </m:d>
        <m:r>
          <w:rPr>
            <w:rFonts w:ascii="Cambria Math" w:cs="Cambria Math" w:eastAsia="Cambria Math" w:hAnsi="Cambria Math"/>
            <w:color w:val="0e101a"/>
          </w:rPr>
          <m:t xml:space="preserve">*1</m:t>
        </m:r>
        <m:d>
          <m:dPr>
            <m:begChr m:val="("/>
            <m:endChr m:val=")"/>
            <m:ctrlPr>
              <w:rPr>
                <w:rFonts w:ascii="Cambria Math" w:cs="Cambria Math" w:eastAsia="Cambria Math" w:hAnsi="Cambria Math"/>
                <w:color w:val="0e101a"/>
              </w:rPr>
            </m:ctrlPr>
          </m:dPr>
          <m:e>
            <m:r>
              <w:rPr>
                <w:rFonts w:ascii="Cambria Math" w:cs="Cambria Math" w:eastAsia="Cambria Math" w:hAnsi="Cambria Math"/>
                <w:color w:val="0e101a"/>
              </w:rPr>
              <m:t xml:space="preserve">y&lt;l</m:t>
            </m:r>
          </m:e>
        </m:d>
      </m:oMath>
      <w:r w:rsidDel="00000000" w:rsidR="00000000" w:rsidRPr="00000000">
        <w:rPr>
          <w:rFonts w:ascii="Times New Roman" w:cs="Times New Roman" w:eastAsia="Times New Roman" w:hAnsi="Times New Roman"/>
          <w:color w:val="0e101a"/>
          <w:rtl w:val="0"/>
        </w:rPr>
        <w:t xml:space="preserve"> for the observations that fall below the lower end point </w:t>
      </w:r>
      <w:r w:rsidDel="00000000" w:rsidR="00000000" w:rsidRPr="00000000">
        <w:rPr>
          <w:rFonts w:ascii="Times New Roman" w:cs="Times New Roman" w:eastAsia="Times New Roman" w:hAnsi="Times New Roman"/>
          <w:i w:val="1"/>
          <w:iCs w:val="1"/>
          <w:color w:val="0e101a"/>
          <w:rtl w:val="0"/>
        </w:rPr>
        <w:t xml:space="preserve">l</w:t>
      </w:r>
      <w:r w:rsidDel="00000000" w:rsidR="00000000" w:rsidRPr="00000000">
        <w:rPr>
          <w:rFonts w:ascii="Gungsuh" w:cs="Gungsuh" w:eastAsia="Gungsuh" w:hAnsi="Gungsuh"/>
          <w:color w:val="0e101a"/>
          <w:rtl w:val="0"/>
        </w:rPr>
        <w:t xml:space="preserve"> of the (1 −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color w:val="0e101a"/>
          <w:rtl w:val="0"/>
        </w:rPr>
        <w:t xml:space="preserve">) × 100% PI. This penalty term is directly proportional to the distance between </w:t>
      </w:r>
      <w:r w:rsidDel="00000000" w:rsidR="00000000" w:rsidRPr="00000000">
        <w:rPr>
          <w:rFonts w:ascii="Times New Roman" w:cs="Times New Roman" w:eastAsia="Times New Roman" w:hAnsi="Times New Roman"/>
          <w:i w:val="1"/>
          <w:iCs w:val="1"/>
          <w:color w:val="0e101a"/>
          <w:rtl w:val="0"/>
        </w:rPr>
        <w:t xml:space="preserve">y</w:t>
      </w:r>
      <w:r w:rsidDel="00000000" w:rsidR="00000000" w:rsidRPr="00000000">
        <w:rPr>
          <w:rFonts w:ascii="Times New Roman" w:cs="Times New Roman" w:eastAsia="Times New Roman" w:hAnsi="Times New Roman"/>
          <w:color w:val="0e101a"/>
          <w:rtl w:val="0"/>
        </w:rPr>
        <w:t xml:space="preserve"> and the lower end </w:t>
      </w:r>
      <w:r w:rsidDel="00000000" w:rsidR="00000000" w:rsidRPr="00000000">
        <w:rPr>
          <w:rFonts w:ascii="Times New Roman" w:cs="Times New Roman" w:eastAsia="Times New Roman" w:hAnsi="Times New Roman"/>
          <w:i w:val="1"/>
          <w:iCs w:val="1"/>
          <w:color w:val="0e101a"/>
          <w:rtl w:val="0"/>
        </w:rPr>
        <w:t xml:space="preserve">l</w:t>
      </w:r>
      <w:r w:rsidDel="00000000" w:rsidR="00000000" w:rsidRPr="00000000">
        <w:rPr>
          <w:rFonts w:ascii="Times New Roman" w:cs="Times New Roman" w:eastAsia="Times New Roman" w:hAnsi="Times New Roman"/>
          <w:color w:val="0e101a"/>
          <w:rtl w:val="0"/>
        </w:rPr>
        <w:t xml:space="preserve"> of the PI. The strength of the penalty depends on the level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color w:val="0e101a"/>
          <w:rtl w:val="0"/>
        </w:rPr>
        <w:t xml:space="preserve">.</w:t>
      </w:r>
    </w:p>
    <w:p w:rsidR="00000000" w:rsidDel="00000000" w:rsidP="00000000" w:rsidRDefault="00000000" w:rsidRPr="00000000" w14:paraId="00000079">
      <w:pPr>
        <w:numPr>
          <w:ilvl w:val="0"/>
          <w:numId w:val="1"/>
        </w:numPr>
        <w:spacing w:line="480" w:lineRule="auto"/>
        <w:ind w:left="72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An analogous penalty term </w:t>
      </w:r>
      <m:oMath>
        <m:f>
          <m:fPr>
            <m:ctrlPr>
              <w:rPr>
                <w:rFonts w:ascii="Cambria Math" w:cs="Cambria Math" w:eastAsia="Cambria Math" w:hAnsi="Cambria Math"/>
                <w:color w:val="0e101a"/>
              </w:rPr>
            </m:ctrlPr>
          </m:fPr>
          <m:num>
            <m:r>
              <w:rPr>
                <w:rFonts w:ascii="Cambria Math" w:cs="Cambria Math" w:eastAsia="Cambria Math" w:hAnsi="Cambria Math"/>
                <w:color w:val="0e101a"/>
              </w:rPr>
              <m:t xml:space="preserve">2</m:t>
            </m:r>
          </m:num>
          <m:den>
            <m:r>
              <w:rPr>
                <w:rFonts w:ascii="Cambria Math" w:cs="Cambria Math" w:eastAsia="Cambria Math" w:hAnsi="Cambria Math"/>
                <w:color w:val="0e101a"/>
              </w:rPr>
              <m:t>α</m:t>
            </m:r>
          </m:den>
        </m:f>
        <m:r>
          <w:rPr>
            <w:rFonts w:ascii="Cambria Math" w:cs="Cambria Math" w:eastAsia="Cambria Math" w:hAnsi="Cambria Math"/>
            <w:color w:val="0e101a"/>
          </w:rPr>
          <m:t xml:space="preserve">*</m:t>
        </m:r>
        <m:d>
          <m:dPr>
            <m:begChr m:val="("/>
            <m:endChr m:val=")"/>
            <m:ctrlPr>
              <w:rPr>
                <w:rFonts w:ascii="Cambria Math" w:cs="Cambria Math" w:eastAsia="Cambria Math" w:hAnsi="Cambria Math"/>
                <w:color w:val="0e101a"/>
              </w:rPr>
            </m:ctrlPr>
          </m:dPr>
          <m:e>
            <m:r>
              <w:rPr>
                <w:rFonts w:ascii="Cambria Math" w:cs="Cambria Math" w:eastAsia="Cambria Math" w:hAnsi="Cambria Math"/>
                <w:color w:val="0e101a"/>
              </w:rPr>
              <m:t xml:space="preserve">y-u</m:t>
            </m:r>
          </m:e>
        </m:d>
        <m:r>
          <w:rPr>
            <w:rFonts w:ascii="Cambria Math" w:cs="Cambria Math" w:eastAsia="Cambria Math" w:hAnsi="Cambria Math"/>
            <w:color w:val="0e101a"/>
          </w:rPr>
          <m:t xml:space="preserve">*1</m:t>
        </m:r>
        <m:d>
          <m:dPr>
            <m:begChr m:val="("/>
            <m:endChr m:val=")"/>
            <m:ctrlPr>
              <w:rPr>
                <w:rFonts w:ascii="Cambria Math" w:cs="Cambria Math" w:eastAsia="Cambria Math" w:hAnsi="Cambria Math"/>
                <w:color w:val="0e101a"/>
              </w:rPr>
            </m:ctrlPr>
          </m:dPr>
          <m:e>
            <m:r>
              <w:rPr>
                <w:rFonts w:ascii="Cambria Math" w:cs="Cambria Math" w:eastAsia="Cambria Math" w:hAnsi="Cambria Math"/>
                <w:color w:val="0e101a"/>
              </w:rPr>
              <m:t xml:space="preserve">y&gt;u</m:t>
            </m:r>
          </m:e>
        </m:d>
      </m:oMath>
      <w:r w:rsidDel="00000000" w:rsidR="00000000" w:rsidRPr="00000000">
        <w:rPr>
          <w:rFonts w:ascii="Times New Roman" w:cs="Times New Roman" w:eastAsia="Times New Roman" w:hAnsi="Times New Roman"/>
          <w:color w:val="0e101a"/>
          <w:rtl w:val="0"/>
        </w:rPr>
        <w:t xml:space="preserve"> for the observations falling above the upper limit </w:t>
      </w:r>
      <w:r w:rsidDel="00000000" w:rsidR="00000000" w:rsidRPr="00000000">
        <w:rPr>
          <w:rFonts w:ascii="Times New Roman" w:cs="Times New Roman" w:eastAsia="Times New Roman" w:hAnsi="Times New Roman"/>
          <w:i w:val="1"/>
          <w:iCs w:val="1"/>
          <w:color w:val="0e101a"/>
          <w:rtl w:val="0"/>
        </w:rPr>
        <w:t xml:space="preserve">u</w:t>
      </w:r>
      <w:r w:rsidDel="00000000" w:rsidR="00000000" w:rsidRPr="00000000">
        <w:rPr>
          <w:rFonts w:ascii="Times New Roman" w:cs="Times New Roman" w:eastAsia="Times New Roman" w:hAnsi="Times New Roman"/>
          <w:color w:val="0e101a"/>
          <w:rtl w:val="0"/>
        </w:rPr>
        <w:t xml:space="preserve"> of the PI.</w:t>
      </w:r>
    </w:p>
    <w:p w:rsidR="00000000" w:rsidDel="00000000" w:rsidP="00000000" w:rsidRDefault="00000000" w:rsidRPr="00000000" w14:paraId="0000007A">
      <w:pPr>
        <w:spacing w:line="480" w:lineRule="auto"/>
        <w:ind w:left="72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7B">
      <w:pPr>
        <w:spacing w:line="480" w:lineRule="auto"/>
        <w:jc w:val="both"/>
        <w:rPr>
          <w:rFonts w:ascii="Times New Roman" w:cs="Times New Roman" w:eastAsia="Times New Roman" w:hAnsi="Times New Roman"/>
          <w:color w:val="0e101a"/>
        </w:rPr>
      </w:pPr>
      <w:r w:rsidDel="00000000" w:rsidR="00000000" w:rsidRPr="00000000">
        <w:rPr>
          <w:rFonts w:ascii="Gungsuh" w:cs="Gungsuh" w:eastAsia="Gungsuh" w:hAnsi="Gungsuh"/>
          <w:color w:val="0e101a"/>
          <w:rtl w:val="0"/>
        </w:rPr>
        <w:t xml:space="preserve">We report several central PIs at different levels (1 −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color w:val="0e101a"/>
          <w:vertAlign w:val="subscript"/>
          <w:rtl w:val="0"/>
        </w:rPr>
        <w:t xml:space="preserve">1</w:t>
      </w:r>
      <w:r w:rsidDel="00000000" w:rsidR="00000000" w:rsidRPr="00000000">
        <w:rPr>
          <w:rFonts w:ascii="Gungsuh" w:cs="Gungsuh" w:eastAsia="Gungsuh" w:hAnsi="Gungsuh"/>
          <w:color w:val="0e101a"/>
          <w:rtl w:val="0"/>
        </w:rPr>
        <w:t xml:space="preserve">) &lt; (1 −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color w:val="0e101a"/>
          <w:vertAlign w:val="subscript"/>
          <w:rtl w:val="0"/>
        </w:rPr>
        <w:t xml:space="preserve">2</w:t>
      </w:r>
      <w:r w:rsidDel="00000000" w:rsidR="00000000" w:rsidRPr="00000000">
        <w:rPr>
          <w:rFonts w:ascii="Times New Roman" w:cs="Times New Roman" w:eastAsia="Times New Roman" w:hAnsi="Times New Roman"/>
          <w:color w:val="0e101a"/>
          <w:rtl w:val="0"/>
        </w:rPr>
        <w:t xml:space="preserve">) &lt; </w:t>
      </w:r>
      <w:r w:rsidDel="00000000" w:rsidR="00000000" w:rsidRPr="00000000">
        <w:rPr>
          <w:rFonts w:ascii="Cambria Math" w:cs="Cambria Math" w:eastAsia="Cambria Math" w:hAnsi="Cambria Math"/>
          <w:color w:val="0e101a"/>
          <w:rtl w:val="0"/>
        </w:rPr>
        <w:t xml:space="preserve">⋯</w:t>
      </w:r>
      <w:r w:rsidDel="00000000" w:rsidR="00000000" w:rsidRPr="00000000">
        <w:rPr>
          <w:rFonts w:ascii="Gungsuh" w:cs="Gungsuh" w:eastAsia="Gungsuh" w:hAnsi="Gungsuh"/>
          <w:color w:val="0e101a"/>
          <w:rtl w:val="0"/>
        </w:rPr>
        <w:t xml:space="preserve"> &lt; (1 −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i w:val="1"/>
          <w:iCs w:val="1"/>
          <w:color w:val="0e101a"/>
          <w:vertAlign w:val="subscript"/>
          <w:rtl w:val="0"/>
        </w:rPr>
        <w:t xml:space="preserve">K</w:t>
      </w:r>
      <w:r w:rsidDel="00000000" w:rsidR="00000000" w:rsidRPr="00000000">
        <w:rPr>
          <w:rFonts w:ascii="Times New Roman" w:cs="Times New Roman" w:eastAsia="Times New Roman" w:hAnsi="Times New Roman"/>
          <w:color w:val="0e101a"/>
          <w:rtl w:val="0"/>
        </w:rPr>
        <w:t xml:space="preserve">) along with the predictive median, </w:t>
      </w:r>
      <w:r w:rsidDel="00000000" w:rsidR="00000000" w:rsidRPr="00000000">
        <w:rPr>
          <w:rFonts w:ascii="Times New Roman" w:cs="Times New Roman" w:eastAsia="Times New Roman" w:hAnsi="Times New Roman"/>
          <w:i w:val="1"/>
          <w:iCs w:val="1"/>
          <w:color w:val="0e101a"/>
          <w:rtl w:val="0"/>
        </w:rPr>
        <w:t xml:space="preserve">m</w:t>
      </w:r>
      <w:r w:rsidDel="00000000" w:rsidR="00000000" w:rsidRPr="00000000">
        <w:rPr>
          <w:rFonts w:ascii="Gungsuh" w:cs="Gungsuh" w:eastAsia="Gungsuh" w:hAnsi="Gungsuh"/>
          <w:color w:val="0e101a"/>
          <w:rtl w:val="0"/>
        </w:rPr>
        <w:t xml:space="preserve">, which can be seen as a central prediction interval at level 1 − </w:t>
      </w:r>
      <w:r w:rsidDel="00000000" w:rsidR="00000000" w:rsidRPr="00000000">
        <w:rPr>
          <w:rFonts w:ascii="Times New Roman" w:cs="Times New Roman" w:eastAsia="Times New Roman" w:hAnsi="Times New Roman"/>
          <w:i w:val="1"/>
          <w:iCs w:val="1"/>
          <w:color w:val="0e101a"/>
          <w:rtl w:val="0"/>
        </w:rPr>
        <w:t xml:space="preserve">α</w:t>
      </w:r>
      <w:r w:rsidDel="00000000" w:rsidR="00000000" w:rsidRPr="00000000">
        <w:rPr>
          <w:rFonts w:ascii="Times New Roman" w:cs="Times New Roman" w:eastAsia="Times New Roman" w:hAnsi="Times New Roman"/>
          <w:color w:val="0e101a"/>
          <w:vertAlign w:val="subscript"/>
          <w:rtl w:val="0"/>
        </w:rPr>
        <w:t xml:space="preserve">0</w:t>
      </w:r>
      <w:r w:rsidDel="00000000" w:rsidR="00000000" w:rsidRPr="00000000">
        <w:rPr>
          <w:rFonts w:ascii="Times New Roman" w:cs="Times New Roman" w:eastAsia="Times New Roman" w:hAnsi="Times New Roman"/>
          <w:color w:val="0e101a"/>
          <w:rtl w:val="0"/>
        </w:rPr>
        <w:t xml:space="preserve"> </w:t>
      </w:r>
      <w:r w:rsidDel="00000000" w:rsidR="00000000" w:rsidRPr="00000000">
        <w:rPr>
          <w:rFonts w:ascii="Cambria Math" w:cs="Cambria Math" w:eastAsia="Cambria Math" w:hAnsi="Cambria Math"/>
          <w:color w:val="0e101a"/>
          <w:rtl w:val="0"/>
        </w:rPr>
        <w:t xml:space="preserve">⟶</w:t>
      </w:r>
      <w:r w:rsidDel="00000000" w:rsidR="00000000" w:rsidRPr="00000000">
        <w:rPr>
          <w:rFonts w:ascii="Times New Roman" w:cs="Times New Roman" w:eastAsia="Times New Roman" w:hAnsi="Times New Roman"/>
          <w:color w:val="0e101a"/>
          <w:rtl w:val="0"/>
        </w:rPr>
        <w:t xml:space="preserve"> 0. This is referred to as the WIS, and it can be evaluated as follows: </w:t>
      </w:r>
    </w:p>
    <w:p w:rsidR="00000000" w:rsidDel="00000000" w:rsidP="00000000" w:rsidRDefault="00000000" w:rsidRPr="00000000" w14:paraId="0000007C">
      <w:pPr>
        <w:jc w:val="center"/>
        <w:rPr>
          <w:rFonts w:ascii="Cambria Math" w:cs="Cambria Math" w:eastAsia="Cambria Math" w:hAnsi="Cambria Math"/>
          <w:b w:val="0"/>
          <w:bCs w:val="0"/>
          <w:i w:val="0"/>
          <w:iCs w:val="0"/>
          <w:smallCaps w:val="0"/>
          <w:strike w:val="0"/>
          <w:color w:val="0e101a"/>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WIS</m:t>
            </m:r>
          </m:e>
          <m: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α</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0:K</m:t>
                </m:r>
              </m:sub>
            </m:sSub>
          </m:sub>
        </m:sSub>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F,y</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K+</m:t>
            </m:r>
            <m:f>
              <m:f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2</m:t>
                </m:r>
              </m:den>
            </m:f>
          </m:den>
        </m:f>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w</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0</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y-m</m:t>
            </m:r>
          </m:e>
        </m:d>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k=1</m:t>
            </m:r>
          </m:sub>
          <m:sup>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K</m:t>
            </m:r>
          </m:sup>
        </m:nary>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w</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k</m:t>
            </m:r>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IS</m:t>
            </m:r>
          </m:e>
          <m:sub>
            <m:sSub>
              <m:sSubPr>
                <m:ctrlPr>
                  <w:rPr>
                    <w:rFonts w:ascii="Cambria Math" w:cs="Cambria Math" w:eastAsia="Cambria Math" w:hAnsi="Cambria Math"/>
                    <w:b w:val="0"/>
                    <w:bCs w:val="0"/>
                    <w:i w:val="0"/>
                    <w:iCs w:val="0"/>
                    <w:smallCaps w:val="0"/>
                    <w:strike w:val="0"/>
                    <w:color w:val="0e101a"/>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e101a"/>
                    <w:sz w:val="24"/>
                    <w:szCs w:val="24"/>
                    <w:u w:val="none"/>
                    <w:shd w:fill="auto" w:val="clear"/>
                    <w:vertAlign w:val="baseline"/>
                  </w:rPr>
                  <m:t>α</m:t>
                </m:r>
              </m:e>
              <m: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k</m:t>
                </m:r>
              </m:sub>
            </m:sSub>
          </m:sub>
        </m:sSub>
        <m:r>
          <w:rPr>
            <w:rFonts w:ascii="Cambria Math" w:cs="Cambria Math" w:eastAsia="Cambria Math" w:hAnsi="Cambria Math"/>
            <w:b w:val="0"/>
            <w:bCs w:val="0"/>
            <w:i w:val="0"/>
            <w:iCs w:val="0"/>
            <w:smallCaps w:val="0"/>
            <w:strike w:val="0"/>
            <w:color w:val="0e101a"/>
            <w:sz w:val="24"/>
            <w:szCs w:val="24"/>
            <w:u w:val="none"/>
            <w:shd w:fill="auto" w:val="clear"/>
            <w:vertAlign w:val="baseline"/>
          </w:rPr>
          <m:t xml:space="preserve">(F,y))</m:t>
        </m:r>
      </m:oMath>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where, </w:t>
      </w:r>
      <m:oMath>
        <m:sSub>
          <m:sSubPr>
            <m:ctrlPr>
              <w:rPr>
                <w:rFonts w:ascii="Cambria Math" w:cs="Cambria Math" w:eastAsia="Cambria Math" w:hAnsi="Cambria Math"/>
                <w:color w:val="0e101a"/>
              </w:rPr>
            </m:ctrlPr>
          </m:sSubPr>
          <m:e>
            <m:r>
              <w:rPr>
                <w:rFonts w:ascii="Cambria Math" w:cs="Cambria Math" w:eastAsia="Cambria Math" w:hAnsi="Cambria Math"/>
                <w:color w:val="0e101a"/>
              </w:rPr>
              <m:t xml:space="preserve">w</m:t>
            </m:r>
          </m:e>
          <m:sub>
            <m:r>
              <w:rPr>
                <w:rFonts w:ascii="Cambria Math" w:cs="Cambria Math" w:eastAsia="Cambria Math" w:hAnsi="Cambria Math"/>
                <w:color w:val="0e101a"/>
              </w:rPr>
              <m:t xml:space="preserve">k</m:t>
            </m:r>
          </m:sub>
        </m:sSub>
        <m:r>
          <w:rPr>
            <w:rFonts w:ascii="Cambria Math" w:cs="Cambria Math" w:eastAsia="Cambria Math" w:hAnsi="Cambria Math"/>
            <w:color w:val="0e101a"/>
          </w:rPr>
          <m:t xml:space="preserve">=</m:t>
        </m:r>
        <m:f>
          <m:fPr>
            <m:ctrlPr>
              <w:rPr>
                <w:rFonts w:ascii="Cambria Math" w:cs="Cambria Math" w:eastAsia="Cambria Math" w:hAnsi="Cambria Math"/>
                <w:color w:val="0e101a"/>
              </w:rPr>
            </m:ctrlPr>
          </m:fPr>
          <m:num>
            <m:sSub>
              <m:sSubPr>
                <m:ctrlPr>
                  <w:rPr>
                    <w:rFonts w:ascii="Cambria Math" w:cs="Cambria Math" w:eastAsia="Cambria Math" w:hAnsi="Cambria Math"/>
                    <w:color w:val="0e101a"/>
                  </w:rPr>
                </m:ctrlPr>
              </m:sSubPr>
              <m:e>
                <m:r>
                  <w:rPr>
                    <w:rFonts w:ascii="Cambria Math" w:cs="Cambria Math" w:eastAsia="Cambria Math" w:hAnsi="Cambria Math"/>
                    <w:color w:val="0e101a"/>
                  </w:rPr>
                  <m:t>α</m:t>
                </m:r>
              </m:e>
              <m:sub>
                <m:r>
                  <w:rPr>
                    <w:rFonts w:ascii="Cambria Math" w:cs="Cambria Math" w:eastAsia="Cambria Math" w:hAnsi="Cambria Math"/>
                    <w:color w:val="0e101a"/>
                  </w:rPr>
                  <m:t xml:space="preserve">k</m:t>
                </m:r>
              </m:sub>
            </m:sSub>
          </m:num>
          <m:den>
            <m:r>
              <w:rPr>
                <w:rFonts w:ascii="Cambria Math" w:cs="Cambria Math" w:eastAsia="Cambria Math" w:hAnsi="Cambria Math"/>
                <w:color w:val="0e101a"/>
              </w:rPr>
              <m:t xml:space="preserve">2</m:t>
            </m:r>
          </m:den>
        </m:f>
      </m:oMath>
      <w:r w:rsidDel="00000000" w:rsidR="00000000" w:rsidRPr="00000000">
        <w:rPr>
          <w:rFonts w:ascii="Times New Roman" w:cs="Times New Roman" w:eastAsia="Times New Roman" w:hAnsi="Times New Roman"/>
          <w:color w:val="0e101a"/>
          <w:rtl w:val="0"/>
        </w:rPr>
        <w:t xml:space="preserve"> for </w:t>
      </w:r>
      <w:r w:rsidDel="00000000" w:rsidR="00000000" w:rsidRPr="00000000">
        <w:rPr>
          <w:rFonts w:ascii="Times New Roman" w:cs="Times New Roman" w:eastAsia="Times New Roman" w:hAnsi="Times New Roman"/>
          <w:i w:val="1"/>
          <w:iCs w:val="1"/>
          <w:color w:val="0e101a"/>
          <w:rtl w:val="0"/>
        </w:rPr>
        <w:t xml:space="preserve">k</w:t>
      </w:r>
      <w:r w:rsidDel="00000000" w:rsidR="00000000" w:rsidRPr="00000000">
        <w:rPr>
          <w:rFonts w:ascii="Times New Roman" w:cs="Times New Roman" w:eastAsia="Times New Roman" w:hAnsi="Times New Roman"/>
          <w:color w:val="0e101a"/>
          <w:rtl w:val="0"/>
        </w:rPr>
        <w:t xml:space="preserve"> = 1,2, ….</w:t>
      </w:r>
      <w:r w:rsidDel="00000000" w:rsidR="00000000" w:rsidRPr="00000000">
        <w:rPr>
          <w:rFonts w:ascii="Times New Roman" w:cs="Times New Roman" w:eastAsia="Times New Roman" w:hAnsi="Times New Roman"/>
          <w:i w:val="1"/>
          <w:iCs w:val="1"/>
          <w:color w:val="0e101a"/>
          <w:rtl w:val="0"/>
        </w:rPr>
        <w:t xml:space="preserve"> K</w:t>
      </w:r>
      <w:r w:rsidDel="00000000" w:rsidR="00000000" w:rsidRPr="00000000">
        <w:rPr>
          <w:rFonts w:ascii="Times New Roman" w:cs="Times New Roman" w:eastAsia="Times New Roman" w:hAnsi="Times New Roman"/>
          <w:color w:val="0e101a"/>
          <w:rtl w:val="0"/>
        </w:rPr>
        <w:t xml:space="preserve"> and </w:t>
      </w:r>
      <m:oMath>
        <m:sSub>
          <m:sSubPr>
            <m:ctrlPr>
              <w:rPr>
                <w:rFonts w:ascii="Cambria Math" w:cs="Cambria Math" w:eastAsia="Cambria Math" w:hAnsi="Cambria Math"/>
                <w:color w:val="0e101a"/>
              </w:rPr>
            </m:ctrlPr>
          </m:sSubPr>
          <m:e>
            <m:r>
              <w:rPr>
                <w:rFonts w:ascii="Cambria Math" w:cs="Cambria Math" w:eastAsia="Cambria Math" w:hAnsi="Cambria Math"/>
                <w:color w:val="0e101a"/>
              </w:rPr>
              <m:t xml:space="preserve">w</m:t>
            </m:r>
          </m:e>
          <m:sub>
            <m:r>
              <w:rPr>
                <w:rFonts w:ascii="Cambria Math" w:cs="Cambria Math" w:eastAsia="Cambria Math" w:hAnsi="Cambria Math"/>
                <w:color w:val="0e101a"/>
              </w:rPr>
              <m:t xml:space="preserve">0</m:t>
            </m:r>
          </m:sub>
        </m:sSub>
        <m:r>
          <w:rPr>
            <w:rFonts w:ascii="Cambria Math" w:cs="Cambria Math" w:eastAsia="Cambria Math" w:hAnsi="Cambria Math"/>
            <w:color w:val="0e101a"/>
          </w:rPr>
          <m:t xml:space="preserve">=</m:t>
        </m:r>
        <m:f>
          <m:fPr>
            <m:ctrlPr>
              <w:rPr>
                <w:rFonts w:ascii="Cambria Math" w:cs="Cambria Math" w:eastAsia="Cambria Math" w:hAnsi="Cambria Math"/>
                <w:color w:val="0e101a"/>
              </w:rPr>
            </m:ctrlPr>
          </m:fPr>
          <m:num>
            <m:r>
              <w:rPr>
                <w:rFonts w:ascii="Cambria Math" w:cs="Cambria Math" w:eastAsia="Cambria Math" w:hAnsi="Cambria Math"/>
                <w:color w:val="0e101a"/>
              </w:rPr>
              <m:t xml:space="preserve">1</m:t>
            </m:r>
          </m:num>
          <m:den>
            <m:r>
              <w:rPr>
                <w:rFonts w:ascii="Cambria Math" w:cs="Cambria Math" w:eastAsia="Cambria Math" w:hAnsi="Cambria Math"/>
                <w:color w:val="0e101a"/>
              </w:rPr>
              <m:t xml:space="preserve">2</m:t>
            </m:r>
          </m:den>
        </m:f>
        <m:r>
          <w:rPr>
            <w:rFonts w:ascii="Cambria Math" w:cs="Cambria Math" w:eastAsia="Cambria Math" w:hAnsi="Cambria Math"/>
            <w:color w:val="0e101a"/>
          </w:rPr>
          <m:t xml:space="preserve"> . </m:t>
        </m:r>
      </m:oMath>
      <w:r w:rsidDel="00000000" w:rsidR="00000000" w:rsidRPr="00000000">
        <w:rPr>
          <w:rFonts w:ascii="Times New Roman" w:cs="Times New Roman" w:eastAsia="Times New Roman" w:hAnsi="Times New Roman"/>
          <w:color w:val="0e101a"/>
          <w:rtl w:val="0"/>
        </w:rPr>
        <w:t xml:space="preserve">Hence, WIS can be interpreted as a measure of how close the entire distribution is to the observation in units on the scale of the observed data [29, 30].   </w:t>
      </w:r>
    </w:p>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F">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80">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Performance of forecasts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epi curve (Additional file 1: Figure 13s) captures the reported deaths of Covid-19 in France from March 5, 2021, to March 4, 2022. This visualization shows the weekly deaths as they increase, drastically decrease, and increase again throughout the year. The drastic decline in deaths during the summer and early fall of 2021 can be contributed to many factors. During the summer and fall, the weather is typically warmer which means that people are not gathered inside close. During this time, vaccines and then boosters were made available for people to receive. When wintertime approached deaths drastically increased which can be contributed to holidays when people gather to celebrate as well as the evolution of a more transmissible variant.</w:t>
      </w:r>
    </w:p>
    <w:p w:rsidR="00000000" w:rsidDel="00000000" w:rsidP="00000000" w:rsidRDefault="00000000" w:rsidRPr="00000000" w14:paraId="0000008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Table 1 summarizes the mean forecasting performance metrics of the modeling frameworks across four forecasting periods. When analyzing each table, 1-4, the mean forecasting performance metrics, MSE, MAE, and WIS for all modeling frameworks across 1-4 forecasting periods, the ARIMA performed much better. It should be noted that even though the ARIMA modeling framework performed the best when comparing the percentage coverage of the 95% prediction interval, during the forecasting period of 1 week ahead, the sub-epidemic top-ranked (4) modeling framework had the highest coverage, and the highest coverage overall when comparing it to tables 2-4 of about 91%. During the forecasting period 2-4 weeks ahead, the sub-epidemic top-ranked (3) modeling framework had the highest coverage. When looking at the 95% PI, the mean value of the PI during forecasting periods 1 and 2 depict higher coverage than forecasting periods 3 and 4. As the modeling frameworks went through each forecasting period the PI decreased. </w:t>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Looking at the sub-epidemic, top-ranked (1), and the sub-epidemic, ensemble 2-4 there were no immediate differences between the mean forecasting performance metrics. For the sub-epidemic, ensemble 2-4 models alone, table 2s (Additional file 1) shows that there is no difference between the mean forecasting performance metrics as well. Each model framework in Table 1s-3s (Additional file 1) showcases the mean forecasting performance metrics separated by modeling framework that consists of the forecasting periods 1-4 highlighting the best performance for each forecasting period. Looking solely at (Additional file 1: table 1s), the GAM model framework performed the best in comparison to ARIMA and simple linear regression. The second-best performing modeling framework in terms of performance metrics, MAE and WIS across all forecasting periods, the GAM modeling framework performed well.</w:t>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Performance of model fit</w:t>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observed and forecasted Covid-19 deaths are shown in figures 1s-12s (Additional file 1). These tables consist of the observed and forecasted Covid-19 deaths for each week starting with the week of May 7, 2021, which is 10- weeks after the initial day of data recording March 5, 2021, through the week of February 25, 2022. The forecasts are derived from the ARIMA, GAM, and simple linear regression modeling frameworks using 10-week calibration data. When looking at these tables overall, specifically focusing on the red line which represents the best-fit line, the black circles representing the observed data, and the dashed black line that coincides with the 95% prediction interval, the GAM modeling framework yielded good fits for the 10-week calibration periods. When observing the model fit figures 1s-12s (Additional file 1) of the modeling frameworks ARIMA, simple linear regression, and GAM, they all depict very different model fits. Overall, the GAM modeling framework yielded a relatively good fit for the 10-week calibration even though there were times throughout when the observed data and best-fit line were not in alignment. The irony in this is that the ARIMA model performed better overall even though the GAM modeling framework yielded a better fit for the 10-week calibration. Comparing Figures 1s and 9s (Additional file 1) the observed and forecasted Covid-19 deaths for the weeks of May 7, 2021, through the week of July 16, 2021, the two figures confirm that the GAM modeling framework had the better model fit.</w:t>
      </w:r>
    </w:p>
    <w:p w:rsidR="00000000" w:rsidDel="00000000" w:rsidP="00000000" w:rsidRDefault="00000000" w:rsidRPr="00000000" w14:paraId="00000087">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 </w:t>
      </w: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8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Calibri" w:cs="Calibri" w:eastAsia="Calibri" w:hAnsi="Calibri"/>
          <w:b w:val="1"/>
          <w:bCs w:val="1"/>
          <w:rtl w:val="0"/>
        </w:rPr>
        <w:t xml:space="preserve"> </w:t>
      </w:r>
      <w:r w:rsidDel="00000000" w:rsidR="00000000" w:rsidRPr="00000000">
        <w:rPr>
          <w:rFonts w:ascii="Times New Roman" w:cs="Times New Roman" w:eastAsia="Times New Roman" w:hAnsi="Times New Roman"/>
          <w:rtl w:val="0"/>
        </w:rPr>
        <w:t xml:space="preserve">Mean forecasting performance metrics for all the models across 44 dates using retrospective weekly sequential 1 week ahead forecast period of the weekly time series of Covid-19 deaths in France starting from the week of March 4, 2021, to the week of March 5, 2022. Overall, the best-performing model according to this table was the ARIMA model. The values for the percentage coverage of the 95% prediction interval of the higher coverage range between 72% to 90% with the lowest coverage being around 30%, the simple linear regression model. The Sub-epidemic top-ranked (4) model had the best coverage value. Values in bold correspond to the best performance metrics. </w:t>
      </w:r>
      <w:r w:rsidDel="00000000" w:rsidR="00000000" w:rsidRPr="00000000">
        <w:rPr>
          <w:rtl w:val="0"/>
        </w:rPr>
      </w:r>
    </w:p>
    <w:p w:rsidR="00000000" w:rsidDel="00000000" w:rsidP="00000000" w:rsidRDefault="00000000" w:rsidRPr="00000000" w14:paraId="00000097">
      <w:pPr>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
        <w:tblW w:w="9355.0" w:type="dxa"/>
        <w:jc w:val="left"/>
        <w:tblLayout w:type="fixed"/>
        <w:tblLook w:val="0400"/>
      </w:tblPr>
      <w:tblGrid>
        <w:gridCol w:w="1113"/>
        <w:gridCol w:w="1942"/>
        <w:gridCol w:w="1980"/>
        <w:gridCol w:w="2070"/>
        <w:gridCol w:w="2250"/>
        <w:tblGridChange w:id="0">
          <w:tblGrid>
            <w:gridCol w:w="1113"/>
            <w:gridCol w:w="1942"/>
            <w:gridCol w:w="1980"/>
            <w:gridCol w:w="2070"/>
            <w:gridCol w:w="2250"/>
          </w:tblGrid>
        </w:tblGridChange>
      </w:tblGrid>
      <w:tr>
        <w:trPr>
          <w:cantSplit w:val="0"/>
          <w:trHeight w:val="1200" w:hRule="atLeast"/>
          <w:tblHeader w:val="0"/>
        </w:trPr>
        <w:tc>
          <w:tcPr>
            <w:shd w:fill="auto" w:val="clear"/>
          </w:tcPr>
          <w:p w:rsidR="00000000" w:rsidDel="00000000" w:rsidP="00000000" w:rsidRDefault="00000000" w:rsidRPr="00000000" w14:paraId="0000009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w:t>
            </w:r>
          </w:p>
        </w:tc>
        <w:tc>
          <w:tcPr>
            <w:shd w:fill="auto" w:val="clear"/>
          </w:tcPr>
          <w:p w:rsidR="00000000" w:rsidDel="00000000" w:rsidP="00000000" w:rsidRDefault="00000000" w:rsidRPr="00000000" w14:paraId="0000009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squared error (MSE) </w:t>
            </w:r>
          </w:p>
        </w:tc>
        <w:tc>
          <w:tcPr>
            <w:shd w:fill="auto" w:val="clear"/>
          </w:tcPr>
          <w:p w:rsidR="00000000" w:rsidDel="00000000" w:rsidP="00000000" w:rsidRDefault="00000000" w:rsidRPr="00000000" w14:paraId="0000009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absolute error (MAE) </w:t>
            </w:r>
          </w:p>
        </w:tc>
        <w:tc>
          <w:tcPr>
            <w:shd w:fill="auto" w:val="clear"/>
          </w:tcPr>
          <w:p w:rsidR="00000000" w:rsidDel="00000000" w:rsidP="00000000" w:rsidRDefault="00000000" w:rsidRPr="00000000" w14:paraId="0000009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Percentage coverage of the 95% prediction interval </w:t>
            </w:r>
          </w:p>
        </w:tc>
        <w:tc>
          <w:tcPr>
            <w:shd w:fill="auto" w:val="clear"/>
          </w:tcPr>
          <w:p w:rsidR="00000000" w:rsidDel="00000000" w:rsidP="00000000" w:rsidRDefault="00000000" w:rsidRPr="00000000" w14:paraId="0000009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Weighted interval score (WIS) </w:t>
            </w:r>
          </w:p>
        </w:tc>
      </w:tr>
      <w:tr>
        <w:trPr>
          <w:cantSplit w:val="0"/>
          <w:trHeight w:val="300" w:hRule="atLeast"/>
          <w:tblHeader w:val="0"/>
        </w:trPr>
        <w:tc>
          <w:tcPr>
            <w:shd w:fill="auto" w:val="clear"/>
          </w:tcPr>
          <w:p w:rsidR="00000000" w:rsidDel="00000000" w:rsidP="00000000" w:rsidRDefault="00000000" w:rsidRPr="00000000" w14:paraId="0000009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1 week ahead</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9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9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A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A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300" w:hRule="atLeast"/>
          <w:tblHeader w:val="0"/>
        </w:trPr>
        <w:tc>
          <w:tcPr>
            <w:shd w:fill="auto" w:val="clear"/>
          </w:tcPr>
          <w:p w:rsidR="00000000" w:rsidDel="00000000" w:rsidP="00000000" w:rsidRDefault="00000000" w:rsidRPr="00000000" w14:paraId="000000A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(1) </w:t>
            </w:r>
          </w:p>
        </w:tc>
        <w:tc>
          <w:tcPr>
            <w:shd w:fill="auto" w:val="clear"/>
          </w:tcPr>
          <w:p w:rsidR="00000000" w:rsidDel="00000000" w:rsidP="00000000" w:rsidRDefault="00000000" w:rsidRPr="00000000" w14:paraId="000000A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177373.55 </w:t>
            </w:r>
          </w:p>
        </w:tc>
        <w:tc>
          <w:tcPr>
            <w:shd w:fill="auto" w:val="clear"/>
          </w:tcPr>
          <w:p w:rsidR="00000000" w:rsidDel="00000000" w:rsidP="00000000" w:rsidRDefault="00000000" w:rsidRPr="00000000" w14:paraId="000000A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226.21 </w:t>
            </w:r>
          </w:p>
        </w:tc>
        <w:tc>
          <w:tcPr>
            <w:shd w:fill="auto" w:val="clear"/>
          </w:tcPr>
          <w:p w:rsidR="00000000" w:rsidDel="00000000" w:rsidP="00000000" w:rsidRDefault="00000000" w:rsidRPr="00000000" w14:paraId="000000A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72.09 </w:t>
            </w:r>
          </w:p>
        </w:tc>
        <w:tc>
          <w:tcPr>
            <w:shd w:fill="auto" w:val="clear"/>
          </w:tcPr>
          <w:p w:rsidR="00000000" w:rsidDel="00000000" w:rsidP="00000000" w:rsidRDefault="00000000" w:rsidRPr="00000000" w14:paraId="000000A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160.82 </w:t>
            </w:r>
          </w:p>
        </w:tc>
      </w:tr>
      <w:tr>
        <w:trPr>
          <w:cantSplit w:val="0"/>
          <w:trHeight w:val="300" w:hRule="atLeast"/>
          <w:tblHeader w:val="0"/>
        </w:trPr>
        <w:tc>
          <w:tcPr>
            <w:shd w:fill="auto" w:val="clear"/>
          </w:tcPr>
          <w:p w:rsidR="00000000" w:rsidDel="00000000" w:rsidP="00000000" w:rsidRDefault="00000000" w:rsidRPr="00000000" w14:paraId="000000A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(2) </w:t>
            </w:r>
          </w:p>
        </w:tc>
        <w:tc>
          <w:tcPr>
            <w:shd w:fill="auto" w:val="clear"/>
          </w:tcPr>
          <w:p w:rsidR="00000000" w:rsidDel="00000000" w:rsidP="00000000" w:rsidRDefault="00000000" w:rsidRPr="00000000" w14:paraId="000000A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21548970.51 </w:t>
            </w:r>
          </w:p>
        </w:tc>
        <w:tc>
          <w:tcPr>
            <w:shd w:fill="auto" w:val="clear"/>
          </w:tcPr>
          <w:p w:rsidR="00000000" w:rsidDel="00000000" w:rsidP="00000000" w:rsidRDefault="00000000" w:rsidRPr="00000000" w14:paraId="000000A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1042.94 </w:t>
            </w:r>
          </w:p>
        </w:tc>
        <w:tc>
          <w:tcPr>
            <w:shd w:fill="auto" w:val="clear"/>
          </w:tcPr>
          <w:p w:rsidR="00000000" w:rsidDel="00000000" w:rsidP="00000000" w:rsidRDefault="00000000" w:rsidRPr="00000000" w14:paraId="000000A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79.07 </w:t>
            </w:r>
          </w:p>
        </w:tc>
        <w:tc>
          <w:tcPr>
            <w:shd w:fill="auto" w:val="clear"/>
          </w:tcPr>
          <w:p w:rsidR="00000000" w:rsidDel="00000000" w:rsidP="00000000" w:rsidRDefault="00000000" w:rsidRPr="00000000" w14:paraId="000000A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818.59 </w:t>
            </w:r>
          </w:p>
        </w:tc>
      </w:tr>
      <w:tr>
        <w:trPr>
          <w:cantSplit w:val="0"/>
          <w:trHeight w:val="300" w:hRule="atLeast"/>
          <w:tblHeader w:val="0"/>
        </w:trPr>
        <w:tc>
          <w:tcPr>
            <w:shd w:fill="auto" w:val="clear"/>
          </w:tcPr>
          <w:p w:rsidR="00000000" w:rsidDel="00000000" w:rsidP="00000000" w:rsidRDefault="00000000" w:rsidRPr="00000000" w14:paraId="000000A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(3) </w:t>
            </w:r>
          </w:p>
        </w:tc>
        <w:tc>
          <w:tcPr>
            <w:shd w:fill="auto" w:val="clear"/>
          </w:tcPr>
          <w:p w:rsidR="00000000" w:rsidDel="00000000" w:rsidP="00000000" w:rsidRDefault="00000000" w:rsidRPr="00000000" w14:paraId="000000A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511443.27 </w:t>
            </w:r>
          </w:p>
        </w:tc>
        <w:tc>
          <w:tcPr>
            <w:shd w:fill="auto" w:val="clear"/>
          </w:tcPr>
          <w:p w:rsidR="00000000" w:rsidDel="00000000" w:rsidP="00000000" w:rsidRDefault="00000000" w:rsidRPr="00000000" w14:paraId="000000A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329.30 </w:t>
            </w:r>
          </w:p>
        </w:tc>
        <w:tc>
          <w:tcPr>
            <w:shd w:fill="auto" w:val="clear"/>
          </w:tcPr>
          <w:p w:rsidR="00000000" w:rsidDel="00000000" w:rsidP="00000000" w:rsidRDefault="00000000" w:rsidRPr="00000000" w14:paraId="000000A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86.05 </w:t>
            </w:r>
          </w:p>
        </w:tc>
        <w:tc>
          <w:tcPr>
            <w:shd w:fill="auto" w:val="clear"/>
          </w:tcPr>
          <w:p w:rsidR="00000000" w:rsidDel="00000000" w:rsidP="00000000" w:rsidRDefault="00000000" w:rsidRPr="00000000" w14:paraId="000000B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1528.39 </w:t>
            </w:r>
          </w:p>
        </w:tc>
      </w:tr>
      <w:tr>
        <w:trPr>
          <w:cantSplit w:val="0"/>
          <w:trHeight w:val="300" w:hRule="atLeast"/>
          <w:tblHeader w:val="0"/>
        </w:trPr>
        <w:tc>
          <w:tcPr>
            <w:shd w:fill="auto" w:val="clear"/>
          </w:tcPr>
          <w:p w:rsidR="00000000" w:rsidDel="00000000" w:rsidP="00000000" w:rsidRDefault="00000000" w:rsidRPr="00000000" w14:paraId="000000B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Sup-Epidemic, top-ranked (4) </w:t>
            </w:r>
          </w:p>
        </w:tc>
        <w:tc>
          <w:tcPr>
            <w:shd w:fill="auto" w:val="clear"/>
          </w:tcPr>
          <w:p w:rsidR="00000000" w:rsidDel="00000000" w:rsidP="00000000" w:rsidRDefault="00000000" w:rsidRPr="00000000" w14:paraId="000000B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194866.20 </w:t>
            </w:r>
          </w:p>
        </w:tc>
        <w:tc>
          <w:tcPr>
            <w:shd w:fill="auto" w:val="clear"/>
          </w:tcPr>
          <w:p w:rsidR="00000000" w:rsidDel="00000000" w:rsidP="00000000" w:rsidRDefault="00000000" w:rsidRPr="00000000" w14:paraId="000000B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224.43 </w:t>
            </w:r>
          </w:p>
        </w:tc>
        <w:tc>
          <w:tcPr>
            <w:shd w:fill="auto" w:val="clear"/>
          </w:tcPr>
          <w:p w:rsidR="00000000" w:rsidDel="00000000" w:rsidP="00000000" w:rsidRDefault="00000000" w:rsidRPr="00000000" w14:paraId="000000B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90.68</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B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171.76 </w:t>
            </w:r>
          </w:p>
        </w:tc>
      </w:tr>
      <w:tr>
        <w:trPr>
          <w:cantSplit w:val="0"/>
          <w:trHeight w:val="300" w:hRule="atLeast"/>
          <w:tblHeader w:val="0"/>
        </w:trPr>
        <w:tc>
          <w:tcPr>
            <w:shd w:fill="auto" w:val="clear"/>
          </w:tcPr>
          <w:p w:rsidR="00000000" w:rsidDel="00000000" w:rsidP="00000000" w:rsidRDefault="00000000" w:rsidRPr="00000000" w14:paraId="000000B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(2) </w:t>
            </w:r>
          </w:p>
        </w:tc>
        <w:tc>
          <w:tcPr>
            <w:shd w:fill="auto" w:val="clear"/>
          </w:tcPr>
          <w:p w:rsidR="00000000" w:rsidDel="00000000" w:rsidP="00000000" w:rsidRDefault="00000000" w:rsidRPr="00000000" w14:paraId="000000B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177373.55 </w:t>
            </w:r>
          </w:p>
        </w:tc>
        <w:tc>
          <w:tcPr>
            <w:shd w:fill="auto" w:val="clear"/>
          </w:tcPr>
          <w:p w:rsidR="00000000" w:rsidDel="00000000" w:rsidP="00000000" w:rsidRDefault="00000000" w:rsidRPr="00000000" w14:paraId="000000B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226.22 </w:t>
            </w:r>
          </w:p>
        </w:tc>
        <w:tc>
          <w:tcPr>
            <w:shd w:fill="auto" w:val="clear"/>
          </w:tcPr>
          <w:p w:rsidR="00000000" w:rsidDel="00000000" w:rsidP="00000000" w:rsidRDefault="00000000" w:rsidRPr="00000000" w14:paraId="000000B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72.09 </w:t>
            </w:r>
          </w:p>
        </w:tc>
        <w:tc>
          <w:tcPr>
            <w:shd w:fill="auto" w:val="clear"/>
          </w:tcPr>
          <w:p w:rsidR="00000000" w:rsidDel="00000000" w:rsidP="00000000" w:rsidRDefault="00000000" w:rsidRPr="00000000" w14:paraId="000000B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160.82 </w:t>
            </w:r>
          </w:p>
        </w:tc>
      </w:tr>
      <w:tr>
        <w:trPr>
          <w:cantSplit w:val="0"/>
          <w:trHeight w:val="300" w:hRule="atLeast"/>
          <w:tblHeader w:val="0"/>
        </w:trPr>
        <w:tc>
          <w:tcPr>
            <w:shd w:fill="auto" w:val="clear"/>
          </w:tcPr>
          <w:p w:rsidR="00000000" w:rsidDel="00000000" w:rsidP="00000000" w:rsidRDefault="00000000" w:rsidRPr="00000000" w14:paraId="000000B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(3) </w:t>
            </w:r>
          </w:p>
        </w:tc>
        <w:tc>
          <w:tcPr>
            <w:shd w:fill="auto" w:val="clear"/>
          </w:tcPr>
          <w:p w:rsidR="00000000" w:rsidDel="00000000" w:rsidP="00000000" w:rsidRDefault="00000000" w:rsidRPr="00000000" w14:paraId="000000B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177373.55 </w:t>
            </w:r>
          </w:p>
        </w:tc>
        <w:tc>
          <w:tcPr>
            <w:shd w:fill="auto" w:val="clear"/>
          </w:tcPr>
          <w:p w:rsidR="00000000" w:rsidDel="00000000" w:rsidP="00000000" w:rsidRDefault="00000000" w:rsidRPr="00000000" w14:paraId="000000B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226.22 </w:t>
            </w:r>
          </w:p>
        </w:tc>
        <w:tc>
          <w:tcPr>
            <w:shd w:fill="auto" w:val="clear"/>
          </w:tcPr>
          <w:p w:rsidR="00000000" w:rsidDel="00000000" w:rsidP="00000000" w:rsidRDefault="00000000" w:rsidRPr="00000000" w14:paraId="000000B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72.09 </w:t>
            </w:r>
          </w:p>
        </w:tc>
        <w:tc>
          <w:tcPr>
            <w:shd w:fill="auto" w:val="clear"/>
          </w:tcPr>
          <w:p w:rsidR="00000000" w:rsidDel="00000000" w:rsidP="00000000" w:rsidRDefault="00000000" w:rsidRPr="00000000" w14:paraId="000000B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160.82 </w:t>
            </w:r>
          </w:p>
        </w:tc>
      </w:tr>
      <w:tr>
        <w:trPr>
          <w:cantSplit w:val="0"/>
          <w:trHeight w:val="300" w:hRule="atLeast"/>
          <w:tblHeader w:val="0"/>
        </w:trPr>
        <w:tc>
          <w:tcPr>
            <w:shd w:fill="auto" w:val="clear"/>
          </w:tcPr>
          <w:p w:rsidR="00000000" w:rsidDel="00000000" w:rsidP="00000000" w:rsidRDefault="00000000" w:rsidRPr="00000000" w14:paraId="000000C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(4) </w:t>
            </w:r>
          </w:p>
        </w:tc>
        <w:tc>
          <w:tcPr>
            <w:shd w:fill="auto" w:val="clear"/>
          </w:tcPr>
          <w:p w:rsidR="00000000" w:rsidDel="00000000" w:rsidP="00000000" w:rsidRDefault="00000000" w:rsidRPr="00000000" w14:paraId="000000C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177373.55 </w:t>
            </w:r>
          </w:p>
        </w:tc>
        <w:tc>
          <w:tcPr>
            <w:shd w:fill="auto" w:val="clear"/>
          </w:tcPr>
          <w:p w:rsidR="00000000" w:rsidDel="00000000" w:rsidP="00000000" w:rsidRDefault="00000000" w:rsidRPr="00000000" w14:paraId="000000C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226.21 </w:t>
            </w:r>
          </w:p>
        </w:tc>
        <w:tc>
          <w:tcPr>
            <w:shd w:fill="auto" w:val="clear"/>
          </w:tcPr>
          <w:p w:rsidR="00000000" w:rsidDel="00000000" w:rsidP="00000000" w:rsidRDefault="00000000" w:rsidRPr="00000000" w14:paraId="000000C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72.09 </w:t>
            </w:r>
          </w:p>
        </w:tc>
        <w:tc>
          <w:tcPr>
            <w:shd w:fill="auto" w:val="clear"/>
          </w:tcPr>
          <w:p w:rsidR="00000000" w:rsidDel="00000000" w:rsidP="00000000" w:rsidRDefault="00000000" w:rsidRPr="00000000" w14:paraId="000000C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160.82 </w:t>
            </w:r>
          </w:p>
        </w:tc>
      </w:tr>
      <w:tr>
        <w:trPr>
          <w:cantSplit w:val="0"/>
          <w:trHeight w:val="300" w:hRule="atLeast"/>
          <w:tblHeader w:val="0"/>
        </w:trPr>
        <w:tc>
          <w:tcPr>
            <w:shd w:fill="auto" w:val="clear"/>
          </w:tcPr>
          <w:p w:rsidR="00000000" w:rsidDel="00000000" w:rsidP="00000000" w:rsidRDefault="00000000" w:rsidRPr="00000000" w14:paraId="000000C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Simple Linear Regression </w:t>
            </w:r>
          </w:p>
        </w:tc>
        <w:tc>
          <w:tcPr>
            <w:shd w:fill="auto" w:val="clear"/>
          </w:tcPr>
          <w:p w:rsidR="00000000" w:rsidDel="00000000" w:rsidP="00000000" w:rsidRDefault="00000000" w:rsidRPr="00000000" w14:paraId="000000C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95618.72 </w:t>
            </w:r>
          </w:p>
        </w:tc>
        <w:tc>
          <w:tcPr>
            <w:shd w:fill="auto" w:val="clear"/>
          </w:tcPr>
          <w:p w:rsidR="00000000" w:rsidDel="00000000" w:rsidP="00000000" w:rsidRDefault="00000000" w:rsidRPr="00000000" w14:paraId="000000C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244.80 </w:t>
            </w:r>
          </w:p>
        </w:tc>
        <w:tc>
          <w:tcPr>
            <w:shd w:fill="auto" w:val="clear"/>
          </w:tcPr>
          <w:p w:rsidR="00000000" w:rsidDel="00000000" w:rsidP="00000000" w:rsidRDefault="00000000" w:rsidRPr="00000000" w14:paraId="000000C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30.23 </w:t>
            </w:r>
          </w:p>
        </w:tc>
        <w:tc>
          <w:tcPr>
            <w:shd w:fill="auto" w:val="clear"/>
          </w:tcPr>
          <w:p w:rsidR="00000000" w:rsidDel="00000000" w:rsidP="00000000" w:rsidRDefault="00000000" w:rsidRPr="00000000" w14:paraId="000000C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195.47 </w:t>
            </w:r>
          </w:p>
        </w:tc>
      </w:tr>
      <w:tr>
        <w:trPr>
          <w:cantSplit w:val="0"/>
          <w:trHeight w:val="300" w:hRule="atLeast"/>
          <w:tblHeader w:val="0"/>
        </w:trPr>
        <w:tc>
          <w:tcPr>
            <w:shd w:fill="auto" w:val="clear"/>
          </w:tcPr>
          <w:p w:rsidR="00000000" w:rsidDel="00000000" w:rsidP="00000000" w:rsidRDefault="00000000" w:rsidRPr="00000000" w14:paraId="000000C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 </w:t>
            </w:r>
          </w:p>
        </w:tc>
        <w:tc>
          <w:tcPr>
            <w:shd w:fill="auto" w:val="clear"/>
          </w:tcPr>
          <w:p w:rsidR="00000000" w:rsidDel="00000000" w:rsidP="00000000" w:rsidRDefault="00000000" w:rsidRPr="00000000" w14:paraId="000000C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184286.04 </w:t>
            </w:r>
          </w:p>
        </w:tc>
        <w:tc>
          <w:tcPr>
            <w:shd w:fill="auto" w:val="clear"/>
          </w:tcPr>
          <w:p w:rsidR="00000000" w:rsidDel="00000000" w:rsidP="00000000" w:rsidRDefault="00000000" w:rsidRPr="00000000" w14:paraId="000000C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199.09 </w:t>
            </w:r>
          </w:p>
        </w:tc>
        <w:tc>
          <w:tcPr>
            <w:shd w:fill="auto" w:val="clear"/>
          </w:tcPr>
          <w:p w:rsidR="00000000" w:rsidDel="00000000" w:rsidP="00000000" w:rsidRDefault="00000000" w:rsidRPr="00000000" w14:paraId="000000C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72.09 </w:t>
            </w:r>
          </w:p>
        </w:tc>
        <w:tc>
          <w:tcPr>
            <w:shd w:fill="auto" w:val="clear"/>
          </w:tcPr>
          <w:p w:rsidR="00000000" w:rsidDel="00000000" w:rsidP="00000000" w:rsidRDefault="00000000" w:rsidRPr="00000000" w14:paraId="000000C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157.00 </w:t>
            </w:r>
          </w:p>
        </w:tc>
      </w:tr>
      <w:tr>
        <w:trPr>
          <w:cantSplit w:val="0"/>
          <w:trHeight w:val="300" w:hRule="atLeast"/>
          <w:tblHeader w:val="0"/>
        </w:trPr>
        <w:tc>
          <w:tcPr>
            <w:shd w:fill="auto" w:val="clear"/>
          </w:tcPr>
          <w:p w:rsidR="00000000" w:rsidDel="00000000" w:rsidP="00000000" w:rsidRDefault="00000000" w:rsidRPr="00000000" w14:paraId="000000C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ARIMA </w:t>
            </w:r>
          </w:p>
        </w:tc>
        <w:tc>
          <w:tcPr>
            <w:shd w:fill="auto" w:val="clear"/>
          </w:tcPr>
          <w:p w:rsidR="00000000" w:rsidDel="00000000" w:rsidP="00000000" w:rsidRDefault="00000000" w:rsidRPr="00000000" w14:paraId="000000D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60876.37</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D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156.89</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D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74.42 </w:t>
            </w:r>
          </w:p>
        </w:tc>
        <w:tc>
          <w:tcPr>
            <w:shd w:fill="auto" w:val="clear"/>
          </w:tcPr>
          <w:p w:rsidR="00000000" w:rsidDel="00000000" w:rsidP="00000000" w:rsidRDefault="00000000" w:rsidRPr="00000000" w14:paraId="000000D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109.71</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forecasting performance metrics for all the models across 44 dates using retrospective weekly sequential 2 weeks ahead forecast period of the weekly time series of Covid-19 deaths in France starting from the week of March 4, 2021, to the week of March 5, 2022. Overall, the best-performing model according to this table was the ARIMA model. The values for the percentage coverage of the 90% prediction interval of the higher coverage range between 64% to 85% with the lowest coverage being around 26%, the simple linear regression model. The Sub-epidemic top-ranked (3) model had the best coverage value. Values in bold correspond to the best performance metrics.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2"/>
          <w:szCs w:val="22"/>
        </w:rPr>
      </w:pPr>
      <w:r w:rsidDel="00000000" w:rsidR="00000000" w:rsidRPr="00000000">
        <w:rPr>
          <w:rtl w:val="0"/>
        </w:rPr>
      </w:r>
    </w:p>
    <w:tbl>
      <w:tblPr>
        <w:tblStyle w:val="Table2"/>
        <w:tblW w:w="9175.0" w:type="dxa"/>
        <w:jc w:val="left"/>
        <w:tblLayout w:type="fixed"/>
        <w:tblLook w:val="0400"/>
      </w:tblPr>
      <w:tblGrid>
        <w:gridCol w:w="1113"/>
        <w:gridCol w:w="2032"/>
        <w:gridCol w:w="1890"/>
        <w:gridCol w:w="2070"/>
        <w:gridCol w:w="2070"/>
        <w:tblGridChange w:id="0">
          <w:tblGrid>
            <w:gridCol w:w="1113"/>
            <w:gridCol w:w="2032"/>
            <w:gridCol w:w="1890"/>
            <w:gridCol w:w="2070"/>
            <w:gridCol w:w="2070"/>
          </w:tblGrid>
        </w:tblGridChange>
      </w:tblGrid>
      <w:tr>
        <w:trPr>
          <w:cantSplit w:val="0"/>
          <w:trHeight w:val="300" w:hRule="atLeast"/>
          <w:tblHeader w:val="0"/>
        </w:trPr>
        <w:tc>
          <w:tcPr>
            <w:shd w:fill="auto" w:val="clear"/>
          </w:tcPr>
          <w:p w:rsidR="00000000" w:rsidDel="00000000" w:rsidP="00000000" w:rsidRDefault="00000000" w:rsidRPr="00000000" w14:paraId="000000D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w:t>
            </w:r>
          </w:p>
        </w:tc>
        <w:tc>
          <w:tcPr>
            <w:shd w:fill="auto" w:val="clear"/>
          </w:tcPr>
          <w:p w:rsidR="00000000" w:rsidDel="00000000" w:rsidP="00000000" w:rsidRDefault="00000000" w:rsidRPr="00000000" w14:paraId="000000D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squared error (MSE) </w:t>
            </w:r>
          </w:p>
        </w:tc>
        <w:tc>
          <w:tcPr>
            <w:shd w:fill="auto" w:val="clear"/>
          </w:tcPr>
          <w:p w:rsidR="00000000" w:rsidDel="00000000" w:rsidP="00000000" w:rsidRDefault="00000000" w:rsidRPr="00000000" w14:paraId="000000D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absolute error (MAE) </w:t>
            </w:r>
          </w:p>
        </w:tc>
        <w:tc>
          <w:tcPr>
            <w:shd w:fill="auto" w:val="clear"/>
          </w:tcPr>
          <w:p w:rsidR="00000000" w:rsidDel="00000000" w:rsidP="00000000" w:rsidRDefault="00000000" w:rsidRPr="00000000" w14:paraId="000000D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Percentage coverage of the 95% prediction interval </w:t>
            </w:r>
          </w:p>
        </w:tc>
        <w:tc>
          <w:tcPr>
            <w:shd w:fill="auto" w:val="clear"/>
          </w:tcPr>
          <w:p w:rsidR="00000000" w:rsidDel="00000000" w:rsidP="00000000" w:rsidRDefault="00000000" w:rsidRPr="00000000" w14:paraId="000000D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Weighted interval score (WIS) </w:t>
            </w:r>
          </w:p>
        </w:tc>
      </w:tr>
      <w:tr>
        <w:trPr>
          <w:cantSplit w:val="0"/>
          <w:trHeight w:val="300" w:hRule="atLeast"/>
          <w:tblHeader w:val="0"/>
        </w:trPr>
        <w:tc>
          <w:tcPr>
            <w:shd w:fill="auto" w:val="clear"/>
          </w:tcPr>
          <w:p w:rsidR="00000000" w:rsidDel="00000000" w:rsidP="00000000" w:rsidRDefault="00000000" w:rsidRPr="00000000" w14:paraId="000000E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2 weeks ahead</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E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E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E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E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300" w:hRule="atLeast"/>
          <w:tblHeader w:val="0"/>
        </w:trPr>
        <w:tc>
          <w:tcPr>
            <w:shd w:fill="auto" w:val="clear"/>
          </w:tcPr>
          <w:p w:rsidR="00000000" w:rsidDel="00000000" w:rsidP="00000000" w:rsidRDefault="00000000" w:rsidRPr="00000000" w14:paraId="000000E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(1) </w:t>
            </w:r>
          </w:p>
        </w:tc>
        <w:tc>
          <w:tcPr>
            <w:shd w:fill="auto" w:val="clear"/>
          </w:tcPr>
          <w:p w:rsidR="00000000" w:rsidDel="00000000" w:rsidP="00000000" w:rsidRDefault="00000000" w:rsidRPr="00000000" w14:paraId="000000E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211759.86 </w:t>
            </w:r>
          </w:p>
        </w:tc>
        <w:tc>
          <w:tcPr>
            <w:shd w:fill="auto" w:val="clear"/>
          </w:tcPr>
          <w:p w:rsidR="00000000" w:rsidDel="00000000" w:rsidP="00000000" w:rsidRDefault="00000000" w:rsidRPr="00000000" w14:paraId="000000E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263.59 </w:t>
            </w:r>
          </w:p>
        </w:tc>
        <w:tc>
          <w:tcPr>
            <w:shd w:fill="auto" w:val="clear"/>
          </w:tcPr>
          <w:p w:rsidR="00000000" w:rsidDel="00000000" w:rsidP="00000000" w:rsidRDefault="00000000" w:rsidRPr="00000000" w14:paraId="000000E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64.29 </w:t>
            </w:r>
          </w:p>
        </w:tc>
        <w:tc>
          <w:tcPr>
            <w:shd w:fill="auto" w:val="clear"/>
          </w:tcPr>
          <w:p w:rsidR="00000000" w:rsidDel="00000000" w:rsidP="00000000" w:rsidRDefault="00000000" w:rsidRPr="00000000" w14:paraId="000000E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190.54 </w:t>
            </w:r>
          </w:p>
        </w:tc>
      </w:tr>
      <w:tr>
        <w:trPr>
          <w:cantSplit w:val="0"/>
          <w:trHeight w:val="300" w:hRule="atLeast"/>
          <w:tblHeader w:val="0"/>
        </w:trPr>
        <w:tc>
          <w:tcPr>
            <w:shd w:fill="auto" w:val="clear"/>
          </w:tcPr>
          <w:p w:rsidR="00000000" w:rsidDel="00000000" w:rsidP="00000000" w:rsidRDefault="00000000" w:rsidRPr="00000000" w14:paraId="000000E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(2) </w:t>
            </w:r>
          </w:p>
        </w:tc>
        <w:tc>
          <w:tcPr>
            <w:shd w:fill="auto" w:val="clear"/>
          </w:tcPr>
          <w:p w:rsidR="00000000" w:rsidDel="00000000" w:rsidP="00000000" w:rsidRDefault="00000000" w:rsidRPr="00000000" w14:paraId="000000E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38612413.37 </w:t>
            </w:r>
          </w:p>
        </w:tc>
        <w:tc>
          <w:tcPr>
            <w:shd w:fill="auto" w:val="clear"/>
          </w:tcPr>
          <w:p w:rsidR="00000000" w:rsidDel="00000000" w:rsidP="00000000" w:rsidRDefault="00000000" w:rsidRPr="00000000" w14:paraId="000000E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1339.31 </w:t>
            </w:r>
          </w:p>
        </w:tc>
        <w:tc>
          <w:tcPr>
            <w:shd w:fill="auto" w:val="clear"/>
          </w:tcPr>
          <w:p w:rsidR="00000000" w:rsidDel="00000000" w:rsidP="00000000" w:rsidRDefault="00000000" w:rsidRPr="00000000" w14:paraId="000000E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78.57 </w:t>
            </w:r>
          </w:p>
        </w:tc>
        <w:tc>
          <w:tcPr>
            <w:shd w:fill="auto" w:val="clear"/>
          </w:tcPr>
          <w:p w:rsidR="00000000" w:rsidDel="00000000" w:rsidP="00000000" w:rsidRDefault="00000000" w:rsidRPr="00000000" w14:paraId="000000E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1114.14 </w:t>
            </w:r>
          </w:p>
        </w:tc>
      </w:tr>
      <w:tr>
        <w:trPr>
          <w:cantSplit w:val="0"/>
          <w:trHeight w:val="300" w:hRule="atLeast"/>
          <w:tblHeader w:val="0"/>
        </w:trPr>
        <w:tc>
          <w:tcPr>
            <w:shd w:fill="auto" w:val="clear"/>
          </w:tcPr>
          <w:p w:rsidR="00000000" w:rsidDel="00000000" w:rsidP="00000000" w:rsidRDefault="00000000" w:rsidRPr="00000000" w14:paraId="000000E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(3) </w:t>
            </w:r>
          </w:p>
        </w:tc>
        <w:tc>
          <w:tcPr>
            <w:shd w:fill="auto" w:val="clear"/>
          </w:tcPr>
          <w:p w:rsidR="00000000" w:rsidDel="00000000" w:rsidP="00000000" w:rsidRDefault="00000000" w:rsidRPr="00000000" w14:paraId="000000F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565909.04 </w:t>
            </w:r>
          </w:p>
        </w:tc>
        <w:tc>
          <w:tcPr>
            <w:shd w:fill="auto" w:val="clear"/>
          </w:tcPr>
          <w:p w:rsidR="00000000" w:rsidDel="00000000" w:rsidP="00000000" w:rsidRDefault="00000000" w:rsidRPr="00000000" w14:paraId="000000F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383.97 </w:t>
            </w:r>
          </w:p>
        </w:tc>
        <w:tc>
          <w:tcPr>
            <w:shd w:fill="auto" w:val="clear"/>
          </w:tcPr>
          <w:p w:rsidR="00000000" w:rsidDel="00000000" w:rsidP="00000000" w:rsidRDefault="00000000" w:rsidRPr="00000000" w14:paraId="000000F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85.71</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0F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1733.14 </w:t>
            </w:r>
          </w:p>
        </w:tc>
      </w:tr>
      <w:tr>
        <w:trPr>
          <w:cantSplit w:val="0"/>
          <w:trHeight w:val="300" w:hRule="atLeast"/>
          <w:tblHeader w:val="0"/>
        </w:trPr>
        <w:tc>
          <w:tcPr>
            <w:shd w:fill="auto" w:val="clear"/>
          </w:tcPr>
          <w:p w:rsidR="00000000" w:rsidDel="00000000" w:rsidP="00000000" w:rsidRDefault="00000000" w:rsidRPr="00000000" w14:paraId="000000F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Sup-Epidemic, top-ranked (4) </w:t>
            </w:r>
          </w:p>
        </w:tc>
        <w:tc>
          <w:tcPr>
            <w:shd w:fill="auto" w:val="clear"/>
          </w:tcPr>
          <w:p w:rsidR="00000000" w:rsidDel="00000000" w:rsidP="00000000" w:rsidRDefault="00000000" w:rsidRPr="00000000" w14:paraId="000000F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380440.74 </w:t>
            </w:r>
          </w:p>
        </w:tc>
        <w:tc>
          <w:tcPr>
            <w:shd w:fill="auto" w:val="clear"/>
          </w:tcPr>
          <w:p w:rsidR="00000000" w:rsidDel="00000000" w:rsidP="00000000" w:rsidRDefault="00000000" w:rsidRPr="00000000" w14:paraId="000000F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303.30 </w:t>
            </w:r>
          </w:p>
        </w:tc>
        <w:tc>
          <w:tcPr>
            <w:shd w:fill="auto" w:val="clear"/>
          </w:tcPr>
          <w:p w:rsidR="00000000" w:rsidDel="00000000" w:rsidP="00000000" w:rsidRDefault="00000000" w:rsidRPr="00000000" w14:paraId="000000F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83.33 </w:t>
            </w:r>
          </w:p>
        </w:tc>
        <w:tc>
          <w:tcPr>
            <w:shd w:fill="auto" w:val="clear"/>
          </w:tcPr>
          <w:p w:rsidR="00000000" w:rsidDel="00000000" w:rsidP="00000000" w:rsidRDefault="00000000" w:rsidRPr="00000000" w14:paraId="000000F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231.85 </w:t>
            </w:r>
          </w:p>
        </w:tc>
      </w:tr>
      <w:tr>
        <w:trPr>
          <w:cantSplit w:val="0"/>
          <w:trHeight w:val="300" w:hRule="atLeast"/>
          <w:tblHeader w:val="0"/>
        </w:trPr>
        <w:tc>
          <w:tcPr>
            <w:shd w:fill="auto" w:val="clear"/>
          </w:tcPr>
          <w:p w:rsidR="00000000" w:rsidDel="00000000" w:rsidP="00000000" w:rsidRDefault="00000000" w:rsidRPr="00000000" w14:paraId="000000F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(2) </w:t>
            </w:r>
          </w:p>
        </w:tc>
        <w:tc>
          <w:tcPr>
            <w:shd w:fill="auto" w:val="clear"/>
          </w:tcPr>
          <w:p w:rsidR="00000000" w:rsidDel="00000000" w:rsidP="00000000" w:rsidRDefault="00000000" w:rsidRPr="00000000" w14:paraId="000000F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211759.86 </w:t>
            </w:r>
          </w:p>
        </w:tc>
        <w:tc>
          <w:tcPr>
            <w:shd w:fill="auto" w:val="clear"/>
          </w:tcPr>
          <w:p w:rsidR="00000000" w:rsidDel="00000000" w:rsidP="00000000" w:rsidRDefault="00000000" w:rsidRPr="00000000" w14:paraId="000000F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263.59 </w:t>
            </w:r>
          </w:p>
        </w:tc>
        <w:tc>
          <w:tcPr>
            <w:shd w:fill="auto" w:val="clear"/>
          </w:tcPr>
          <w:p w:rsidR="00000000" w:rsidDel="00000000" w:rsidP="00000000" w:rsidRDefault="00000000" w:rsidRPr="00000000" w14:paraId="000000F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64.29 </w:t>
            </w:r>
          </w:p>
        </w:tc>
        <w:tc>
          <w:tcPr>
            <w:shd w:fill="auto" w:val="clear"/>
          </w:tcPr>
          <w:p w:rsidR="00000000" w:rsidDel="00000000" w:rsidP="00000000" w:rsidRDefault="00000000" w:rsidRPr="00000000" w14:paraId="000000F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190.54 </w:t>
            </w:r>
          </w:p>
        </w:tc>
      </w:tr>
      <w:tr>
        <w:trPr>
          <w:cantSplit w:val="0"/>
          <w:trHeight w:val="300" w:hRule="atLeast"/>
          <w:tblHeader w:val="0"/>
        </w:trPr>
        <w:tc>
          <w:tcPr>
            <w:shd w:fill="auto" w:val="clear"/>
          </w:tcPr>
          <w:p w:rsidR="00000000" w:rsidDel="00000000" w:rsidP="00000000" w:rsidRDefault="00000000" w:rsidRPr="00000000" w14:paraId="000000F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(3) </w:t>
            </w:r>
          </w:p>
        </w:tc>
        <w:tc>
          <w:tcPr>
            <w:shd w:fill="auto" w:val="clear"/>
          </w:tcPr>
          <w:p w:rsidR="00000000" w:rsidDel="00000000" w:rsidP="00000000" w:rsidRDefault="00000000" w:rsidRPr="00000000" w14:paraId="000000F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211759.86 </w:t>
            </w:r>
          </w:p>
        </w:tc>
        <w:tc>
          <w:tcPr>
            <w:shd w:fill="auto" w:val="clear"/>
          </w:tcPr>
          <w:p w:rsidR="00000000" w:rsidDel="00000000" w:rsidP="00000000" w:rsidRDefault="00000000" w:rsidRPr="00000000" w14:paraId="0000010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263.59 </w:t>
            </w:r>
          </w:p>
        </w:tc>
        <w:tc>
          <w:tcPr>
            <w:shd w:fill="auto" w:val="clear"/>
          </w:tcPr>
          <w:p w:rsidR="00000000" w:rsidDel="00000000" w:rsidP="00000000" w:rsidRDefault="00000000" w:rsidRPr="00000000" w14:paraId="0000010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64.29 </w:t>
            </w:r>
          </w:p>
        </w:tc>
        <w:tc>
          <w:tcPr>
            <w:shd w:fill="auto" w:val="clear"/>
          </w:tcPr>
          <w:p w:rsidR="00000000" w:rsidDel="00000000" w:rsidP="00000000" w:rsidRDefault="00000000" w:rsidRPr="00000000" w14:paraId="0000010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190.54 </w:t>
            </w:r>
          </w:p>
        </w:tc>
      </w:tr>
      <w:tr>
        <w:trPr>
          <w:cantSplit w:val="0"/>
          <w:trHeight w:val="863" w:hRule="atLeast"/>
          <w:tblHeader w:val="0"/>
        </w:trPr>
        <w:tc>
          <w:tcPr>
            <w:shd w:fill="auto" w:val="clear"/>
          </w:tcPr>
          <w:p w:rsidR="00000000" w:rsidDel="00000000" w:rsidP="00000000" w:rsidRDefault="00000000" w:rsidRPr="00000000" w14:paraId="0000010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(4) </w:t>
            </w:r>
          </w:p>
        </w:tc>
        <w:tc>
          <w:tcPr>
            <w:shd w:fill="auto" w:val="clear"/>
          </w:tcPr>
          <w:p w:rsidR="00000000" w:rsidDel="00000000" w:rsidP="00000000" w:rsidRDefault="00000000" w:rsidRPr="00000000" w14:paraId="0000010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211759.86 </w:t>
            </w:r>
          </w:p>
        </w:tc>
        <w:tc>
          <w:tcPr>
            <w:shd w:fill="auto" w:val="clear"/>
          </w:tcPr>
          <w:p w:rsidR="00000000" w:rsidDel="00000000" w:rsidP="00000000" w:rsidRDefault="00000000" w:rsidRPr="00000000" w14:paraId="0000010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263.59 </w:t>
            </w:r>
          </w:p>
        </w:tc>
        <w:tc>
          <w:tcPr>
            <w:shd w:fill="auto" w:val="clear"/>
          </w:tcPr>
          <w:p w:rsidR="00000000" w:rsidDel="00000000" w:rsidP="00000000" w:rsidRDefault="00000000" w:rsidRPr="00000000" w14:paraId="0000010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64.29 </w:t>
            </w:r>
          </w:p>
        </w:tc>
        <w:tc>
          <w:tcPr>
            <w:shd w:fill="auto" w:val="clear"/>
          </w:tcPr>
          <w:p w:rsidR="00000000" w:rsidDel="00000000" w:rsidP="00000000" w:rsidRDefault="00000000" w:rsidRPr="00000000" w14:paraId="0000010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190.54 </w:t>
            </w:r>
          </w:p>
        </w:tc>
      </w:tr>
      <w:tr>
        <w:trPr>
          <w:cantSplit w:val="0"/>
          <w:trHeight w:val="300" w:hRule="atLeast"/>
          <w:tblHeader w:val="0"/>
        </w:trPr>
        <w:tc>
          <w:tcPr>
            <w:shd w:fill="auto" w:val="clear"/>
          </w:tcPr>
          <w:p w:rsidR="00000000" w:rsidDel="00000000" w:rsidP="00000000" w:rsidRDefault="00000000" w:rsidRPr="00000000" w14:paraId="0000010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Simple Linear Regression </w:t>
            </w:r>
          </w:p>
        </w:tc>
        <w:tc>
          <w:tcPr>
            <w:shd w:fill="auto" w:val="clear"/>
          </w:tcPr>
          <w:p w:rsidR="00000000" w:rsidDel="00000000" w:rsidP="00000000" w:rsidRDefault="00000000" w:rsidRPr="00000000" w14:paraId="0000010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121956.32 </w:t>
            </w:r>
          </w:p>
        </w:tc>
        <w:tc>
          <w:tcPr>
            <w:shd w:fill="auto" w:val="clear"/>
          </w:tcPr>
          <w:p w:rsidR="00000000" w:rsidDel="00000000" w:rsidP="00000000" w:rsidRDefault="00000000" w:rsidRPr="00000000" w14:paraId="0000010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272.06 </w:t>
            </w:r>
          </w:p>
        </w:tc>
        <w:tc>
          <w:tcPr>
            <w:shd w:fill="auto" w:val="clear"/>
          </w:tcPr>
          <w:p w:rsidR="00000000" w:rsidDel="00000000" w:rsidP="00000000" w:rsidRDefault="00000000" w:rsidRPr="00000000" w14:paraId="0000010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26.19 </w:t>
            </w:r>
          </w:p>
        </w:tc>
        <w:tc>
          <w:tcPr>
            <w:shd w:fill="auto" w:val="clear"/>
          </w:tcPr>
          <w:p w:rsidR="00000000" w:rsidDel="00000000" w:rsidP="00000000" w:rsidRDefault="00000000" w:rsidRPr="00000000" w14:paraId="0000010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223.68 </w:t>
            </w:r>
          </w:p>
        </w:tc>
      </w:tr>
      <w:tr>
        <w:trPr>
          <w:cantSplit w:val="0"/>
          <w:trHeight w:val="300" w:hRule="atLeast"/>
          <w:tblHeader w:val="0"/>
        </w:trPr>
        <w:tc>
          <w:tcPr>
            <w:shd w:fill="auto" w:val="clear"/>
          </w:tcPr>
          <w:p w:rsidR="00000000" w:rsidDel="00000000" w:rsidP="00000000" w:rsidRDefault="00000000" w:rsidRPr="00000000" w14:paraId="0000010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 </w:t>
            </w:r>
          </w:p>
        </w:tc>
        <w:tc>
          <w:tcPr>
            <w:shd w:fill="auto" w:val="clear"/>
          </w:tcPr>
          <w:p w:rsidR="00000000" w:rsidDel="00000000" w:rsidP="00000000" w:rsidRDefault="00000000" w:rsidRPr="00000000" w14:paraId="0000010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197560.75 </w:t>
            </w:r>
          </w:p>
        </w:tc>
        <w:tc>
          <w:tcPr>
            <w:shd w:fill="auto" w:val="clear"/>
          </w:tcPr>
          <w:p w:rsidR="00000000" w:rsidDel="00000000" w:rsidP="00000000" w:rsidRDefault="00000000" w:rsidRPr="00000000" w14:paraId="0000010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217.52 </w:t>
            </w:r>
          </w:p>
        </w:tc>
        <w:tc>
          <w:tcPr>
            <w:shd w:fill="auto" w:val="clear"/>
          </w:tcPr>
          <w:p w:rsidR="00000000" w:rsidDel="00000000" w:rsidP="00000000" w:rsidRDefault="00000000" w:rsidRPr="00000000" w14:paraId="0000011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72.62 </w:t>
            </w:r>
          </w:p>
        </w:tc>
        <w:tc>
          <w:tcPr>
            <w:shd w:fill="auto" w:val="clear"/>
          </w:tcPr>
          <w:p w:rsidR="00000000" w:rsidDel="00000000" w:rsidP="00000000" w:rsidRDefault="00000000" w:rsidRPr="00000000" w14:paraId="0000011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170.59 </w:t>
            </w:r>
          </w:p>
        </w:tc>
      </w:tr>
      <w:tr>
        <w:trPr>
          <w:cantSplit w:val="0"/>
          <w:trHeight w:val="300" w:hRule="atLeast"/>
          <w:tblHeader w:val="0"/>
        </w:trPr>
        <w:tc>
          <w:tcPr>
            <w:shd w:fill="auto" w:val="clear"/>
          </w:tcPr>
          <w:p w:rsidR="00000000" w:rsidDel="00000000" w:rsidP="00000000" w:rsidRDefault="00000000" w:rsidRPr="00000000" w14:paraId="0000011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ARIMA </w:t>
            </w:r>
          </w:p>
        </w:tc>
        <w:tc>
          <w:tcPr>
            <w:shd w:fill="auto" w:val="clear"/>
          </w:tcPr>
          <w:p w:rsidR="00000000" w:rsidDel="00000000" w:rsidP="00000000" w:rsidRDefault="00000000" w:rsidRPr="00000000" w14:paraId="0000011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95556.95</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1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191.76</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1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75.00 </w:t>
            </w:r>
          </w:p>
        </w:tc>
        <w:tc>
          <w:tcPr>
            <w:shd w:fill="auto" w:val="clear"/>
          </w:tcPr>
          <w:p w:rsidR="00000000" w:rsidDel="00000000" w:rsidP="00000000" w:rsidRDefault="00000000" w:rsidRPr="00000000" w14:paraId="0000011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138.21</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 </w:t>
      </w:r>
      <w:r w:rsidDel="00000000" w:rsidR="00000000" w:rsidRPr="00000000">
        <w:rPr>
          <w:rFonts w:ascii="Times New Roman" w:cs="Times New Roman" w:eastAsia="Times New Roman" w:hAnsi="Times New Roman"/>
          <w:rtl w:val="0"/>
        </w:rPr>
        <w:t xml:space="preserve">Mean forecasting performance metrics for all the models across 44 dates using retrospective weekly sequential 3 weeks ahead forecast period of the weekly times series of Covid-19 deaths in France starting from the week of March 4, 2021, to the week of March 5, 2022. Overall, the best-performing model according to this table was the ARIMA model. The values for the percentage coverage of the 95% prediction interval of the higher coverage range between 60% to 79% with the lowest coverage being around 23%, the simple linear regression model. The Sub-epidemic top-ranked (3) model had the best coverage value. Values in bold correspond to the best performance metrics. </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tbl>
      <w:tblPr>
        <w:tblStyle w:val="Table3"/>
        <w:tblW w:w="9175.0" w:type="dxa"/>
        <w:jc w:val="left"/>
        <w:tblLayout w:type="fixed"/>
        <w:tblLook w:val="0400"/>
      </w:tblPr>
      <w:tblGrid>
        <w:gridCol w:w="1113"/>
        <w:gridCol w:w="2032"/>
        <w:gridCol w:w="2070"/>
        <w:gridCol w:w="1980"/>
        <w:gridCol w:w="1980"/>
        <w:tblGridChange w:id="0">
          <w:tblGrid>
            <w:gridCol w:w="1113"/>
            <w:gridCol w:w="2032"/>
            <w:gridCol w:w="2070"/>
            <w:gridCol w:w="1980"/>
            <w:gridCol w:w="1980"/>
          </w:tblGrid>
        </w:tblGridChange>
      </w:tblGrid>
      <w:tr>
        <w:trPr>
          <w:cantSplit w:val="0"/>
          <w:trHeight w:val="300" w:hRule="atLeast"/>
          <w:tblHeader w:val="0"/>
        </w:trPr>
        <w:tc>
          <w:tcPr>
            <w:shd w:fill="auto" w:val="clear"/>
          </w:tcPr>
          <w:p w:rsidR="00000000" w:rsidDel="00000000" w:rsidP="00000000" w:rsidRDefault="00000000" w:rsidRPr="00000000" w14:paraId="0000011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w:t>
            </w:r>
          </w:p>
        </w:tc>
        <w:tc>
          <w:tcPr>
            <w:shd w:fill="auto" w:val="clear"/>
          </w:tcPr>
          <w:p w:rsidR="00000000" w:rsidDel="00000000" w:rsidP="00000000" w:rsidRDefault="00000000" w:rsidRPr="00000000" w14:paraId="0000011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squared error (MSE) </w:t>
            </w:r>
          </w:p>
        </w:tc>
        <w:tc>
          <w:tcPr>
            <w:shd w:fill="auto" w:val="clear"/>
          </w:tcPr>
          <w:p w:rsidR="00000000" w:rsidDel="00000000" w:rsidP="00000000" w:rsidRDefault="00000000" w:rsidRPr="00000000" w14:paraId="0000011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absolute error (MAE) </w:t>
            </w:r>
          </w:p>
        </w:tc>
        <w:tc>
          <w:tcPr>
            <w:shd w:fill="auto" w:val="clear"/>
          </w:tcPr>
          <w:p w:rsidR="00000000" w:rsidDel="00000000" w:rsidP="00000000" w:rsidRDefault="00000000" w:rsidRPr="00000000" w14:paraId="0000011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Percentage coverage of the 95% prediction interval </w:t>
            </w:r>
          </w:p>
        </w:tc>
        <w:tc>
          <w:tcPr>
            <w:shd w:fill="auto" w:val="clear"/>
          </w:tcPr>
          <w:p w:rsidR="00000000" w:rsidDel="00000000" w:rsidP="00000000" w:rsidRDefault="00000000" w:rsidRPr="00000000" w14:paraId="0000012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Weighted interval score (WIS) </w:t>
            </w:r>
          </w:p>
        </w:tc>
      </w:tr>
      <w:tr>
        <w:trPr>
          <w:cantSplit w:val="0"/>
          <w:trHeight w:val="570" w:hRule="atLeast"/>
          <w:tblHeader w:val="0"/>
        </w:trPr>
        <w:tc>
          <w:tcPr>
            <w:shd w:fill="auto" w:val="clear"/>
          </w:tcPr>
          <w:p w:rsidR="00000000" w:rsidDel="00000000" w:rsidP="00000000" w:rsidRDefault="00000000" w:rsidRPr="00000000" w14:paraId="0000012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3 weeks ahead</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2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2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2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2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300" w:hRule="atLeast"/>
          <w:tblHeader w:val="0"/>
        </w:trPr>
        <w:tc>
          <w:tcPr>
            <w:shd w:fill="auto" w:val="clear"/>
          </w:tcPr>
          <w:p w:rsidR="00000000" w:rsidDel="00000000" w:rsidP="00000000" w:rsidRDefault="00000000" w:rsidRPr="00000000" w14:paraId="0000012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(1) </w:t>
            </w:r>
          </w:p>
        </w:tc>
        <w:tc>
          <w:tcPr>
            <w:shd w:fill="auto" w:val="clear"/>
          </w:tcPr>
          <w:p w:rsidR="00000000" w:rsidDel="00000000" w:rsidP="00000000" w:rsidRDefault="00000000" w:rsidRPr="00000000" w14:paraId="0000012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233449.72 </w:t>
            </w:r>
          </w:p>
        </w:tc>
        <w:tc>
          <w:tcPr>
            <w:shd w:fill="auto" w:val="clear"/>
          </w:tcPr>
          <w:p w:rsidR="00000000" w:rsidDel="00000000" w:rsidP="00000000" w:rsidRDefault="00000000" w:rsidRPr="00000000" w14:paraId="0000012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298.33 </w:t>
            </w:r>
          </w:p>
        </w:tc>
        <w:tc>
          <w:tcPr>
            <w:shd w:fill="auto" w:val="clear"/>
          </w:tcPr>
          <w:p w:rsidR="00000000" w:rsidDel="00000000" w:rsidP="00000000" w:rsidRDefault="00000000" w:rsidRPr="00000000" w14:paraId="0000012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60.98 </w:t>
            </w:r>
          </w:p>
        </w:tc>
        <w:tc>
          <w:tcPr>
            <w:shd w:fill="auto" w:val="clear"/>
          </w:tcPr>
          <w:p w:rsidR="00000000" w:rsidDel="00000000" w:rsidP="00000000" w:rsidRDefault="00000000" w:rsidRPr="00000000" w14:paraId="0000012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218.54 </w:t>
            </w:r>
          </w:p>
        </w:tc>
      </w:tr>
      <w:tr>
        <w:trPr>
          <w:cantSplit w:val="0"/>
          <w:trHeight w:val="750" w:hRule="atLeast"/>
          <w:tblHeader w:val="0"/>
        </w:trPr>
        <w:tc>
          <w:tcPr>
            <w:shd w:fill="auto" w:val="clear"/>
          </w:tcPr>
          <w:p w:rsidR="00000000" w:rsidDel="00000000" w:rsidP="00000000" w:rsidRDefault="00000000" w:rsidRPr="00000000" w14:paraId="0000012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(2) </w:t>
            </w:r>
          </w:p>
        </w:tc>
        <w:tc>
          <w:tcPr>
            <w:shd w:fill="auto" w:val="clear"/>
          </w:tcPr>
          <w:p w:rsidR="00000000" w:rsidDel="00000000" w:rsidP="00000000" w:rsidRDefault="00000000" w:rsidRPr="00000000" w14:paraId="0000012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72844746.76 </w:t>
            </w:r>
          </w:p>
        </w:tc>
        <w:tc>
          <w:tcPr>
            <w:shd w:fill="auto" w:val="clear"/>
          </w:tcPr>
          <w:p w:rsidR="00000000" w:rsidDel="00000000" w:rsidP="00000000" w:rsidRDefault="00000000" w:rsidRPr="00000000" w14:paraId="0000012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1695.84 </w:t>
            </w:r>
          </w:p>
        </w:tc>
        <w:tc>
          <w:tcPr>
            <w:shd w:fill="auto" w:val="clear"/>
          </w:tcPr>
          <w:p w:rsidR="00000000" w:rsidDel="00000000" w:rsidP="00000000" w:rsidRDefault="00000000" w:rsidRPr="00000000" w14:paraId="0000012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76.42 </w:t>
            </w:r>
          </w:p>
        </w:tc>
        <w:tc>
          <w:tcPr>
            <w:shd w:fill="auto" w:val="clear"/>
          </w:tcPr>
          <w:p w:rsidR="00000000" w:rsidDel="00000000" w:rsidP="00000000" w:rsidRDefault="00000000" w:rsidRPr="00000000" w14:paraId="0000012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1559.72 </w:t>
            </w:r>
          </w:p>
        </w:tc>
      </w:tr>
      <w:tr>
        <w:trPr>
          <w:cantSplit w:val="0"/>
          <w:trHeight w:val="300" w:hRule="atLeast"/>
          <w:tblHeader w:val="0"/>
        </w:trPr>
        <w:tc>
          <w:tcPr>
            <w:shd w:fill="auto" w:val="clear"/>
          </w:tcPr>
          <w:p w:rsidR="00000000" w:rsidDel="00000000" w:rsidP="00000000" w:rsidRDefault="00000000" w:rsidRPr="00000000" w14:paraId="0000013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(3) </w:t>
            </w:r>
          </w:p>
        </w:tc>
        <w:tc>
          <w:tcPr>
            <w:shd w:fill="auto" w:val="clear"/>
          </w:tcPr>
          <w:p w:rsidR="00000000" w:rsidDel="00000000" w:rsidP="00000000" w:rsidRDefault="00000000" w:rsidRPr="00000000" w14:paraId="0000013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537186.04 </w:t>
            </w:r>
          </w:p>
        </w:tc>
        <w:tc>
          <w:tcPr>
            <w:shd w:fill="auto" w:val="clear"/>
          </w:tcPr>
          <w:p w:rsidR="00000000" w:rsidDel="00000000" w:rsidP="00000000" w:rsidRDefault="00000000" w:rsidRPr="00000000" w14:paraId="0000013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393.87 </w:t>
            </w:r>
          </w:p>
        </w:tc>
        <w:tc>
          <w:tcPr>
            <w:shd w:fill="auto" w:val="clear"/>
          </w:tcPr>
          <w:p w:rsidR="00000000" w:rsidDel="00000000" w:rsidP="00000000" w:rsidRDefault="00000000" w:rsidRPr="00000000" w14:paraId="0000013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79.67</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3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2123.72 </w:t>
            </w:r>
          </w:p>
        </w:tc>
      </w:tr>
      <w:tr>
        <w:trPr>
          <w:cantSplit w:val="0"/>
          <w:trHeight w:val="300" w:hRule="atLeast"/>
          <w:tblHeader w:val="0"/>
        </w:trPr>
        <w:tc>
          <w:tcPr>
            <w:shd w:fill="auto" w:val="clear"/>
          </w:tcPr>
          <w:p w:rsidR="00000000" w:rsidDel="00000000" w:rsidP="00000000" w:rsidRDefault="00000000" w:rsidRPr="00000000" w14:paraId="0000013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Sup-Epidemic, top-ranked (4) </w:t>
            </w:r>
          </w:p>
        </w:tc>
        <w:tc>
          <w:tcPr>
            <w:shd w:fill="auto" w:val="clear"/>
          </w:tcPr>
          <w:p w:rsidR="00000000" w:rsidDel="00000000" w:rsidP="00000000" w:rsidRDefault="00000000" w:rsidRPr="00000000" w14:paraId="0000013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897203.30 </w:t>
            </w:r>
          </w:p>
        </w:tc>
        <w:tc>
          <w:tcPr>
            <w:shd w:fill="auto" w:val="clear"/>
          </w:tcPr>
          <w:p w:rsidR="00000000" w:rsidDel="00000000" w:rsidP="00000000" w:rsidRDefault="00000000" w:rsidRPr="00000000" w14:paraId="0000013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418.54 </w:t>
            </w:r>
          </w:p>
        </w:tc>
        <w:tc>
          <w:tcPr>
            <w:shd w:fill="auto" w:val="clear"/>
          </w:tcPr>
          <w:p w:rsidR="00000000" w:rsidDel="00000000" w:rsidP="00000000" w:rsidRDefault="00000000" w:rsidRPr="00000000" w14:paraId="0000013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78.05 </w:t>
            </w:r>
          </w:p>
        </w:tc>
        <w:tc>
          <w:tcPr>
            <w:shd w:fill="auto" w:val="clear"/>
          </w:tcPr>
          <w:p w:rsidR="00000000" w:rsidDel="00000000" w:rsidP="00000000" w:rsidRDefault="00000000" w:rsidRPr="00000000" w14:paraId="0000013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336.84 </w:t>
            </w:r>
          </w:p>
        </w:tc>
      </w:tr>
      <w:tr>
        <w:trPr>
          <w:cantSplit w:val="0"/>
          <w:trHeight w:val="300" w:hRule="atLeast"/>
          <w:tblHeader w:val="0"/>
        </w:trPr>
        <w:tc>
          <w:tcPr>
            <w:shd w:fill="auto" w:val="clear"/>
          </w:tcPr>
          <w:p w:rsidR="00000000" w:rsidDel="00000000" w:rsidP="00000000" w:rsidRDefault="00000000" w:rsidRPr="00000000" w14:paraId="0000013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(2) </w:t>
            </w:r>
          </w:p>
        </w:tc>
        <w:tc>
          <w:tcPr>
            <w:shd w:fill="auto" w:val="clear"/>
          </w:tcPr>
          <w:p w:rsidR="00000000" w:rsidDel="00000000" w:rsidP="00000000" w:rsidRDefault="00000000" w:rsidRPr="00000000" w14:paraId="0000013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233449.72 </w:t>
            </w:r>
          </w:p>
        </w:tc>
        <w:tc>
          <w:tcPr>
            <w:shd w:fill="auto" w:val="clear"/>
          </w:tcPr>
          <w:p w:rsidR="00000000" w:rsidDel="00000000" w:rsidP="00000000" w:rsidRDefault="00000000" w:rsidRPr="00000000" w14:paraId="0000013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298.33 </w:t>
            </w:r>
          </w:p>
        </w:tc>
        <w:tc>
          <w:tcPr>
            <w:shd w:fill="auto" w:val="clear"/>
          </w:tcPr>
          <w:p w:rsidR="00000000" w:rsidDel="00000000" w:rsidP="00000000" w:rsidRDefault="00000000" w:rsidRPr="00000000" w14:paraId="0000013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60.98 </w:t>
            </w:r>
          </w:p>
        </w:tc>
        <w:tc>
          <w:tcPr>
            <w:shd w:fill="auto" w:val="clear"/>
          </w:tcPr>
          <w:p w:rsidR="00000000" w:rsidDel="00000000" w:rsidP="00000000" w:rsidRDefault="00000000" w:rsidRPr="00000000" w14:paraId="0000013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218.54 </w:t>
            </w:r>
          </w:p>
        </w:tc>
      </w:tr>
      <w:tr>
        <w:trPr>
          <w:cantSplit w:val="0"/>
          <w:trHeight w:val="300" w:hRule="atLeast"/>
          <w:tblHeader w:val="0"/>
        </w:trPr>
        <w:tc>
          <w:tcPr>
            <w:shd w:fill="auto" w:val="clear"/>
          </w:tcPr>
          <w:p w:rsidR="00000000" w:rsidDel="00000000" w:rsidP="00000000" w:rsidRDefault="00000000" w:rsidRPr="00000000" w14:paraId="0000013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(3) </w:t>
            </w:r>
          </w:p>
        </w:tc>
        <w:tc>
          <w:tcPr>
            <w:shd w:fill="auto" w:val="clear"/>
          </w:tcPr>
          <w:p w:rsidR="00000000" w:rsidDel="00000000" w:rsidP="00000000" w:rsidRDefault="00000000" w:rsidRPr="00000000" w14:paraId="0000014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233449.72 </w:t>
            </w:r>
          </w:p>
        </w:tc>
        <w:tc>
          <w:tcPr>
            <w:shd w:fill="auto" w:val="clear"/>
          </w:tcPr>
          <w:p w:rsidR="00000000" w:rsidDel="00000000" w:rsidP="00000000" w:rsidRDefault="00000000" w:rsidRPr="00000000" w14:paraId="0000014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298.33 </w:t>
            </w:r>
          </w:p>
        </w:tc>
        <w:tc>
          <w:tcPr>
            <w:shd w:fill="auto" w:val="clear"/>
          </w:tcPr>
          <w:p w:rsidR="00000000" w:rsidDel="00000000" w:rsidP="00000000" w:rsidRDefault="00000000" w:rsidRPr="00000000" w14:paraId="0000014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60.98 </w:t>
            </w:r>
          </w:p>
        </w:tc>
        <w:tc>
          <w:tcPr>
            <w:shd w:fill="auto" w:val="clear"/>
          </w:tcPr>
          <w:p w:rsidR="00000000" w:rsidDel="00000000" w:rsidP="00000000" w:rsidRDefault="00000000" w:rsidRPr="00000000" w14:paraId="0000014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218.54 </w:t>
            </w:r>
          </w:p>
        </w:tc>
      </w:tr>
      <w:tr>
        <w:trPr>
          <w:cantSplit w:val="0"/>
          <w:trHeight w:val="300" w:hRule="atLeast"/>
          <w:tblHeader w:val="0"/>
        </w:trPr>
        <w:tc>
          <w:tcPr>
            <w:shd w:fill="auto" w:val="clear"/>
          </w:tcPr>
          <w:p w:rsidR="00000000" w:rsidDel="00000000" w:rsidP="00000000" w:rsidRDefault="00000000" w:rsidRPr="00000000" w14:paraId="0000014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(4) </w:t>
            </w:r>
          </w:p>
        </w:tc>
        <w:tc>
          <w:tcPr>
            <w:shd w:fill="auto" w:val="clear"/>
          </w:tcPr>
          <w:p w:rsidR="00000000" w:rsidDel="00000000" w:rsidP="00000000" w:rsidRDefault="00000000" w:rsidRPr="00000000" w14:paraId="0000014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233449.72 </w:t>
            </w:r>
          </w:p>
        </w:tc>
        <w:tc>
          <w:tcPr>
            <w:shd w:fill="auto" w:val="clear"/>
          </w:tcPr>
          <w:p w:rsidR="00000000" w:rsidDel="00000000" w:rsidP="00000000" w:rsidRDefault="00000000" w:rsidRPr="00000000" w14:paraId="0000014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298.33 </w:t>
            </w:r>
          </w:p>
        </w:tc>
        <w:tc>
          <w:tcPr>
            <w:shd w:fill="auto" w:val="clear"/>
          </w:tcPr>
          <w:p w:rsidR="00000000" w:rsidDel="00000000" w:rsidP="00000000" w:rsidRDefault="00000000" w:rsidRPr="00000000" w14:paraId="0000014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60.98 </w:t>
            </w:r>
          </w:p>
        </w:tc>
        <w:tc>
          <w:tcPr>
            <w:shd w:fill="auto" w:val="clear"/>
          </w:tcPr>
          <w:p w:rsidR="00000000" w:rsidDel="00000000" w:rsidP="00000000" w:rsidRDefault="00000000" w:rsidRPr="00000000" w14:paraId="0000014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218.54 </w:t>
            </w:r>
          </w:p>
        </w:tc>
      </w:tr>
      <w:tr>
        <w:trPr>
          <w:cantSplit w:val="0"/>
          <w:trHeight w:val="300" w:hRule="atLeast"/>
          <w:tblHeader w:val="0"/>
        </w:trPr>
        <w:tc>
          <w:tcPr>
            <w:shd w:fill="auto" w:val="clear"/>
          </w:tcPr>
          <w:p w:rsidR="00000000" w:rsidDel="00000000" w:rsidP="00000000" w:rsidRDefault="00000000" w:rsidRPr="00000000" w14:paraId="0000014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Simple Linear Regression </w:t>
            </w:r>
          </w:p>
        </w:tc>
        <w:tc>
          <w:tcPr>
            <w:shd w:fill="auto" w:val="clear"/>
          </w:tcPr>
          <w:p w:rsidR="00000000" w:rsidDel="00000000" w:rsidP="00000000" w:rsidRDefault="00000000" w:rsidRPr="00000000" w14:paraId="0000014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143242.84 </w:t>
            </w:r>
          </w:p>
        </w:tc>
        <w:tc>
          <w:tcPr>
            <w:shd w:fill="auto" w:val="clear"/>
          </w:tcPr>
          <w:p w:rsidR="00000000" w:rsidDel="00000000" w:rsidP="00000000" w:rsidRDefault="00000000" w:rsidRPr="00000000" w14:paraId="0000014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296.24 </w:t>
            </w:r>
          </w:p>
        </w:tc>
        <w:tc>
          <w:tcPr>
            <w:shd w:fill="auto" w:val="clear"/>
          </w:tcPr>
          <w:p w:rsidR="00000000" w:rsidDel="00000000" w:rsidP="00000000" w:rsidRDefault="00000000" w:rsidRPr="00000000" w14:paraId="0000014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23.58</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4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247.73 </w:t>
            </w:r>
          </w:p>
        </w:tc>
      </w:tr>
      <w:tr>
        <w:trPr>
          <w:cantSplit w:val="0"/>
          <w:trHeight w:val="300" w:hRule="atLeast"/>
          <w:tblHeader w:val="0"/>
        </w:trPr>
        <w:tc>
          <w:tcPr>
            <w:shd w:fill="auto" w:val="clear"/>
          </w:tcPr>
          <w:p w:rsidR="00000000" w:rsidDel="00000000" w:rsidP="00000000" w:rsidRDefault="00000000" w:rsidRPr="00000000" w14:paraId="0000014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 </w:t>
            </w:r>
          </w:p>
        </w:tc>
        <w:tc>
          <w:tcPr>
            <w:shd w:fill="auto" w:val="clear"/>
          </w:tcPr>
          <w:p w:rsidR="00000000" w:rsidDel="00000000" w:rsidP="00000000" w:rsidRDefault="00000000" w:rsidRPr="00000000" w14:paraId="0000014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209240.60 </w:t>
            </w:r>
          </w:p>
        </w:tc>
        <w:tc>
          <w:tcPr>
            <w:shd w:fill="auto" w:val="clear"/>
          </w:tcPr>
          <w:p w:rsidR="00000000" w:rsidDel="00000000" w:rsidP="00000000" w:rsidRDefault="00000000" w:rsidRPr="00000000" w14:paraId="0000015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237.79 </w:t>
            </w:r>
          </w:p>
        </w:tc>
        <w:tc>
          <w:tcPr>
            <w:shd w:fill="auto" w:val="clear"/>
          </w:tcPr>
          <w:p w:rsidR="00000000" w:rsidDel="00000000" w:rsidP="00000000" w:rsidRDefault="00000000" w:rsidRPr="00000000" w14:paraId="0000015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69.92 </w:t>
            </w:r>
          </w:p>
        </w:tc>
        <w:tc>
          <w:tcPr>
            <w:shd w:fill="auto" w:val="clear"/>
          </w:tcPr>
          <w:p w:rsidR="00000000" w:rsidDel="00000000" w:rsidP="00000000" w:rsidRDefault="00000000" w:rsidRPr="00000000" w14:paraId="0000015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185.93 </w:t>
            </w:r>
          </w:p>
        </w:tc>
      </w:tr>
      <w:tr>
        <w:trPr>
          <w:cantSplit w:val="0"/>
          <w:trHeight w:val="300" w:hRule="atLeast"/>
          <w:tblHeader w:val="0"/>
        </w:trPr>
        <w:tc>
          <w:tcPr>
            <w:shd w:fill="auto" w:val="clear"/>
          </w:tcPr>
          <w:p w:rsidR="00000000" w:rsidDel="00000000" w:rsidP="00000000" w:rsidRDefault="00000000" w:rsidRPr="00000000" w14:paraId="0000015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ARIMA </w:t>
            </w:r>
          </w:p>
        </w:tc>
        <w:tc>
          <w:tcPr>
            <w:shd w:fill="auto" w:val="clear"/>
          </w:tcPr>
          <w:p w:rsidR="00000000" w:rsidDel="00000000" w:rsidP="00000000" w:rsidRDefault="00000000" w:rsidRPr="00000000" w14:paraId="0000015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132746.65</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5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223.58</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5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73.98 </w:t>
            </w:r>
          </w:p>
        </w:tc>
        <w:tc>
          <w:tcPr>
            <w:shd w:fill="auto" w:val="clear"/>
          </w:tcPr>
          <w:p w:rsidR="00000000" w:rsidDel="00000000" w:rsidP="00000000" w:rsidRDefault="00000000" w:rsidRPr="00000000" w14:paraId="0000015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166.85</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5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Table 4. </w:t>
      </w:r>
      <w:r w:rsidDel="00000000" w:rsidR="00000000" w:rsidRPr="00000000">
        <w:rPr>
          <w:rFonts w:ascii="Times New Roman" w:cs="Times New Roman" w:eastAsia="Times New Roman" w:hAnsi="Times New Roman"/>
          <w:rtl w:val="0"/>
        </w:rPr>
        <w:t xml:space="preserve">Mean forecasting performance metrics for all the models across 44 dates using retrospective weekly sequential 4 weeks ahead forecast period of the weekly time series of Covid-19 deaths in France starting from the week of March 4, 2021, to the week of March 5, 2022. Overall, the best-performing model according to this table was the ARIMA model. The values for the percentage coverage of the 95% prediction interval of the higher coverage range between 54% to 76% with the lowest coverage being around 23%, the simple linear regression mode. The Sub-epidemic top-ranked (3) model had the best coverage value. Values in bold correspond to the best performance metrics. </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2"/>
          <w:szCs w:val="22"/>
        </w:rPr>
      </w:pPr>
      <w:r w:rsidDel="00000000" w:rsidR="00000000" w:rsidRPr="00000000">
        <w:rPr>
          <w:rtl w:val="0"/>
        </w:rPr>
      </w:r>
    </w:p>
    <w:tbl>
      <w:tblPr>
        <w:tblStyle w:val="Table4"/>
        <w:tblW w:w="9265.0" w:type="dxa"/>
        <w:jc w:val="left"/>
        <w:tblLayout w:type="fixed"/>
        <w:tblLook w:val="0400"/>
      </w:tblPr>
      <w:tblGrid>
        <w:gridCol w:w="1113"/>
        <w:gridCol w:w="2032"/>
        <w:gridCol w:w="1800"/>
        <w:gridCol w:w="2160"/>
        <w:gridCol w:w="2160"/>
        <w:tblGridChange w:id="0">
          <w:tblGrid>
            <w:gridCol w:w="1113"/>
            <w:gridCol w:w="2032"/>
            <w:gridCol w:w="1800"/>
            <w:gridCol w:w="2160"/>
            <w:gridCol w:w="2160"/>
          </w:tblGrid>
        </w:tblGridChange>
      </w:tblGrid>
      <w:tr>
        <w:trPr>
          <w:cantSplit w:val="0"/>
          <w:trHeight w:val="300" w:hRule="atLeast"/>
          <w:tblHeader w:val="0"/>
        </w:trPr>
        <w:tc>
          <w:tcPr>
            <w:shd w:fill="auto" w:val="clear"/>
          </w:tcPr>
          <w:p w:rsidR="00000000" w:rsidDel="00000000" w:rsidP="00000000" w:rsidRDefault="00000000" w:rsidRPr="00000000" w14:paraId="0000015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w:t>
            </w:r>
          </w:p>
        </w:tc>
        <w:tc>
          <w:tcPr>
            <w:shd w:fill="auto" w:val="clear"/>
          </w:tcPr>
          <w:p w:rsidR="00000000" w:rsidDel="00000000" w:rsidP="00000000" w:rsidRDefault="00000000" w:rsidRPr="00000000" w14:paraId="000001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squared error (MSE) </w:t>
            </w:r>
          </w:p>
        </w:tc>
        <w:tc>
          <w:tcPr>
            <w:shd w:fill="auto" w:val="clear"/>
          </w:tcPr>
          <w:p w:rsidR="00000000" w:rsidDel="00000000" w:rsidP="00000000" w:rsidRDefault="00000000" w:rsidRPr="00000000" w14:paraId="0000016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 absolute error (MAE) </w:t>
            </w:r>
          </w:p>
        </w:tc>
        <w:tc>
          <w:tcPr>
            <w:shd w:fill="auto" w:val="clear"/>
          </w:tcPr>
          <w:p w:rsidR="00000000" w:rsidDel="00000000" w:rsidP="00000000" w:rsidRDefault="00000000" w:rsidRPr="00000000" w14:paraId="0000016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Percentage coverage of the 95% prediction interval </w:t>
            </w:r>
          </w:p>
        </w:tc>
        <w:tc>
          <w:tcPr>
            <w:shd w:fill="auto" w:val="clear"/>
          </w:tcPr>
          <w:p w:rsidR="00000000" w:rsidDel="00000000" w:rsidP="00000000" w:rsidRDefault="00000000" w:rsidRPr="00000000" w14:paraId="0000016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Weighted interval score (WIS) </w:t>
            </w:r>
          </w:p>
        </w:tc>
      </w:tr>
      <w:tr>
        <w:trPr>
          <w:cantSplit w:val="0"/>
          <w:trHeight w:val="300" w:hRule="atLeast"/>
          <w:tblHeader w:val="0"/>
        </w:trPr>
        <w:tc>
          <w:tcPr>
            <w:shd w:fill="auto" w:val="clear"/>
          </w:tcPr>
          <w:p w:rsidR="00000000" w:rsidDel="00000000" w:rsidP="00000000" w:rsidRDefault="00000000" w:rsidRPr="00000000" w14:paraId="0000016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u w:val="single"/>
                <w:rtl w:val="0"/>
              </w:rPr>
              <w:t xml:space="preserve">4 weeks ahead</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6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6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6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6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300" w:hRule="atLeast"/>
          <w:tblHeader w:val="0"/>
        </w:trPr>
        <w:tc>
          <w:tcPr>
            <w:shd w:fill="auto" w:val="clear"/>
          </w:tcPr>
          <w:p w:rsidR="00000000" w:rsidDel="00000000" w:rsidP="00000000" w:rsidRDefault="00000000" w:rsidRPr="00000000" w14:paraId="0000016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(1) </w:t>
            </w:r>
          </w:p>
        </w:tc>
        <w:tc>
          <w:tcPr>
            <w:shd w:fill="auto" w:val="clear"/>
          </w:tcPr>
          <w:p w:rsidR="00000000" w:rsidDel="00000000" w:rsidP="00000000" w:rsidRDefault="00000000" w:rsidRPr="00000000" w14:paraId="0000016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251944.45 </w:t>
            </w:r>
          </w:p>
        </w:tc>
        <w:tc>
          <w:tcPr>
            <w:shd w:fill="auto" w:val="clear"/>
          </w:tcPr>
          <w:p w:rsidR="00000000" w:rsidDel="00000000" w:rsidP="00000000" w:rsidRDefault="00000000" w:rsidRPr="00000000" w14:paraId="0000016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328.09 </w:t>
            </w:r>
          </w:p>
        </w:tc>
        <w:tc>
          <w:tcPr>
            <w:shd w:fill="auto" w:val="clear"/>
          </w:tcPr>
          <w:p w:rsidR="00000000" w:rsidDel="00000000" w:rsidP="00000000" w:rsidRDefault="00000000" w:rsidRPr="00000000" w14:paraId="0000016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54.38 </w:t>
            </w:r>
          </w:p>
        </w:tc>
        <w:tc>
          <w:tcPr>
            <w:shd w:fill="auto" w:val="clear"/>
          </w:tcPr>
          <w:p w:rsidR="00000000" w:rsidDel="00000000" w:rsidP="00000000" w:rsidRDefault="00000000" w:rsidRPr="00000000" w14:paraId="0000016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241.91 </w:t>
            </w:r>
          </w:p>
        </w:tc>
      </w:tr>
      <w:tr>
        <w:trPr>
          <w:cantSplit w:val="0"/>
          <w:trHeight w:val="300" w:hRule="atLeast"/>
          <w:tblHeader w:val="0"/>
        </w:trPr>
        <w:tc>
          <w:tcPr>
            <w:shd w:fill="auto" w:val="clear"/>
          </w:tcPr>
          <w:p w:rsidR="00000000" w:rsidDel="00000000" w:rsidP="00000000" w:rsidRDefault="00000000" w:rsidRPr="00000000" w14:paraId="0000016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(2) </w:t>
            </w:r>
          </w:p>
        </w:tc>
        <w:tc>
          <w:tcPr>
            <w:shd w:fill="auto" w:val="clear"/>
          </w:tcPr>
          <w:p w:rsidR="00000000" w:rsidDel="00000000" w:rsidP="00000000" w:rsidRDefault="00000000" w:rsidRPr="00000000" w14:paraId="0000016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143583263.3 </w:t>
            </w:r>
          </w:p>
        </w:tc>
        <w:tc>
          <w:tcPr>
            <w:shd w:fill="auto" w:val="clear"/>
          </w:tcPr>
          <w:p w:rsidR="00000000" w:rsidDel="00000000" w:rsidP="00000000" w:rsidRDefault="00000000" w:rsidRPr="00000000" w14:paraId="0000016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2169.38 </w:t>
            </w:r>
          </w:p>
        </w:tc>
        <w:tc>
          <w:tcPr>
            <w:shd w:fill="auto" w:val="clear"/>
          </w:tcPr>
          <w:p w:rsidR="00000000" w:rsidDel="00000000" w:rsidP="00000000" w:rsidRDefault="00000000" w:rsidRPr="00000000" w14:paraId="0000017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71.88 </w:t>
            </w:r>
          </w:p>
        </w:tc>
        <w:tc>
          <w:tcPr>
            <w:shd w:fill="auto" w:val="clear"/>
          </w:tcPr>
          <w:p w:rsidR="00000000" w:rsidDel="00000000" w:rsidP="00000000" w:rsidRDefault="00000000" w:rsidRPr="00000000" w14:paraId="0000017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2262.51 </w:t>
            </w:r>
          </w:p>
        </w:tc>
      </w:tr>
      <w:tr>
        <w:trPr>
          <w:cantSplit w:val="0"/>
          <w:trHeight w:val="300" w:hRule="atLeast"/>
          <w:tblHeader w:val="0"/>
        </w:trPr>
        <w:tc>
          <w:tcPr>
            <w:shd w:fill="auto" w:val="clear"/>
          </w:tcPr>
          <w:p w:rsidR="00000000" w:rsidDel="00000000" w:rsidP="00000000" w:rsidRDefault="00000000" w:rsidRPr="00000000" w14:paraId="0000017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top-ranked (3) </w:t>
            </w:r>
          </w:p>
        </w:tc>
        <w:tc>
          <w:tcPr>
            <w:shd w:fill="auto" w:val="clear"/>
          </w:tcPr>
          <w:p w:rsidR="00000000" w:rsidDel="00000000" w:rsidP="00000000" w:rsidRDefault="00000000" w:rsidRPr="00000000" w14:paraId="0000017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528300.58 </w:t>
            </w:r>
          </w:p>
        </w:tc>
        <w:tc>
          <w:tcPr>
            <w:shd w:fill="auto" w:val="clear"/>
          </w:tcPr>
          <w:p w:rsidR="00000000" w:rsidDel="00000000" w:rsidP="00000000" w:rsidRDefault="00000000" w:rsidRPr="00000000" w14:paraId="0000017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412.03 </w:t>
            </w:r>
          </w:p>
        </w:tc>
        <w:tc>
          <w:tcPr>
            <w:shd w:fill="auto" w:val="clear"/>
          </w:tcPr>
          <w:p w:rsidR="00000000" w:rsidDel="00000000" w:rsidP="00000000" w:rsidRDefault="00000000" w:rsidRPr="00000000" w14:paraId="0000017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76.88</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7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2440.10 </w:t>
            </w:r>
          </w:p>
        </w:tc>
      </w:tr>
      <w:tr>
        <w:trPr>
          <w:cantSplit w:val="0"/>
          <w:trHeight w:val="300" w:hRule="atLeast"/>
          <w:tblHeader w:val="0"/>
        </w:trPr>
        <w:tc>
          <w:tcPr>
            <w:shd w:fill="auto" w:val="clear"/>
          </w:tcPr>
          <w:p w:rsidR="00000000" w:rsidDel="00000000" w:rsidP="00000000" w:rsidRDefault="00000000" w:rsidRPr="00000000" w14:paraId="0000017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Sup-Epidemic, top-ranked (4) </w:t>
            </w:r>
          </w:p>
        </w:tc>
        <w:tc>
          <w:tcPr>
            <w:shd w:fill="auto" w:val="clear"/>
          </w:tcPr>
          <w:p w:rsidR="00000000" w:rsidDel="00000000" w:rsidP="00000000" w:rsidRDefault="00000000" w:rsidRPr="00000000" w14:paraId="0000017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2235249.49 </w:t>
            </w:r>
          </w:p>
        </w:tc>
        <w:tc>
          <w:tcPr>
            <w:shd w:fill="auto" w:val="clear"/>
          </w:tcPr>
          <w:p w:rsidR="00000000" w:rsidDel="00000000" w:rsidP="00000000" w:rsidRDefault="00000000" w:rsidRPr="00000000" w14:paraId="0000017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497.50 </w:t>
            </w:r>
          </w:p>
        </w:tc>
        <w:tc>
          <w:tcPr>
            <w:shd w:fill="auto" w:val="clear"/>
          </w:tcPr>
          <w:p w:rsidR="00000000" w:rsidDel="00000000" w:rsidP="00000000" w:rsidRDefault="00000000" w:rsidRPr="00000000" w14:paraId="000001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73.75 </w:t>
            </w:r>
          </w:p>
        </w:tc>
        <w:tc>
          <w:tcPr>
            <w:shd w:fill="auto" w:val="clear"/>
          </w:tcPr>
          <w:p w:rsidR="00000000" w:rsidDel="00000000" w:rsidP="00000000" w:rsidRDefault="00000000" w:rsidRPr="00000000" w14:paraId="0000017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433.04 </w:t>
            </w:r>
          </w:p>
        </w:tc>
      </w:tr>
      <w:tr>
        <w:trPr>
          <w:cantSplit w:val="0"/>
          <w:trHeight w:val="300" w:hRule="atLeast"/>
          <w:tblHeader w:val="0"/>
        </w:trPr>
        <w:tc>
          <w:tcPr>
            <w:shd w:fill="auto" w:val="clear"/>
          </w:tcPr>
          <w:p w:rsidR="00000000" w:rsidDel="00000000" w:rsidP="00000000" w:rsidRDefault="00000000" w:rsidRPr="00000000" w14:paraId="0000017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(2) </w:t>
            </w:r>
          </w:p>
        </w:tc>
        <w:tc>
          <w:tcPr>
            <w:shd w:fill="auto" w:val="clear"/>
          </w:tcPr>
          <w:p w:rsidR="00000000" w:rsidDel="00000000" w:rsidP="00000000" w:rsidRDefault="00000000" w:rsidRPr="00000000" w14:paraId="0000017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251944.45 </w:t>
            </w:r>
          </w:p>
        </w:tc>
        <w:tc>
          <w:tcPr>
            <w:shd w:fill="auto" w:val="clear"/>
          </w:tcPr>
          <w:p w:rsidR="00000000" w:rsidDel="00000000" w:rsidP="00000000" w:rsidRDefault="00000000" w:rsidRPr="00000000" w14:paraId="0000017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328.09 </w:t>
            </w:r>
          </w:p>
        </w:tc>
        <w:tc>
          <w:tcPr>
            <w:shd w:fill="auto" w:val="clear"/>
          </w:tcPr>
          <w:p w:rsidR="00000000" w:rsidDel="00000000" w:rsidP="00000000" w:rsidRDefault="00000000" w:rsidRPr="00000000" w14:paraId="0000017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54.38 </w:t>
            </w:r>
          </w:p>
        </w:tc>
        <w:tc>
          <w:tcPr>
            <w:shd w:fill="auto" w:val="clear"/>
          </w:tcPr>
          <w:p w:rsidR="00000000" w:rsidDel="00000000" w:rsidP="00000000" w:rsidRDefault="00000000" w:rsidRPr="00000000" w14:paraId="0000018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241.91 </w:t>
            </w:r>
          </w:p>
        </w:tc>
      </w:tr>
      <w:tr>
        <w:trPr>
          <w:cantSplit w:val="0"/>
          <w:trHeight w:val="300" w:hRule="atLeast"/>
          <w:tblHeader w:val="0"/>
        </w:trPr>
        <w:tc>
          <w:tcPr>
            <w:shd w:fill="auto" w:val="clear"/>
          </w:tcPr>
          <w:p w:rsidR="00000000" w:rsidDel="00000000" w:rsidP="00000000" w:rsidRDefault="00000000" w:rsidRPr="00000000" w14:paraId="0000018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(3) </w:t>
            </w:r>
          </w:p>
        </w:tc>
        <w:tc>
          <w:tcPr>
            <w:shd w:fill="auto" w:val="clear"/>
          </w:tcPr>
          <w:p w:rsidR="00000000" w:rsidDel="00000000" w:rsidP="00000000" w:rsidRDefault="00000000" w:rsidRPr="00000000" w14:paraId="0000018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251944.45 </w:t>
            </w:r>
          </w:p>
        </w:tc>
        <w:tc>
          <w:tcPr>
            <w:shd w:fill="auto" w:val="clear"/>
          </w:tcPr>
          <w:p w:rsidR="00000000" w:rsidDel="00000000" w:rsidP="00000000" w:rsidRDefault="00000000" w:rsidRPr="00000000" w14:paraId="0000018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328.09 </w:t>
            </w:r>
          </w:p>
        </w:tc>
        <w:tc>
          <w:tcPr>
            <w:shd w:fill="auto" w:val="clear"/>
          </w:tcPr>
          <w:p w:rsidR="00000000" w:rsidDel="00000000" w:rsidP="00000000" w:rsidRDefault="00000000" w:rsidRPr="00000000" w14:paraId="0000018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54.38 </w:t>
            </w:r>
          </w:p>
        </w:tc>
        <w:tc>
          <w:tcPr>
            <w:shd w:fill="auto" w:val="clear"/>
          </w:tcPr>
          <w:p w:rsidR="00000000" w:rsidDel="00000000" w:rsidP="00000000" w:rsidRDefault="00000000" w:rsidRPr="00000000" w14:paraId="0000018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241.91 </w:t>
            </w:r>
          </w:p>
        </w:tc>
      </w:tr>
      <w:tr>
        <w:trPr>
          <w:cantSplit w:val="0"/>
          <w:trHeight w:val="300" w:hRule="atLeast"/>
          <w:tblHeader w:val="0"/>
        </w:trPr>
        <w:tc>
          <w:tcPr>
            <w:shd w:fill="auto" w:val="clear"/>
          </w:tcPr>
          <w:p w:rsidR="00000000" w:rsidDel="00000000" w:rsidP="00000000" w:rsidRDefault="00000000" w:rsidRPr="00000000" w14:paraId="0000018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Sub-Epidemic, Ensemble (4) </w:t>
            </w:r>
          </w:p>
        </w:tc>
        <w:tc>
          <w:tcPr>
            <w:shd w:fill="auto" w:val="clear"/>
          </w:tcPr>
          <w:p w:rsidR="00000000" w:rsidDel="00000000" w:rsidP="00000000" w:rsidRDefault="00000000" w:rsidRPr="00000000" w14:paraId="0000018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251944.45 </w:t>
            </w:r>
          </w:p>
        </w:tc>
        <w:tc>
          <w:tcPr>
            <w:shd w:fill="auto" w:val="clear"/>
          </w:tcPr>
          <w:p w:rsidR="00000000" w:rsidDel="00000000" w:rsidP="00000000" w:rsidRDefault="00000000" w:rsidRPr="00000000" w14:paraId="0000018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328.09 </w:t>
            </w:r>
          </w:p>
        </w:tc>
        <w:tc>
          <w:tcPr>
            <w:shd w:fill="auto" w:val="clear"/>
          </w:tcPr>
          <w:p w:rsidR="00000000" w:rsidDel="00000000" w:rsidP="00000000" w:rsidRDefault="00000000" w:rsidRPr="00000000" w14:paraId="0000018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54.38 </w:t>
            </w:r>
          </w:p>
        </w:tc>
        <w:tc>
          <w:tcPr>
            <w:shd w:fill="auto" w:val="clear"/>
          </w:tcPr>
          <w:p w:rsidR="00000000" w:rsidDel="00000000" w:rsidP="00000000" w:rsidRDefault="00000000" w:rsidRPr="00000000" w14:paraId="0000018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241.91 </w:t>
            </w:r>
          </w:p>
        </w:tc>
      </w:tr>
      <w:tr>
        <w:trPr>
          <w:cantSplit w:val="0"/>
          <w:trHeight w:val="300" w:hRule="atLeast"/>
          <w:tblHeader w:val="0"/>
        </w:trPr>
        <w:tc>
          <w:tcPr>
            <w:shd w:fill="auto" w:val="clear"/>
          </w:tcPr>
          <w:p w:rsidR="00000000" w:rsidDel="00000000" w:rsidP="00000000" w:rsidRDefault="00000000" w:rsidRPr="00000000" w14:paraId="0000018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Simple Linear Regression </w:t>
            </w:r>
          </w:p>
        </w:tc>
        <w:tc>
          <w:tcPr>
            <w:shd w:fill="auto" w:val="clear"/>
          </w:tcPr>
          <w:p w:rsidR="00000000" w:rsidDel="00000000" w:rsidP="00000000" w:rsidRDefault="00000000" w:rsidRPr="00000000" w14:paraId="0000018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166828.62 </w:t>
            </w:r>
          </w:p>
        </w:tc>
        <w:tc>
          <w:tcPr>
            <w:shd w:fill="auto" w:val="clear"/>
          </w:tcPr>
          <w:p w:rsidR="00000000" w:rsidDel="00000000" w:rsidP="00000000" w:rsidRDefault="00000000" w:rsidRPr="00000000" w14:paraId="0000018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321.98 </w:t>
            </w:r>
          </w:p>
        </w:tc>
        <w:tc>
          <w:tcPr>
            <w:shd w:fill="auto" w:val="clear"/>
          </w:tcPr>
          <w:p w:rsidR="00000000" w:rsidDel="00000000" w:rsidP="00000000" w:rsidRDefault="00000000" w:rsidRPr="00000000" w14:paraId="0000018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23.13 </w:t>
            </w:r>
          </w:p>
        </w:tc>
        <w:tc>
          <w:tcPr>
            <w:shd w:fill="auto" w:val="clear"/>
          </w:tcPr>
          <w:p w:rsidR="00000000" w:rsidDel="00000000" w:rsidP="00000000" w:rsidRDefault="00000000" w:rsidRPr="00000000" w14:paraId="0000018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271.37 </w:t>
            </w:r>
          </w:p>
        </w:tc>
      </w:tr>
      <w:tr>
        <w:trPr>
          <w:cantSplit w:val="0"/>
          <w:trHeight w:val="300" w:hRule="atLeast"/>
          <w:tblHeader w:val="0"/>
        </w:trPr>
        <w:tc>
          <w:tcPr>
            <w:shd w:fill="auto" w:val="clear"/>
          </w:tcPr>
          <w:p w:rsidR="00000000" w:rsidDel="00000000" w:rsidP="00000000" w:rsidRDefault="00000000" w:rsidRPr="00000000" w14:paraId="0000019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 </w:t>
            </w:r>
          </w:p>
        </w:tc>
        <w:tc>
          <w:tcPr>
            <w:shd w:fill="auto" w:val="clear"/>
          </w:tcPr>
          <w:p w:rsidR="00000000" w:rsidDel="00000000" w:rsidP="00000000" w:rsidRDefault="00000000" w:rsidRPr="00000000" w14:paraId="0000019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218556.05 </w:t>
            </w:r>
          </w:p>
        </w:tc>
        <w:tc>
          <w:tcPr>
            <w:shd w:fill="auto" w:val="clear"/>
          </w:tcPr>
          <w:p w:rsidR="00000000" w:rsidDel="00000000" w:rsidP="00000000" w:rsidRDefault="00000000" w:rsidRPr="00000000" w14:paraId="0000019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261.11 </w:t>
            </w:r>
          </w:p>
        </w:tc>
        <w:tc>
          <w:tcPr>
            <w:shd w:fill="auto" w:val="clear"/>
          </w:tcPr>
          <w:p w:rsidR="00000000" w:rsidDel="00000000" w:rsidP="00000000" w:rsidRDefault="00000000" w:rsidRPr="00000000" w14:paraId="0000019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66.88 </w:t>
            </w:r>
          </w:p>
        </w:tc>
        <w:tc>
          <w:tcPr>
            <w:shd w:fill="auto" w:val="clear"/>
          </w:tcPr>
          <w:p w:rsidR="00000000" w:rsidDel="00000000" w:rsidP="00000000" w:rsidRDefault="00000000" w:rsidRPr="00000000" w14:paraId="0000019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204.82 </w:t>
            </w:r>
          </w:p>
        </w:tc>
      </w:tr>
      <w:tr>
        <w:trPr>
          <w:cantSplit w:val="0"/>
          <w:trHeight w:val="300" w:hRule="atLeast"/>
          <w:tblHeader w:val="0"/>
        </w:trPr>
        <w:tc>
          <w:tcPr>
            <w:shd w:fill="auto" w:val="clear"/>
          </w:tcPr>
          <w:p w:rsidR="00000000" w:rsidDel="00000000" w:rsidP="00000000" w:rsidRDefault="00000000" w:rsidRPr="00000000" w14:paraId="0000019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ARIMA </w:t>
            </w:r>
          </w:p>
        </w:tc>
        <w:tc>
          <w:tcPr>
            <w:shd w:fill="auto" w:val="clear"/>
          </w:tcPr>
          <w:p w:rsidR="00000000" w:rsidDel="00000000" w:rsidP="00000000" w:rsidRDefault="00000000" w:rsidRPr="00000000" w14:paraId="0000019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143148.87</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9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241.41</w:t>
            </w:r>
            <w:r w:rsidDel="00000000" w:rsidR="00000000" w:rsidRPr="00000000">
              <w:rPr>
                <w:rFonts w:ascii="Times New Roman" w:cs="Times New Roman" w:eastAsia="Times New Roman" w:hAnsi="Times New Roman"/>
                <w:sz w:val="22"/>
                <w:szCs w:val="22"/>
                <w:rtl w:val="0"/>
              </w:rPr>
              <w:t xml:space="preserve"> </w:t>
            </w:r>
          </w:p>
        </w:tc>
        <w:tc>
          <w:tcPr>
            <w:shd w:fill="auto" w:val="clear"/>
          </w:tcPr>
          <w:p w:rsidR="00000000" w:rsidDel="00000000" w:rsidP="00000000" w:rsidRDefault="00000000" w:rsidRPr="00000000" w14:paraId="0000019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73.75 </w:t>
            </w:r>
          </w:p>
        </w:tc>
        <w:tc>
          <w:tcPr>
            <w:shd w:fill="auto" w:val="clear"/>
          </w:tcPr>
          <w:p w:rsidR="00000000" w:rsidDel="00000000" w:rsidP="00000000" w:rsidRDefault="00000000" w:rsidRPr="00000000" w14:paraId="0000019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179.16</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19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Using the four modeling frameworks, we reported results from short-term, forecasting periods of 1-4 weeks ahead of Covid-19 deaths in France. From April 23, 2021, to July 23, 2021, looking at the epi curve (Additional file 1: Figure 13s) the confirmed Covid-19 deaths in France support an exponentially declining trend in the number of deaths. On February 11, 2022, France reached the highest number of Covid-19 deaths reported within one week (2,252). Our modeling frameworks decently performed with the Covid-19 death data provided by the European Covid-19 Forecast Hub. Our ARIMA modeling framework outperformed the individual sub-epidemic top-ranked, sub-epidemic ensemble, GAM, and the simple linear regression framework during short-term forecasting periods. Our study is not free from limitations. Unfortunately, we were unable to run the spatial wave sub-epidemic modeling framework. Had we been able to successfully run this framework, our results could have been different. We would have been able to compare this framework to the other modeling frameworks we were able to run. Our best modeling framework, ARIMA would not be ideal for long-term forecasts and is also poor when predicting turning points. This modeling framework is also expensive. These limitations are things to think about when planning for the future when using this modeling framework.</w:t>
      </w:r>
    </w:p>
    <w:p w:rsidR="00000000" w:rsidDel="00000000" w:rsidP="00000000" w:rsidRDefault="00000000" w:rsidRPr="00000000" w14:paraId="000001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results provide beneficial information to policymakers to facilitate the continued distribution of resources to understand the impact of Covid-19 has on people across the globe. Older adults with underlying medical conditions are among those of higher risk aside from age being the strongest risk factor of getting severally ill from Covid-19. Compared to other viruses, SARS-CoV-2 is more contagious than the viruses that cause influenza and the common cold. When foreign viruses attack our immune system, our bodies have a difficult time fighting them because it does not recognize them resulting in them infecting the body and becoming ill. This issue results in the production of more inflammatory cells that cause cellular destruction. When immunity increases, the likely hood of death decreases.</w:t>
      </w:r>
    </w:p>
    <w:p w:rsidR="00000000" w:rsidDel="00000000" w:rsidP="00000000" w:rsidRDefault="00000000" w:rsidRPr="00000000" w14:paraId="0000019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Covid-19 has caused 2.2 million deaths in Europe with more than 165, 000 in France [32]. The Omicron sub-variants in France have not been virulent to the same extent as the Delta and Alpha variants. About 80% of the population in France, 8 of out 10 people have received at least two doses of the vaccine [32]. Public health leaders have done their best to provide the most transparent information regarding vaccines to keep us safe. This information has helped many become comfortable with receiving the vaccine. More than 5.55 billion have received a dose of the Covid-19 vaccine [33]. The available vaccines are safe and will provide strong protection against developing severe symptoms of Covid-19 as well as decrease the chances of becoming hospitalized and dying. Getting vaccinated is the most effective way to protect yourself against Covid-19 and this reduces the rapid spread of it as well. </w:t>
      </w:r>
    </w:p>
    <w:p w:rsidR="00000000" w:rsidDel="00000000" w:rsidP="00000000" w:rsidRDefault="00000000" w:rsidRPr="00000000" w14:paraId="000001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future we plan to assess the performance of the modeling frameworks GAM and spatial wave sub-epidemic, having corrected the issue and being able to successfully run the framework to get a better look at if the ARIMA modeling framework is truly the best to be applied to short-term forecasting of Covid-19 deaths. During the period we studied for deaths in France, the ARIMA modeling framework demonstrated reliable forecasting performance 1 to 4 weeks ahead of forecasts of weekly deaths. This modeling framework outperformed the others in weekly short-term forecasts of the Covid-19 pandemic in France from the early spring of 2020 to the time when the Omicron variant was at its peak.</w:t>
      </w:r>
    </w:p>
    <w:p w:rsidR="00000000" w:rsidDel="00000000" w:rsidP="00000000" w:rsidRDefault="00000000" w:rsidRPr="00000000" w14:paraId="000001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1A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In summary, our study provides reliable short-term forecasts of Covid-19 deaths in France. The most successful modeling framework exhibits the best performance when deaths were declining. It is important to remember that vaccinations are the most effective way to protect ourselves against Covid-19. In addition, the guidance of public health officials to provide the most accurate information will make a difference as well. Overall, the models have shown the importance usage of short-term forecasts in providing accurate data in capturing the trajectory of Covid-19 deaths.</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48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C4">
      <w:pPr>
        <w:spacing w:line="4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Abbreviations</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ARIMA </w:t>
        <w:tab/>
        <w:t xml:space="preserve">Autoregressive Integrated Moving Average model</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CDC</w:t>
        <w:tab/>
        <w:tab/>
        <w:t xml:space="preserve">The Centers for Disease Control and Prevention</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tab/>
        <w:tab/>
        <w:t xml:space="preserve">Mean absolute error</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w:t>
        <w:tab/>
        <w:tab/>
        <w:t xml:space="preserve">Mean square error</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w:t>
        <w:tab/>
        <w:tab/>
        <w:t xml:space="preserve">Prediction interval</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SARS-CoV-2</w:t>
        <w:tab/>
        <w:t xml:space="preserve">Coronavirus disease</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w:t>
        <w:tab/>
        <w:tab/>
        <w:t xml:space="preserve">World Health Organization</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w:t>
        <w:tab/>
        <w:tab/>
        <w:t xml:space="preserve">Weighted Interval Score</w:t>
        <w:tab/>
      </w:r>
    </w:p>
    <w:p w:rsidR="00000000" w:rsidDel="00000000" w:rsidP="00000000" w:rsidRDefault="00000000" w:rsidRPr="00000000" w14:paraId="000001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Supplementary Information</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file 1: Supplementary figures and tables. Additional figures and tables related to the dissemination and evaluation of models used to produce the forecasts are included in the study.</w:t>
      </w:r>
    </w:p>
    <w:p w:rsidR="00000000" w:rsidDel="00000000" w:rsidP="00000000" w:rsidRDefault="00000000" w:rsidRPr="00000000" w14:paraId="000001D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Acknowledgments</w:t>
      </w:r>
    </w:p>
    <w:p w:rsidR="00000000" w:rsidDel="00000000" w:rsidP="00000000" w:rsidRDefault="00000000" w:rsidRPr="00000000" w14:paraId="000001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would like to acknowledge Dr. Gerardo Chowell, Amanda Bleichrodt, and Sushma Dahal for their guidance this semester for us to be able to complete this project.</w:t>
      </w:r>
    </w:p>
    <w:p w:rsidR="00000000" w:rsidDel="00000000" w:rsidP="00000000" w:rsidRDefault="00000000" w:rsidRPr="00000000" w14:paraId="000001D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D5">
      <w:pPr>
        <w:spacing w:line="48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D6">
      <w:pPr>
        <w:spacing w:line="4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Shanquell Thompson-Sanders and Tatyana Valteau contributed equally to this work.</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E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CDC Museum COVID-19 timeline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(2022, August 16). Centers for Disease Control and Prevention. Retrieved March 27, 2023, from </w:t>
      </w:r>
      <w:hyperlink r:id="r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https://www.cdc.gov/museum/timeline/covid19.html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Coronavirus disease 2019 (COVID-19)</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(2022, November 3). Centers for Disease Control and Prevention. </w:t>
      </w:r>
      <w:hyperlink r:id="rI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https://www.cdc.gov/coronavirus/2019-ncov/science/forecasting/forecasting.html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 Coronavirus (Covid-19)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(2023, March 21). WHO Coronavirus (COVID-19) Dashboard. Retrieved March 27, 2023, from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https://covid19.who.int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COVID-19: France enters third national lockdown amid ICU surge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 April 3). BBC News. </w:t>
      </w:r>
      <w:hyperlink r:id="rId9">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https://www.bbc.com/news/world-europe-56622471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Forecast visualization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(n.d.). European Covid-19 Forecast Hub. </w:t>
      </w:r>
      <w:hyperlink r:id="rId10">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https://covid19forecasthub.eu/visualisation.html?target=death&amp;location=FR</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Katharine Sherratt, Hugo Gruson, Helen Johnson, Rene Niehus, Bastian Prasse, Frank Sandman, Jannik Deuschel, Daniel Wolffram, Sam Abbott, Alexander Ullrich, Graham Gibson, Evan L Ray, Nicholas G Reich, Daniel Sheldon, Yijin Wang, Nutcha Wattanachit, Lijing Wang, Jan Trnka, Guillaume Obozinski, … Sebastian Funk. (2022). European Covid-19 Forecast Hub (v2022.10.20)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Zenodo. </w:t>
      </w:r>
      <w:hyperlink r:id="rId1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https://doi.org/10.5281/zenodo.7229300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Chowell G, Hincapie-Palacio D, Ospina J, Pell B, Tariq A et al. Using phenomenological models to characterize transmissibility and forecast patterns and final burden of Zika epidemics. PLoS currents.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2016; 8.  </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Pell B, Kuang Y, Viboud C, Chowell G. Using phenomenological models for forecasting the 2015 Ebola challenge. Epidemics.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2018; 22:62-70.  </w:t>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Shanafelt DW, Jones G, Lima M, Perrings C, Chowell G. Forecasting the 2001 foot-and-mouth disease epidemic in the UK. EcoHealth.</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2018; 15:338-347.  </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Banks HT, Hu S, Thompson WC. Modeling and inverse problems in the presence of uncertainty: CRC Press; 2014. </w:t>
      </w:r>
    </w:p>
    <w:p w:rsidR="00000000" w:rsidDel="00000000" w:rsidP="00000000" w:rsidRDefault="00000000" w:rsidRPr="00000000" w14:paraId="000001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Roosa K, Luo R, Chowell G. Comparative assessment of parameter estimation methods in the presence of overdispersion: a simulation study. Math Biosci Eng.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2019; 16(5):4299-4313.  </w:t>
      </w:r>
    </w:p>
    <w:p w:rsidR="00000000" w:rsidDel="00000000" w:rsidP="00000000" w:rsidRDefault="00000000" w:rsidRPr="00000000" w14:paraId="000001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Hastie T, Tibshirani R, Friedman JH, Friedman JH. The elements of statistical learning: data mining, inference, and prediction, 2. Springer; 2009. </w:t>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Hurvich CM, Tsai C-L. Regression and time series model selection in small samples. Biometrika.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1989; 76(2):297-307.  </w:t>
      </w:r>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Sugiura N. Further analysis of the data by Akaike's information criterion and the finite corrections: Further analysis of the data by akaike's. Communications in Statistics-theory and Methods.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1978; 7(1):13-26.  </w:t>
      </w:r>
    </w:p>
    <w:p w:rsidR="00000000" w:rsidDel="00000000" w:rsidP="00000000" w:rsidRDefault="00000000" w:rsidRPr="00000000" w14:paraId="000001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Almasarweh M, Alwadi S. ARIMA model in predicting banking stock market data. Modern Applied Science.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2018; 12(11):309.  </w:t>
      </w:r>
    </w:p>
    <w:p w:rsidR="00000000" w:rsidDel="00000000" w:rsidP="00000000" w:rsidRDefault="00000000" w:rsidRPr="00000000" w14:paraId="000001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Ariyo AA, Adewumi AO, Ayo CK: Stock price prediction using the ARIMA model.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2014 UKSim-AMSS 16th international conference on computer modelling and simulation: 2014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IEEE; 2014: 106-112. </w:t>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Mondal P, Shit L, Goswami S. Study of effectiveness of time series modeling (ARIMA) in forecasting stock prices. International Journal of Computer Science, Engineering and Applications.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2014; 4(2):13.  </w:t>
      </w:r>
    </w:p>
    <w:p w:rsidR="00000000" w:rsidDel="00000000" w:rsidP="00000000" w:rsidRDefault="00000000" w:rsidRPr="00000000" w14:paraId="000002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Dimri T, Ahmad S, Sharif M. Time series analysis of climate variables using seasonal ARIMA approach. Journal of Earth System Science.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 129:1-16.  </w:t>
      </w:r>
    </w:p>
    <w:p w:rsidR="00000000" w:rsidDel="00000000" w:rsidP="00000000" w:rsidRDefault="00000000" w:rsidRPr="00000000" w14:paraId="000002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Shamsnia SA, Shahidi N, Liaghat A, Sarraf A, Vahdat SF: Modeling of weather parameters using stochastic methods (ARIMA model)(case study: Abadeh Region, Iran).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International Conference on Environment and Industrial Innovation, IPCBEE: 2011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2011. </w:t>
      </w:r>
    </w:p>
    <w:p w:rsidR="00000000" w:rsidDel="00000000" w:rsidP="00000000" w:rsidRDefault="00000000" w:rsidRPr="00000000" w14:paraId="000002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Tektaş M. Weather forecasting using ANFIS and ARIMA models. Environmental Research, Engineering and Management.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2010; 51(1):5-10.  </w:t>
      </w:r>
    </w:p>
    <w:p w:rsidR="00000000" w:rsidDel="00000000" w:rsidP="00000000" w:rsidRDefault="00000000" w:rsidRPr="00000000" w14:paraId="000002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Chowell G, Dahal S, Tariq A, Roosa K, Hyman JM et al. An ensemble n-sub-epidemic modeling framework for short-term forecasting epidemic trajectories: Application to the COVID-19 pandemic in the USA. PLoS Computational Biology.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2022; 18(10):e1010602.  </w:t>
      </w:r>
    </w:p>
    <w:p w:rsidR="00000000" w:rsidDel="00000000" w:rsidP="00000000" w:rsidRDefault="00000000" w:rsidRPr="00000000" w14:paraId="000002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Satrio CBA, Darmawan W, Nadia BU, Hanafiah N. Time series analysis and forecasting of coronavirus disease in Indonesia using ARIMA model and PROPHET. Procedia Computer Science.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2021; 179:524-532.  </w:t>
      </w:r>
    </w:p>
    <w:p w:rsidR="00000000" w:rsidDel="00000000" w:rsidP="00000000" w:rsidRDefault="00000000" w:rsidRPr="00000000" w14:paraId="000002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Wang Y-w, Shen Z-z, Jiang Y. Comparison of ARIMA and GM (1, 1) models for prediction of hepatitis B in China. PloS one.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2018; 13(9):e0201987.  </w:t>
      </w:r>
    </w:p>
    <w:p w:rsidR="00000000" w:rsidDel="00000000" w:rsidP="00000000" w:rsidRDefault="00000000" w:rsidRPr="00000000" w14:paraId="0000020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Hyndman RJ, Khandakar Y. Automatic time series forecasting: the forecast package for R. Journal of statistical software.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2008; 27:1-22.  </w:t>
      </w:r>
    </w:p>
    <w:p w:rsidR="00000000" w:rsidDel="00000000" w:rsidP="00000000" w:rsidRDefault="00000000" w:rsidRPr="00000000" w14:paraId="000002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Kwiatkowski D, Phillips PC, Schmidt P, Shin Y. Testing the null hypothesis of stationarity against the alternative of a unit root: How sure are we that economic time series have a unit root? Journal of econometrics.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1992; 54(1-3):159-178.  </w:t>
      </w:r>
    </w:p>
    <w:p w:rsidR="00000000" w:rsidDel="00000000" w:rsidP="00000000" w:rsidRDefault="00000000" w:rsidRPr="00000000" w14:paraId="000002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Wood SN. Generalized additive models: an introduction with R: CRC press; 2017. </w:t>
      </w:r>
    </w:p>
    <w:p w:rsidR="00000000" w:rsidDel="00000000" w:rsidP="00000000" w:rsidRDefault="00000000" w:rsidRPr="00000000" w14:paraId="000002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Shafi A. What is a Generalised Additive Model? , vol. 2022. In: Towards Data Science. Medium. 2021. https://towardsdatascience.com/generalised-additive-models-6dfbedf1350a. Accessed. </w:t>
      </w:r>
    </w:p>
    <w:p w:rsidR="00000000" w:rsidDel="00000000" w:rsidP="00000000" w:rsidRDefault="00000000" w:rsidRPr="00000000" w14:paraId="000002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 Model Predictions https://www.rdocumentation.org/packages/car/versions/3.1-1/topics/Predict. Accessed 22 March 2023. </w:t>
      </w:r>
    </w:p>
    <w:p w:rsidR="00000000" w:rsidDel="00000000" w:rsidP="00000000" w:rsidRDefault="00000000" w:rsidRPr="00000000" w14:paraId="0000020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Gneiting T, Raftery AE. Strictly proper scoring rules, prediction, and estimation. Journal of the American statistical Association.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2007; 102(477):359-378.  </w:t>
      </w:r>
    </w:p>
    <w:p w:rsidR="00000000" w:rsidDel="00000000" w:rsidP="00000000" w:rsidRDefault="00000000" w:rsidRPr="00000000" w14:paraId="0000020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Bracher J, Ray EL, Gneiting T, Reich NG. Evaluating epidemic forecasts in an interval format. PLoS computational biology.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2021; 17(2):e1008618.  </w:t>
      </w:r>
    </w:p>
    <w:p w:rsidR="00000000" w:rsidDel="00000000" w:rsidP="00000000" w:rsidRDefault="00000000" w:rsidRPr="00000000" w14:paraId="000002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Cramer EY, Ray EL, Lopez VK, Bracher J, Brennen A et al. Evaluation of individual and ensemble probabilistic forecasts of COVID-19 mortality in the United States. Proceedings of the National Academy of Sciences.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2022; 119(15):e2113561119.  </w:t>
      </w:r>
    </w:p>
    <w:p w:rsidR="00000000" w:rsidDel="00000000" w:rsidP="00000000" w:rsidRDefault="00000000" w:rsidRPr="00000000" w14:paraId="000002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Maad, A. (2023, March 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 is still dying of Covid-19 in France?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Monde.fr. </w:t>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https://www.lemonde.fr/en/les-decodeurs/article/2023/03/20/who-is-still-dying-of-covid-19-in-france_6020041_8.html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Holder, J. (2021, January 29).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Tracking coronavirus vaccinations around the world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New York Times. Retrieved April 19, 2023, from https://www.nytimes.com/interactive/2021/world/covid-vaccinations-tracker.html</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sectPr>
      <w:headerReference r:id="rId13" w:type="default"/>
      <w:head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2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2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2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2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2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2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2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2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3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3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3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81/zenodo.7229300" TargetMode="External"/><Relationship Id="rId10" Type="http://schemas.openxmlformats.org/officeDocument/2006/relationships/hyperlink" Target="https://covid19forecasthub.eu/visualisation.html?target=death&amp;location=FR" TargetMode="External"/><Relationship Id="rId13" Type="http://schemas.openxmlformats.org/officeDocument/2006/relationships/header" Target="header2.xml"/><Relationship Id="rId12" Type="http://schemas.openxmlformats.org/officeDocument/2006/relationships/hyperlink" Target="https://www.lemonde.fr/en/les-decodeurs/article/2023/03/20/who-is-still-dying-of-covid-19-in-france_6020041_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m/news/world-europe-56622471"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cdc.gov/museum/timeline/covid19.html" TargetMode="External"/><Relationship Id="rId7" Type="http://schemas.openxmlformats.org/officeDocument/2006/relationships/hyperlink" Target="https://www.cdc.gov/coronavirus/2019-ncov/science/forecasting/forecasting.html" TargetMode="External"/><Relationship Id="rId8" Type="http://schemas.openxmlformats.org/officeDocument/2006/relationships/hyperlink" Target="https://covid19.who.i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documentId_7022</vt:lpwstr>
  </property>
  <property fmtid="{D5CDD505-2E9C-101B-9397-08002B2CF9AE}" pid="3" name="grammarly_documentContext">
    <vt:lpwstr>{"goals":[],"domain":"general","emotions":[],"dialect":"american"}</vt:lpwstr>
  </property>
</Properties>
</file>