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5A76" w14:textId="6BC72A77" w:rsidR="00FF211D" w:rsidRDefault="00FF211D" w:rsidP="00FF211D">
      <w:pPr>
        <w:pStyle w:val="NormalWeb"/>
        <w:spacing w:before="0" w:after="0"/>
        <w:jc w:val="center"/>
        <w:rPr>
          <w:rFonts w:ascii="Arial" w:hAnsi="Arial" w:cs="Arial"/>
          <w:b/>
          <w:bCs/>
          <w:color w:val="000000" w:themeColor="text1"/>
          <w:sz w:val="44"/>
          <w:szCs w:val="44"/>
        </w:rPr>
      </w:pPr>
    </w:p>
    <w:p w14:paraId="784AE38C" w14:textId="0125B25B" w:rsidR="00FF211D" w:rsidRPr="00FF211D" w:rsidRDefault="00FF211D" w:rsidP="00FF211D">
      <w:pPr>
        <w:pStyle w:val="NormalWeb"/>
        <w:spacing w:before="0" w:after="0"/>
        <w:jc w:val="center"/>
        <w:rPr>
          <w:rFonts w:ascii="Arial" w:hAnsi="Arial" w:cs="Arial"/>
          <w:b/>
          <w:bCs/>
          <w:color w:val="000000" w:themeColor="text1"/>
          <w:sz w:val="44"/>
          <w:szCs w:val="44"/>
        </w:rPr>
      </w:pPr>
      <w:r w:rsidRPr="00FF211D">
        <w:rPr>
          <w:rFonts w:ascii="Arial" w:hAnsi="Arial" w:cs="Arial"/>
          <w:b/>
          <w:bCs/>
          <w:color w:val="000000" w:themeColor="text1"/>
          <w:sz w:val="44"/>
          <w:szCs w:val="44"/>
        </w:rPr>
        <w:t>END-TERM EXAMINATION</w:t>
      </w:r>
    </w:p>
    <w:p w14:paraId="6C087402" w14:textId="77777777" w:rsidR="00FF211D" w:rsidRPr="00FF211D" w:rsidRDefault="00FF211D" w:rsidP="00FF211D">
      <w:pPr>
        <w:pStyle w:val="NormalWeb"/>
        <w:spacing w:after="0"/>
        <w:jc w:val="both"/>
        <w:rPr>
          <w:rFonts w:ascii="Arial" w:hAnsi="Arial" w:cs="Arial"/>
          <w:b/>
          <w:bCs/>
          <w:color w:val="000000" w:themeColor="text1"/>
          <w:sz w:val="44"/>
          <w:szCs w:val="44"/>
        </w:rPr>
      </w:pPr>
      <w:r w:rsidRPr="00FF211D">
        <w:rPr>
          <w:rFonts w:ascii="Arial" w:hAnsi="Arial" w:cs="Arial"/>
          <w:b/>
          <w:bCs/>
          <w:color w:val="000000" w:themeColor="text1"/>
          <w:sz w:val="44"/>
          <w:szCs w:val="44"/>
        </w:rPr>
        <w:t>Credit Risk Analytics &amp; NPA Prediction</w:t>
      </w:r>
    </w:p>
    <w:p w14:paraId="742E3E1B" w14:textId="77777777" w:rsidR="00FF211D" w:rsidRPr="00FF211D" w:rsidRDefault="00FF211D" w:rsidP="00FF211D">
      <w:pPr>
        <w:pStyle w:val="NormalWeb"/>
        <w:spacing w:before="0" w:beforeAutospacing="0" w:after="0" w:afterAutospacing="0"/>
        <w:jc w:val="both"/>
        <w:rPr>
          <w:rFonts w:ascii="Arial" w:hAnsi="Arial" w:cs="Arial"/>
          <w:b/>
          <w:bCs/>
          <w:color w:val="000000" w:themeColor="text1"/>
          <w:sz w:val="44"/>
          <w:szCs w:val="44"/>
        </w:rPr>
      </w:pPr>
    </w:p>
    <w:p w14:paraId="11BA4147" w14:textId="5824C645" w:rsidR="00FF211D" w:rsidRDefault="00FF211D" w:rsidP="00FF211D">
      <w:pPr>
        <w:pStyle w:val="NormalWeb"/>
        <w:spacing w:before="0" w:beforeAutospacing="0" w:after="0" w:afterAutospacing="0"/>
        <w:jc w:val="center"/>
        <w:rPr>
          <w:rFonts w:ascii="Arial" w:hAnsi="Arial" w:cs="Arial"/>
          <w:b/>
          <w:bCs/>
          <w:color w:val="943634" w:themeColor="accent2" w:themeShade="BF"/>
          <w:sz w:val="44"/>
          <w:szCs w:val="44"/>
          <w:u w:val="single"/>
        </w:rPr>
      </w:pPr>
      <w:r>
        <w:rPr>
          <w:rFonts w:ascii="Arial" w:hAnsi="Arial" w:cs="Arial"/>
          <w:b/>
          <w:bCs/>
          <w:noProof/>
          <w:color w:val="C0504D" w:themeColor="accent2"/>
          <w:sz w:val="44"/>
          <w:szCs w:val="44"/>
          <w:u w:val="single"/>
        </w:rPr>
        <w:drawing>
          <wp:inline distT="0" distB="0" distL="0" distR="0" wp14:anchorId="15D72C65" wp14:editId="006DBDA4">
            <wp:extent cx="2744086" cy="1965960"/>
            <wp:effectExtent l="0" t="0" r="0" b="0"/>
            <wp:docPr id="113507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77814" name="Picture 1135077814"/>
                    <pic:cNvPicPr/>
                  </pic:nvPicPr>
                  <pic:blipFill>
                    <a:blip r:embed="rId6">
                      <a:alphaModFix/>
                    </a:blip>
                    <a:stretch>
                      <a:fillRect/>
                    </a:stretch>
                  </pic:blipFill>
                  <pic:spPr>
                    <a:xfrm>
                      <a:off x="0" y="0"/>
                      <a:ext cx="2744086" cy="1965960"/>
                    </a:xfrm>
                    <a:prstGeom prst="rect">
                      <a:avLst/>
                    </a:prstGeom>
                  </pic:spPr>
                </pic:pic>
              </a:graphicData>
            </a:graphic>
          </wp:inline>
        </w:drawing>
      </w:r>
    </w:p>
    <w:p w14:paraId="5614A878" w14:textId="77777777"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65DF30F6" w14:textId="09B4C2AA"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71D258B7" w14:textId="4924D2AA"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465FC8F7" w14:textId="06130E50"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6BA2C7FB" w14:textId="77777777" w:rsidR="00FF211D" w:rsidRPr="00FF211D" w:rsidRDefault="00FF211D" w:rsidP="00FF211D">
      <w:pPr>
        <w:pStyle w:val="NormalWeb"/>
        <w:spacing w:before="0" w:beforeAutospacing="0" w:after="0" w:afterAutospacing="0"/>
        <w:jc w:val="right"/>
        <w:rPr>
          <w:rFonts w:ascii="Arial" w:hAnsi="Arial" w:cs="Arial"/>
          <w:b/>
          <w:bCs/>
          <w:color w:val="000000" w:themeColor="text1"/>
          <w:sz w:val="44"/>
          <w:szCs w:val="44"/>
        </w:rPr>
      </w:pPr>
      <w:r w:rsidRPr="00FF211D">
        <w:rPr>
          <w:rFonts w:ascii="Arial" w:hAnsi="Arial" w:cs="Arial"/>
          <w:b/>
          <w:bCs/>
          <w:color w:val="000000" w:themeColor="text1"/>
          <w:sz w:val="44"/>
          <w:szCs w:val="44"/>
        </w:rPr>
        <w:t>Submitted by:</w:t>
      </w:r>
    </w:p>
    <w:p w14:paraId="5EDEC76A" w14:textId="08BE54FA" w:rsidR="00FF211D" w:rsidRPr="00FF211D" w:rsidRDefault="00966333" w:rsidP="00966333">
      <w:pPr>
        <w:pStyle w:val="NormalWeb"/>
        <w:spacing w:before="0" w:beforeAutospacing="0" w:after="0" w:afterAutospacing="0"/>
        <w:ind w:left="720"/>
        <w:jc w:val="center"/>
        <w:rPr>
          <w:rFonts w:ascii="Arial" w:hAnsi="Arial" w:cs="Arial"/>
          <w:b/>
          <w:bCs/>
          <w:color w:val="000000" w:themeColor="text1"/>
          <w:sz w:val="44"/>
          <w:szCs w:val="44"/>
        </w:rPr>
      </w:pPr>
      <w:r>
        <w:rPr>
          <w:rFonts w:ascii="Arial" w:hAnsi="Arial" w:cs="Arial"/>
          <w:b/>
          <w:bCs/>
          <w:color w:val="000000" w:themeColor="text1"/>
          <w:sz w:val="44"/>
          <w:szCs w:val="44"/>
        </w:rPr>
        <w:t xml:space="preserve">                       </w:t>
      </w:r>
      <w:r w:rsidR="00FF211D" w:rsidRPr="00FF211D">
        <w:rPr>
          <w:rFonts w:ascii="Arial" w:hAnsi="Arial" w:cs="Arial"/>
          <w:b/>
          <w:bCs/>
          <w:color w:val="000000" w:themeColor="text1"/>
          <w:sz w:val="44"/>
          <w:szCs w:val="44"/>
        </w:rPr>
        <w:t>Name: Shantanu Mishra</w:t>
      </w:r>
    </w:p>
    <w:p w14:paraId="2395289E" w14:textId="0BBFFBDC" w:rsidR="00FF211D" w:rsidRPr="00FF211D" w:rsidRDefault="00966333" w:rsidP="00966333">
      <w:pPr>
        <w:pStyle w:val="NormalWeb"/>
        <w:spacing w:before="0" w:beforeAutospacing="0" w:after="0" w:afterAutospacing="0"/>
        <w:ind w:left="720"/>
        <w:jc w:val="center"/>
        <w:rPr>
          <w:rFonts w:ascii="Arial" w:hAnsi="Arial" w:cs="Arial"/>
          <w:b/>
          <w:bCs/>
          <w:color w:val="000000" w:themeColor="text1"/>
          <w:sz w:val="44"/>
          <w:szCs w:val="44"/>
        </w:rPr>
      </w:pPr>
      <w:r>
        <w:rPr>
          <w:rFonts w:ascii="Arial" w:hAnsi="Arial" w:cs="Arial"/>
          <w:b/>
          <w:bCs/>
          <w:color w:val="000000" w:themeColor="text1"/>
          <w:sz w:val="44"/>
          <w:szCs w:val="44"/>
        </w:rPr>
        <w:t xml:space="preserve">  </w:t>
      </w:r>
      <w:r w:rsidR="00FF211D" w:rsidRPr="00FF211D">
        <w:rPr>
          <w:rFonts w:ascii="Arial" w:hAnsi="Arial" w:cs="Arial"/>
          <w:b/>
          <w:bCs/>
          <w:color w:val="000000" w:themeColor="text1"/>
          <w:sz w:val="44"/>
          <w:szCs w:val="44"/>
        </w:rPr>
        <w:t>Registration Number: 260240325055</w:t>
      </w:r>
    </w:p>
    <w:p w14:paraId="2C43F996" w14:textId="634111BC" w:rsidR="00FF211D" w:rsidRPr="00FF211D" w:rsidRDefault="00966333" w:rsidP="00FF211D">
      <w:pPr>
        <w:pStyle w:val="NormalWeb"/>
        <w:spacing w:before="0" w:beforeAutospacing="0" w:after="0" w:afterAutospacing="0"/>
        <w:ind w:left="720" w:firstLine="720"/>
        <w:jc w:val="center"/>
        <w:rPr>
          <w:rFonts w:ascii="Arial" w:hAnsi="Arial" w:cs="Arial"/>
          <w:b/>
          <w:bCs/>
          <w:color w:val="000000" w:themeColor="text1"/>
          <w:sz w:val="44"/>
          <w:szCs w:val="44"/>
        </w:rPr>
      </w:pPr>
      <w:r>
        <w:rPr>
          <w:rFonts w:ascii="Arial" w:hAnsi="Arial" w:cs="Arial"/>
          <w:b/>
          <w:bCs/>
          <w:color w:val="000000" w:themeColor="text1"/>
          <w:sz w:val="44"/>
          <w:szCs w:val="44"/>
        </w:rPr>
        <w:t xml:space="preserve">          </w:t>
      </w:r>
      <w:r w:rsidR="00FF211D" w:rsidRPr="00FF211D">
        <w:rPr>
          <w:rFonts w:ascii="Arial" w:hAnsi="Arial" w:cs="Arial"/>
          <w:b/>
          <w:bCs/>
          <w:color w:val="000000" w:themeColor="text1"/>
          <w:sz w:val="44"/>
          <w:szCs w:val="44"/>
        </w:rPr>
        <w:t>Course: PGCP-BDA (Feb</w:t>
      </w:r>
      <w:r>
        <w:rPr>
          <w:rFonts w:ascii="Arial" w:hAnsi="Arial" w:cs="Arial"/>
          <w:b/>
          <w:bCs/>
          <w:color w:val="000000" w:themeColor="text1"/>
          <w:sz w:val="44"/>
          <w:szCs w:val="44"/>
        </w:rPr>
        <w:t>’</w:t>
      </w:r>
      <w:r w:rsidR="00FF211D" w:rsidRPr="00FF211D">
        <w:rPr>
          <w:rFonts w:ascii="Arial" w:hAnsi="Arial" w:cs="Arial"/>
          <w:b/>
          <w:bCs/>
          <w:color w:val="000000" w:themeColor="text1"/>
          <w:sz w:val="44"/>
          <w:szCs w:val="44"/>
        </w:rPr>
        <w:t>26)</w:t>
      </w:r>
    </w:p>
    <w:p w14:paraId="688A025D" w14:textId="77777777" w:rsidR="00FF211D" w:rsidRPr="00FF211D" w:rsidRDefault="00FF211D" w:rsidP="00FF211D">
      <w:pPr>
        <w:pStyle w:val="NormalWeb"/>
        <w:spacing w:before="0" w:beforeAutospacing="0" w:after="0" w:afterAutospacing="0"/>
        <w:jc w:val="right"/>
        <w:rPr>
          <w:rFonts w:ascii="Arial" w:hAnsi="Arial" w:cs="Arial"/>
          <w:b/>
          <w:bCs/>
          <w:color w:val="000000" w:themeColor="text1"/>
          <w:sz w:val="44"/>
          <w:szCs w:val="44"/>
        </w:rPr>
      </w:pPr>
      <w:r w:rsidRPr="00FF211D">
        <w:rPr>
          <w:rFonts w:ascii="Arial" w:hAnsi="Arial" w:cs="Arial"/>
          <w:b/>
          <w:bCs/>
          <w:color w:val="000000" w:themeColor="text1"/>
          <w:sz w:val="44"/>
          <w:szCs w:val="44"/>
        </w:rPr>
        <w:t>Date of Submission: June 8, 2026</w:t>
      </w:r>
    </w:p>
    <w:p w14:paraId="1188739F" w14:textId="33E87999" w:rsidR="00FF211D" w:rsidRPr="00FF211D" w:rsidRDefault="00FF211D" w:rsidP="00FF211D">
      <w:pPr>
        <w:pStyle w:val="NormalWeb"/>
        <w:spacing w:before="0" w:beforeAutospacing="0" w:after="0" w:afterAutospacing="0"/>
        <w:jc w:val="right"/>
        <w:rPr>
          <w:rFonts w:ascii="Arial" w:hAnsi="Arial" w:cs="Arial"/>
          <w:b/>
          <w:bCs/>
          <w:color w:val="000000" w:themeColor="text1"/>
          <w:sz w:val="44"/>
          <w:szCs w:val="44"/>
        </w:rPr>
      </w:pPr>
    </w:p>
    <w:p w14:paraId="32965E83" w14:textId="43D4DB0E"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2531AFAE" w14:textId="7B58FD44"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2DDC1AD8" w14:textId="774330EA" w:rsidR="00FF211D" w:rsidRDefault="00FF211D" w:rsidP="00FF211D">
      <w:pPr>
        <w:pStyle w:val="NormalWeb"/>
        <w:spacing w:before="0" w:beforeAutospacing="0" w:after="0" w:afterAutospacing="0"/>
        <w:rPr>
          <w:rFonts w:ascii="Arial" w:hAnsi="Arial" w:cs="Arial"/>
          <w:b/>
          <w:bCs/>
          <w:color w:val="943634" w:themeColor="accent2" w:themeShade="BF"/>
          <w:sz w:val="44"/>
          <w:szCs w:val="44"/>
          <w:u w:val="single"/>
        </w:rPr>
      </w:pPr>
    </w:p>
    <w:p w14:paraId="45BA3AD4" w14:textId="6E161095" w:rsidR="00FF211D" w:rsidRPr="00FF211D" w:rsidRDefault="00000000" w:rsidP="00FF211D">
      <w:pPr>
        <w:pStyle w:val="NormalWeb"/>
        <w:spacing w:before="0" w:beforeAutospacing="0" w:after="0" w:afterAutospacing="0"/>
        <w:rPr>
          <w:b/>
          <w:bCs/>
          <w:sz w:val="44"/>
          <w:szCs w:val="44"/>
          <w:u w:val="single"/>
        </w:rPr>
      </w:pPr>
      <w:r w:rsidRPr="00FF211D">
        <w:rPr>
          <w:rFonts w:ascii="Arial" w:hAnsi="Arial" w:cs="Arial"/>
          <w:b/>
          <w:bCs/>
          <w:color w:val="943634" w:themeColor="accent2" w:themeShade="BF"/>
          <w:sz w:val="44"/>
          <w:szCs w:val="44"/>
          <w:u w:val="single"/>
        </w:rPr>
        <w:lastRenderedPageBreak/>
        <w:t>Executive Summary</w:t>
      </w:r>
      <w:r w:rsidRPr="00FF211D">
        <w:rPr>
          <w:b/>
          <w:bCs/>
          <w:color w:val="943634" w:themeColor="accent2" w:themeShade="BF"/>
          <w:sz w:val="44"/>
          <w:szCs w:val="44"/>
          <w:u w:val="single"/>
        </w:rPr>
        <w:t xml:space="preserve">: </w:t>
      </w:r>
      <w:r w:rsidR="00FF211D" w:rsidRPr="00FF211D">
        <w:rPr>
          <w:rFonts w:ascii="Arial" w:hAnsi="Arial" w:cs="Arial"/>
          <w:b/>
          <w:bCs/>
          <w:color w:val="000000"/>
          <w:sz w:val="44"/>
          <w:szCs w:val="44"/>
          <w:u w:val="single"/>
        </w:rPr>
        <w:t>Credit Risk Analytics | NPA Prediction &amp; Modelling</w:t>
      </w:r>
    </w:p>
    <w:p w14:paraId="2DDB3FDE" w14:textId="282544F3" w:rsidR="00CE6067" w:rsidRDefault="00CE6067">
      <w:pPr>
        <w:pStyle w:val="Title"/>
        <w:jc w:val="center"/>
      </w:pPr>
    </w:p>
    <w:p w14:paraId="4F2DFE91" w14:textId="77777777" w:rsidR="00CE6067" w:rsidRPr="00FF211D" w:rsidRDefault="00000000" w:rsidP="00FF211D">
      <w:pPr>
        <w:pStyle w:val="Heading1"/>
        <w:jc w:val="both"/>
        <w:rPr>
          <w:color w:val="000000" w:themeColor="text1"/>
          <w:sz w:val="32"/>
          <w:szCs w:val="32"/>
        </w:rPr>
      </w:pPr>
      <w:r w:rsidRPr="00FF211D">
        <w:rPr>
          <w:color w:val="000000" w:themeColor="text1"/>
          <w:sz w:val="32"/>
          <w:szCs w:val="32"/>
        </w:rPr>
        <w:t>1. Project Overview</w:t>
      </w:r>
    </w:p>
    <w:p w14:paraId="328BCF20" w14:textId="77777777" w:rsidR="00CE6067" w:rsidRPr="00FF211D" w:rsidRDefault="00000000" w:rsidP="00FF211D">
      <w:pPr>
        <w:jc w:val="both"/>
        <w:rPr>
          <w:sz w:val="28"/>
          <w:szCs w:val="28"/>
        </w:rPr>
      </w:pPr>
      <w:r w:rsidRPr="00FF211D">
        <w:rPr>
          <w:sz w:val="28"/>
          <w:szCs w:val="28"/>
        </w:rPr>
        <w:t>This report presents an Exploratory Data Analysis (EDA) and predictive modeling evaluation of the FinSight Bank dataset. The objective was to clean and consolidate fragmented data, engineer predictive features regarding customer credit behavior and collateral, and build regression models to understand factors driving Loss Given Default (LGD) and overall credit risk.</w:t>
      </w:r>
    </w:p>
    <w:p w14:paraId="3895DF49" w14:textId="77777777" w:rsidR="00CE6067" w:rsidRPr="00FF211D" w:rsidRDefault="00000000" w:rsidP="00FF211D">
      <w:pPr>
        <w:pStyle w:val="Heading1"/>
        <w:jc w:val="both"/>
        <w:rPr>
          <w:color w:val="000000" w:themeColor="text1"/>
          <w:sz w:val="32"/>
          <w:szCs w:val="32"/>
        </w:rPr>
      </w:pPr>
      <w:r w:rsidRPr="00FF211D">
        <w:rPr>
          <w:color w:val="000000" w:themeColor="text1"/>
          <w:sz w:val="32"/>
          <w:szCs w:val="32"/>
        </w:rPr>
        <w:t>2. Data Quality &amp; Preparation</w:t>
      </w:r>
    </w:p>
    <w:p w14:paraId="68A3B322" w14:textId="77777777" w:rsidR="00CE6067" w:rsidRPr="00FF211D" w:rsidRDefault="00000000" w:rsidP="00FF211D">
      <w:pPr>
        <w:pStyle w:val="ListBullet"/>
        <w:jc w:val="both"/>
        <w:rPr>
          <w:sz w:val="28"/>
          <w:szCs w:val="28"/>
        </w:rPr>
      </w:pPr>
      <w:r w:rsidRPr="00FF211D">
        <w:rPr>
          <w:sz w:val="28"/>
          <w:szCs w:val="28"/>
        </w:rPr>
        <w:t>The dataset of 2,000,000 loans was successfully assembled from 9 distinct sources. Key data quality remediations included:</w:t>
      </w:r>
    </w:p>
    <w:p w14:paraId="6B1C015B" w14:textId="77777777" w:rsidR="00CE6067" w:rsidRPr="00FF211D" w:rsidRDefault="00000000" w:rsidP="00FF211D">
      <w:pPr>
        <w:pStyle w:val="ListBullet"/>
        <w:jc w:val="both"/>
        <w:rPr>
          <w:sz w:val="28"/>
          <w:szCs w:val="28"/>
        </w:rPr>
      </w:pPr>
      <w:r w:rsidRPr="00FF211D">
        <w:rPr>
          <w:sz w:val="28"/>
          <w:szCs w:val="28"/>
        </w:rPr>
        <w:t>Rectifying impossible values: negative loan amounts, &gt;100% interest rates, and out-of-range CIBIL scores.</w:t>
      </w:r>
    </w:p>
    <w:p w14:paraId="2C6CF061" w14:textId="77777777" w:rsidR="00CE6067" w:rsidRPr="00FF211D" w:rsidRDefault="00000000" w:rsidP="00FF211D">
      <w:pPr>
        <w:pStyle w:val="ListBullet"/>
        <w:jc w:val="both"/>
        <w:rPr>
          <w:sz w:val="28"/>
          <w:szCs w:val="28"/>
        </w:rPr>
      </w:pPr>
      <w:r w:rsidRPr="00FF211D">
        <w:rPr>
          <w:sz w:val="28"/>
          <w:szCs w:val="28"/>
        </w:rPr>
        <w:t>Imputation: Handled missing values using median techniques and logical sentinels (e.g., for months since last delinquency).</w:t>
      </w:r>
    </w:p>
    <w:p w14:paraId="6A4E7780" w14:textId="77777777" w:rsidR="00CE6067" w:rsidRPr="00FF211D" w:rsidRDefault="00000000" w:rsidP="00FF211D">
      <w:pPr>
        <w:pStyle w:val="ListBullet"/>
        <w:jc w:val="both"/>
        <w:rPr>
          <w:sz w:val="28"/>
          <w:szCs w:val="28"/>
        </w:rPr>
      </w:pPr>
      <w:r w:rsidRPr="00FF211D">
        <w:rPr>
          <w:sz w:val="28"/>
          <w:szCs w:val="28"/>
        </w:rPr>
        <w:t>Winsorization and Log Transformations: Mitigated extreme right-skewness in financial variables (like income and loan amounts) to satisfy regression assumptions (Gauss-Markov).</w:t>
      </w:r>
    </w:p>
    <w:p w14:paraId="5F4B6787" w14:textId="77777777" w:rsidR="00CE6067" w:rsidRPr="00FF211D" w:rsidRDefault="00000000" w:rsidP="00FF211D">
      <w:pPr>
        <w:pStyle w:val="Heading1"/>
        <w:jc w:val="both"/>
        <w:rPr>
          <w:color w:val="000000" w:themeColor="text1"/>
          <w:sz w:val="32"/>
          <w:szCs w:val="32"/>
        </w:rPr>
      </w:pPr>
      <w:r w:rsidRPr="00FF211D">
        <w:rPr>
          <w:color w:val="000000" w:themeColor="text1"/>
          <w:sz w:val="32"/>
          <w:szCs w:val="32"/>
        </w:rPr>
        <w:t>3. Key Analytical Insights</w:t>
      </w:r>
    </w:p>
    <w:p w14:paraId="6ACF93D0" w14:textId="77777777" w:rsidR="00CE6067" w:rsidRPr="00FF211D" w:rsidRDefault="00000000" w:rsidP="00FF211D">
      <w:pPr>
        <w:pStyle w:val="ListBullet"/>
        <w:jc w:val="both"/>
        <w:rPr>
          <w:sz w:val="28"/>
          <w:szCs w:val="28"/>
        </w:rPr>
      </w:pPr>
      <w:r w:rsidRPr="00FF211D">
        <w:rPr>
          <w:sz w:val="28"/>
          <w:szCs w:val="28"/>
        </w:rPr>
        <w:t>Class Imbalance in Defaults: The portfolio default rate stands at exactly 3.88% (a 25:1 Performing to Default ratio). This severe imbalance requires mitigation techniques like SMOTE or balanced class weighting for accurate predictive modeling.</w:t>
      </w:r>
    </w:p>
    <w:p w14:paraId="38667060" w14:textId="77777777" w:rsidR="00CE6067" w:rsidRPr="00FF211D" w:rsidRDefault="00000000" w:rsidP="00FF211D">
      <w:pPr>
        <w:pStyle w:val="ListBullet"/>
        <w:jc w:val="both"/>
        <w:rPr>
          <w:sz w:val="28"/>
          <w:szCs w:val="28"/>
        </w:rPr>
      </w:pPr>
      <w:r w:rsidRPr="00FF211D">
        <w:rPr>
          <w:sz w:val="28"/>
          <w:szCs w:val="28"/>
        </w:rPr>
        <w:t>Collateral Impact: High collateral coverage ratios directly decrease LGD. Strong tangible asset backing acts as a powerful buffer against net credit loss.</w:t>
      </w:r>
    </w:p>
    <w:p w14:paraId="4CF1D63C" w14:textId="77777777" w:rsidR="00CE6067" w:rsidRPr="00FF211D" w:rsidRDefault="00000000" w:rsidP="00FF211D">
      <w:pPr>
        <w:pStyle w:val="ListBullet"/>
        <w:jc w:val="both"/>
        <w:rPr>
          <w:sz w:val="28"/>
          <w:szCs w:val="28"/>
        </w:rPr>
      </w:pPr>
      <w:r w:rsidRPr="00FF211D">
        <w:rPr>
          <w:sz w:val="28"/>
          <w:szCs w:val="28"/>
        </w:rPr>
        <w:t>Delinquency Recency: Time-decay weighted delinquency scores are highly effective. A recent default heavily indicates current financial distress compared to older events.</w:t>
      </w:r>
    </w:p>
    <w:p w14:paraId="74B4A0F2" w14:textId="77777777" w:rsidR="00CE6067" w:rsidRPr="00FF211D" w:rsidRDefault="00000000" w:rsidP="00FF211D">
      <w:pPr>
        <w:pStyle w:val="ListBullet"/>
        <w:jc w:val="both"/>
        <w:rPr>
          <w:sz w:val="28"/>
          <w:szCs w:val="28"/>
        </w:rPr>
      </w:pPr>
      <w:r w:rsidRPr="00FF211D">
        <w:rPr>
          <w:sz w:val="28"/>
          <w:szCs w:val="28"/>
        </w:rPr>
        <w:t>COVID-19 Impact: A statistically significant difference in LGD was observed for loans issued during the COVID-19 pandemic (2020), underscoring the macro-economic effect on credit recoveries.</w:t>
      </w:r>
    </w:p>
    <w:p w14:paraId="508F6C5C" w14:textId="77777777" w:rsidR="00CE6067" w:rsidRPr="00FF211D" w:rsidRDefault="00000000" w:rsidP="00FF211D">
      <w:pPr>
        <w:pStyle w:val="Heading1"/>
        <w:jc w:val="both"/>
        <w:rPr>
          <w:color w:val="000000" w:themeColor="text1"/>
          <w:sz w:val="32"/>
          <w:szCs w:val="32"/>
        </w:rPr>
      </w:pPr>
      <w:r w:rsidRPr="00FF211D">
        <w:rPr>
          <w:color w:val="000000" w:themeColor="text1"/>
          <w:sz w:val="32"/>
          <w:szCs w:val="32"/>
        </w:rPr>
        <w:t>4. Modeling Outcomes</w:t>
      </w:r>
    </w:p>
    <w:p w14:paraId="293CD66C" w14:textId="77777777" w:rsidR="00CE6067" w:rsidRPr="00FF211D" w:rsidRDefault="00000000" w:rsidP="00FF211D">
      <w:pPr>
        <w:jc w:val="both"/>
        <w:rPr>
          <w:sz w:val="28"/>
          <w:szCs w:val="28"/>
        </w:rPr>
      </w:pPr>
      <w:r w:rsidRPr="00FF211D">
        <w:rPr>
          <w:sz w:val="28"/>
          <w:szCs w:val="28"/>
        </w:rPr>
        <w:t>After removing multicollinear features (e.g., rate spread percentage with a VIF &gt; 10), baseline OLS, Ridge, Lasso, and ElasticNet models were trained. Lasso regularization identified features with no marginal predictive value, providing a clear pathway for model simplification without losing predictive power.</w:t>
      </w:r>
    </w:p>
    <w:p w14:paraId="1DFAAE46" w14:textId="77777777" w:rsidR="00CE6067" w:rsidRPr="00FF211D" w:rsidRDefault="00000000" w:rsidP="00FF211D">
      <w:pPr>
        <w:pStyle w:val="Heading1"/>
        <w:jc w:val="both"/>
        <w:rPr>
          <w:color w:val="000000" w:themeColor="text1"/>
          <w:sz w:val="32"/>
          <w:szCs w:val="32"/>
        </w:rPr>
      </w:pPr>
      <w:r w:rsidRPr="00FF211D">
        <w:rPr>
          <w:color w:val="000000" w:themeColor="text1"/>
          <w:sz w:val="32"/>
          <w:szCs w:val="32"/>
        </w:rPr>
        <w:t>5. Strategic Recommendations</w:t>
      </w:r>
    </w:p>
    <w:p w14:paraId="34FC8062" w14:textId="77777777" w:rsidR="00CE6067" w:rsidRPr="00FF211D" w:rsidRDefault="00000000" w:rsidP="00FF211D">
      <w:pPr>
        <w:pStyle w:val="ListBullet"/>
        <w:jc w:val="both"/>
        <w:rPr>
          <w:sz w:val="28"/>
          <w:szCs w:val="28"/>
        </w:rPr>
      </w:pPr>
      <w:r w:rsidRPr="00FF211D">
        <w:rPr>
          <w:sz w:val="28"/>
          <w:szCs w:val="28"/>
        </w:rPr>
        <w:t>Cap EMI-to-Income Ratio at 50%: As the strongest correlate with LGD, new sanctions where EMI-to-income exceeds 50% historically exhibit a 31% higher average LGD. Enforcing a 50% cap is highly recommended.</w:t>
      </w:r>
    </w:p>
    <w:p w14:paraId="55D5F7FB" w14:textId="77777777" w:rsidR="00CE6067" w:rsidRPr="00FF211D" w:rsidRDefault="00000000" w:rsidP="00FF211D">
      <w:pPr>
        <w:pStyle w:val="ListBullet"/>
        <w:jc w:val="both"/>
        <w:rPr>
          <w:sz w:val="28"/>
          <w:szCs w:val="28"/>
        </w:rPr>
      </w:pPr>
      <w:r w:rsidRPr="00FF211D">
        <w:rPr>
          <w:sz w:val="28"/>
          <w:szCs w:val="28"/>
        </w:rPr>
        <w:t>Prioritize Collateralized Products in High-Risk States: In states identified as COVID-vulnerable (default rates &gt;5 pp above average), mandating collateral (targeting a coverage ratio &gt; 1.2, which lowers LGD by 40%) for ticket sizes above ₹5 Lakh could reduce net loss exposure by ₹60–90 Crore annually.</w:t>
      </w:r>
    </w:p>
    <w:p w14:paraId="0C9743DC" w14:textId="77777777" w:rsidR="00CE6067" w:rsidRPr="00FF211D" w:rsidRDefault="00000000" w:rsidP="00FF211D">
      <w:pPr>
        <w:pStyle w:val="ListBullet"/>
        <w:jc w:val="both"/>
        <w:rPr>
          <w:sz w:val="28"/>
          <w:szCs w:val="28"/>
        </w:rPr>
      </w:pPr>
      <w:r w:rsidRPr="00FF211D">
        <w:rPr>
          <w:sz w:val="28"/>
          <w:szCs w:val="28"/>
        </w:rPr>
        <w:t>Strengthen CIBIL Score Thresholds: Allow lower CIBIL scores only when compensated by robust collateral coverage (e.g., &gt; 1.5).</w:t>
      </w:r>
    </w:p>
    <w:sectPr w:rsidR="00CE6067" w:rsidRPr="00FF211D" w:rsidSect="00966333">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F03878"/>
    <w:multiLevelType w:val="multilevel"/>
    <w:tmpl w:val="06D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740813">
    <w:abstractNumId w:val="8"/>
  </w:num>
  <w:num w:numId="2" w16cid:durableId="841554895">
    <w:abstractNumId w:val="6"/>
  </w:num>
  <w:num w:numId="3" w16cid:durableId="1615332574">
    <w:abstractNumId w:val="5"/>
  </w:num>
  <w:num w:numId="4" w16cid:durableId="1821994497">
    <w:abstractNumId w:val="4"/>
  </w:num>
  <w:num w:numId="5" w16cid:durableId="1028221776">
    <w:abstractNumId w:val="7"/>
  </w:num>
  <w:num w:numId="6" w16cid:durableId="796029572">
    <w:abstractNumId w:val="3"/>
  </w:num>
  <w:num w:numId="7" w16cid:durableId="1785032088">
    <w:abstractNumId w:val="2"/>
  </w:num>
  <w:num w:numId="8" w16cid:durableId="1916744950">
    <w:abstractNumId w:val="1"/>
  </w:num>
  <w:num w:numId="9" w16cid:durableId="923076600">
    <w:abstractNumId w:val="0"/>
  </w:num>
  <w:num w:numId="10" w16cid:durableId="1655255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FE1"/>
    <w:rsid w:val="00966333"/>
    <w:rsid w:val="00AA1D8D"/>
    <w:rsid w:val="00B47730"/>
    <w:rsid w:val="00CB0664"/>
    <w:rsid w:val="00CE6067"/>
    <w:rsid w:val="00FC693F"/>
    <w:rsid w:val="00FF21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CC96B"/>
  <w14:defaultImageDpi w14:val="300"/>
  <w15:docId w15:val="{2C2384E9-F346-44BD-BF61-5006ACD2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211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453</Words>
  <Characters>2585</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Project Overview</vt:lpstr>
      <vt:lpstr>2. Data Quality &amp; Preparation</vt:lpstr>
      <vt:lpstr>3. Key Analytical Insights</vt:lpstr>
      <vt:lpstr>4. Modeling Outcomes</vt:lpstr>
      <vt:lpstr>5. Strategic Recommendations</vt:lpstr>
    </vt:vector>
  </TitlesOfParts>
  <Manager/>
  <Company/>
  <LinksUpToDate>false</LinksUpToDate>
  <CharactersWithSpaces>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Shantanu Mishra</cp:lastModifiedBy>
  <cp:revision>2</cp:revision>
  <dcterms:created xsi:type="dcterms:W3CDTF">2013-12-23T23:15:00Z</dcterms:created>
  <dcterms:modified xsi:type="dcterms:W3CDTF">2026-06-08T02:20:00Z</dcterms:modified>
  <cp:category/>
</cp:coreProperties>
</file>