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IBM Plex Mono" w:cs="IBM Plex Mono" w:eastAsia="IBM Plex Mono" w:hAnsi="IBM Plex Mono"/>
          <w:b/>
          <w:bCs/>
          <w:color w:val="3E8E72"/>
          <w:spacing w:val="20"/>
          <w:sz w:val="17"/>
          <w:szCs w:val="17"/>
        </w:rPr>
        <w:t xml:space="preserve">INSIGHT MEMO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B2233"/>
          <w:sz w:val="34"/>
          <w:szCs w:val="34"/>
        </w:rPr>
        <w:t xml:space="preserve">What the last 24 months of order data tell us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Three findings from the order/revenue data, each with one concrete next step. Full breakdown and live charts are in the companion dashboard; this page is the version meant to be read in five minutes before a leadership meeting.</w:t>
      </w:r>
    </w:p>
    <w:p>
      <w:pPr>
        <w:spacing w:after="60" w:before="280"/>
      </w:pPr>
      <w:r>
        <w:rPr>
          <w:rFonts w:ascii="IBM Plex Mono" w:cs="IBM Plex Mono" w:eastAsia="IBM Plex Mono" w:hAnsi="IBM Plex Mono"/>
          <w:b/>
          <w:bCs/>
          <w:color w:val="3E8E72"/>
          <w:spacing w:val="20"/>
          <w:sz w:val="17"/>
          <w:szCs w:val="17"/>
        </w:rPr>
        <w:t xml:space="preserve">FINDING 1</w:t>
      </w:r>
    </w:p>
    <w:p>
      <w:pPr>
        <w:spacing w:after="9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Revenue is holding steady, not growing — and that's a planning input, not a problem to hide.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the data shows: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Total revenue across the period was $1.92M. Month-to-month growth swings between roughly -17% and +15% with no consistent upward or downward direction — the most recent month was up 12.7%, but the month before that was down 3.8%. Read together, this is noise around a flat line, not a trend.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7" w:sz="2"/>
              <w:left w:val="single" w:color="D9D5C7" w:sz="2"/>
              <w:bottom w:val="single" w:color="D9D5C7" w:sz="2"/>
              <w:right w:val="single" w:color="D9D5C7" w:sz="2"/>
            </w:tcBorders>
            <w:shd w:fill="F4F1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B2233"/>
                <w:sz w:val="16"/>
                <w:szCs w:val="16"/>
              </w:rPr>
              <w:t xml:space="preserve">RECOMMENDATION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Stop reporting single-month growth rates in the leadership readout — they're too noisy to act on individually. Report the trailing 3-month average growth rate instead, and treat any real growth as something the team has to actively create (a promotion, a new category, a channel push), not something the business will do on its own.</w:t>
            </w:r>
          </w:p>
        </w:tc>
      </w:tr>
    </w:tbl>
    <w:p>
      <w:pPr>
        <w:spacing w:after="60" w:before="280"/>
      </w:pPr>
      <w:r>
        <w:rPr>
          <w:rFonts w:ascii="IBM Plex Mono" w:cs="IBM Plex Mono" w:eastAsia="IBM Plex Mono" w:hAnsi="IBM Plex Mono"/>
          <w:b/>
          <w:bCs/>
          <w:color w:val="3E8E72"/>
          <w:spacing w:val="20"/>
          <w:sz w:val="17"/>
          <w:szCs w:val="17"/>
        </w:rPr>
        <w:t xml:space="preserve">FINDING 2</w:t>
      </w:r>
    </w:p>
    <w:p>
      <w:pPr>
        <w:spacing w:after="9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Two categories — pet supplies and auto parts — punch above their weight on order value.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the data shows: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Pet Supplies and Auto Parts are the top two revenue categories ($165K and $158K respectively) and carry an average item price of roughly $101–$105, about 20–25% higher than the $84 catalog average. They're not winning on order volume — they're winning on what each order is worth.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7" w:sz="2"/>
              <w:left w:val="single" w:color="D9D5C7" w:sz="2"/>
              <w:bottom w:val="single" w:color="D9D5C7" w:sz="2"/>
              <w:right w:val="single" w:color="D9D5C7" w:sz="2"/>
            </w:tcBorders>
            <w:shd w:fill="F4F1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B2233"/>
                <w:sz w:val="16"/>
                <w:szCs w:val="16"/>
              </w:rPr>
              <w:t xml:space="preserve">RECOMMENDATION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Pilot a cross-sell or bundle offer in Pet Supplies and Auto Parts before rolling anything out catalog-wide. A customer converted in these two categories is worth meaningfully more on average, so this is the highest-leverage place to test a basket-growth tactic first.</w:t>
            </w:r>
          </w:p>
        </w:tc>
      </w:tr>
    </w:tbl>
    <w:p>
      <w:pPr>
        <w:spacing w:after="60" w:before="280"/>
      </w:pPr>
      <w:r>
        <w:rPr>
          <w:rFonts w:ascii="IBM Plex Mono" w:cs="IBM Plex Mono" w:eastAsia="IBM Plex Mono" w:hAnsi="IBM Plex Mono"/>
          <w:b/>
          <w:bCs/>
          <w:color w:val="B5503A"/>
          <w:spacing w:val="20"/>
          <w:sz w:val="17"/>
          <w:szCs w:val="17"/>
        </w:rPr>
        <w:t xml:space="preserve">FINDING 3</w:t>
      </w:r>
    </w:p>
    <w:p>
      <w:pPr>
        <w:spacing w:after="90"/>
      </w:pPr>
      <w:r>
        <w:rPr>
          <w:rFonts w:ascii="Georgia" w:cs="Georgia" w:eastAsia="Georgia" w:hAnsi="Georgia"/>
          <w:b/>
          <w:bCs/>
          <w:color w:val="222222"/>
          <w:sz w:val="26"/>
          <w:szCs w:val="26"/>
        </w:rPr>
        <w:t xml:space="preserve">Repeat buyers are common, but a large share of past customers have gone quiet — retention deserves equal billing with acquisition.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What the data shows: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68% of customers have placed more than one order, which is a healthy repeat-purchase signal. At the same time, a large majority of customers who've had enough time to come back haven't ordered in the trailing 90 days. (Note: with this dataset's order timing being closer to random than a real customer base, the exact churn percentage should be re-validated against live data — but the 90-day-inactivity method itself is the right lens to keep using.)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7" w:sz="2"/>
              <w:left w:val="single" w:color="D9D5C7" w:sz="2"/>
              <w:bottom w:val="single" w:color="D9D5C7" w:sz="2"/>
              <w:right w:val="single" w:color="D9D5C7" w:sz="2"/>
            </w:tcBorders>
            <w:shd w:fill="F4F1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B2233"/>
                <w:sz w:val="16"/>
                <w:szCs w:val="16"/>
              </w:rPr>
              <w:t xml:space="preserve">RECOMMENDATION 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a simple win-back trigger — an email or modest discount — that fires automatically when a customer crosses 90 days of inactivity, before they go fully dormant. Track 90-day reactivation rate as an ongoing KPI alongside repeat-purchase rate, not as a one-off project.</w:t>
            </w:r>
          </w:p>
        </w:tc>
      </w:tr>
    </w:tbl>
    <w:p>
      <w:pPr>
        <w:pBdr>
          <w:top w:val="single" w:color="D9D5C7" w:sz="4" w:space="8"/>
        </w:pBdr>
        <w:spacing w:after="0" w:before="320"/>
      </w:pPr>
      <w:r>
        <w:rPr>
          <w:rFonts w:ascii="IBM Plex Mono" w:cs="IBM Plex Mono" w:eastAsia="IBM Plex Mono" w:hAnsi="IBM Plex Mono"/>
          <w:color w:val="666666"/>
          <w:spacing w:val="15"/>
          <w:sz w:val="14"/>
          <w:szCs w:val="14"/>
        </w:rPr>
        <w:t xml:space="preserve">METHODOLOGY</w:t>
      </w:r>
    </w:p>
    <w:p>
      <w:pPr>
        <w:spacing w:before="6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Revenue = sum of delivered order line items. Repeat-purchase rate is grouped by the customer's real identity, not a per-order ID (an important distinction in marketplace-style order data). Churn proxy = customers whose first order was 90+ days before the latest date in the data, with no order in the trailing 90 days. Underlying data for this memo is a synthetic dataset built to mirror the real Olist Brazilian e-commerce dataset's structure and data-quality issues — see the companion project README for details and for how to point this same pipeline at live data.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IBM Plex Mono" w:cs="IBM Plex Mono" w:eastAsia="IBM Plex Mono" w:hAnsi="IBM Plex Mono"/>
        <w:color w:val="666666"/>
        <w:sz w:val="14"/>
        <w:szCs w:val="14"/>
      </w:rPr>
      <w:t xml:space="preserve">Insight Memo · </w:t>
    </w:r>
    <w:r>
      <w:rPr>
        <w:rFonts w:ascii="IBM Plex Mono" w:cs="IBM Plex Mono" w:eastAsia="IBM Plex Mono" w:hAnsi="IBM Plex Mono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IBM Plex Mono" w:cs="IBM Plex Mono" w:eastAsia="IBM Plex Mono" w:hAnsi="IBM Plex Mono"/>
        <w:color w:val="666666"/>
        <w:spacing w:val="10"/>
        <w:sz w:val="15"/>
        <w:szCs w:val="15"/>
      </w:rPr>
      <w:t xml:space="preserve">COMMERCE PULSE — MONTHLY OPERATING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2026-06-20T02:14:04.031Z</dcterms:created>
  <dcterms:modified xsi:type="dcterms:W3CDTF">2026-06-20T02:14:04.031Z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