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0"/>
        </w:rPr>
        <w:t>Evaluation Sheet for Capex Model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08"/>
        <w:gridCol w:w="288"/>
        <w:gridCol w:w="4608"/>
      </w:tblGrid>
      <w:tr>
        <w:tc>
          <w:tcPr>
            <w:tcW w:type="dxa" w:w="288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4608"/>
                  <w:gridSpan w:val="3"/>
                  <w:shd w:val="clear" w:color="auto" w:fill="00206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Project Specification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Client Name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Reddy's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Project Location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Rohinjan Gaon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Project Size (KW)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8.40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Cost per KW ex GST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62,000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Project Cost ex GST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5,20,800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GST @ 8.9%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46,351</w:t>
                  </w:r>
                </w:p>
              </w:tc>
            </w:tr>
            <w:tr>
              <w:tc>
                <w:tcPr>
                  <w:tcW w:type="dxa" w:w="2592"/>
                  <w:shd w:val="clear" w:color="auto" w:fill="92D050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Total Project Cost inc GST</w:t>
                  </w:r>
                </w:p>
              </w:tc>
              <w:tc>
                <w:tcPr>
                  <w:tcW w:type="dxa" w:w="576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5,67,151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Client's Current Grid Tariff /Unit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18.00</w:t>
                  </w:r>
                </w:p>
              </w:tc>
            </w:tr>
          </w:tbl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4608"/>
                  <w:gridSpan w:val="3"/>
                  <w:shd w:val="clear" w:color="auto" w:fill="00206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Plant Performance</w:t>
                  </w:r>
                </w:p>
              </w:tc>
            </w:tr>
            <w:tr>
              <w:tc>
                <w:tcPr>
                  <w:tcW w:type="dxa" w:w="3168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Average Annual Generation (KW)</w:t>
                  </w:r>
                </w:p>
              </w:tc>
              <w:tc>
                <w:tcPr>
                  <w:tcW w:type="dxa" w:w="288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152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11,592.00</w:t>
                  </w:r>
                </w:p>
              </w:tc>
            </w:tr>
            <w:tr>
              <w:tc>
                <w:tcPr>
                  <w:tcW w:type="dxa" w:w="3168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Average Monthly Generation (KW)</w:t>
                  </w:r>
                </w:p>
              </w:tc>
              <w:tc>
                <w:tcPr>
                  <w:tcW w:type="dxa" w:w="288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152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966.00</w:t>
                  </w:r>
                </w:p>
              </w:tc>
            </w:tr>
            <w:tr>
              <w:tc>
                <w:tcPr>
                  <w:tcW w:type="dxa" w:w="3168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Estimated Year-on-Year degradation</w:t>
                  </w:r>
                </w:p>
              </w:tc>
              <w:tc>
                <w:tcPr>
                  <w:tcW w:type="dxa" w:w="288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152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0.70 - 0.80%</w:t>
                  </w:r>
                </w:p>
              </w:tc>
            </w:tr>
          </w:tbl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4608"/>
                  <w:gridSpan w:val="3"/>
                  <w:shd w:val="clear" w:color="auto" w:fill="00206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O&amp;M Cost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Cost per KW of maintenance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750.00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Total Cost per year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6,300.00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Yearly escalation in O&amp;M Cost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3.00%</w:t>
                  </w:r>
                </w:p>
              </w:tc>
            </w:tr>
          </w:tbl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4608"/>
                  <w:gridSpan w:val="3"/>
                  <w:shd w:val="clear" w:color="auto" w:fill="00206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Accelerated Depreciation Benefits</w:t>
                  </w:r>
                </w:p>
              </w:tc>
            </w:tr>
            <w:tr>
              <w:tc>
                <w:tcPr>
                  <w:tcW w:type="dxa" w:w="2880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1st year - 25% tax savings on 40% depreciation</w:t>
                  </w:r>
                </w:p>
              </w:tc>
              <w:tc>
                <w:tcPr>
                  <w:tcW w:type="dxa" w:w="288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52,080.00</w:t>
                  </w:r>
                </w:p>
              </w:tc>
            </w:tr>
            <w:tr>
              <w:tc>
                <w:tcPr>
                  <w:tcW w:type="dxa" w:w="2880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2nd year - 25% tax savings on 40% depreciation</w:t>
                  </w:r>
                </w:p>
              </w:tc>
              <w:tc>
                <w:tcPr>
                  <w:tcW w:type="dxa" w:w="288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46,872.00</w:t>
                  </w:r>
                </w:p>
              </w:tc>
            </w:tr>
            <w:tr>
              <w:tc>
                <w:tcPr>
                  <w:tcW w:type="dxa" w:w="2880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3rd year - 25% tax savings on 20% depreciation</w:t>
                  </w:r>
                </w:p>
              </w:tc>
              <w:tc>
                <w:tcPr>
                  <w:tcW w:type="dxa" w:w="288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21,092.40</w:t>
                  </w:r>
                </w:p>
              </w:tc>
            </w:tr>
            <w:tr>
              <w:tc>
                <w:tcPr>
                  <w:tcW w:type="dxa" w:w="2880"/>
                  <w:shd w:val="clear" w:color="auto" w:fill="92D050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Total</w:t>
                  </w:r>
                </w:p>
              </w:tc>
              <w:tc>
                <w:tcPr>
                  <w:tcW w:type="dxa" w:w="288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1,20,045.00</w:t>
                  </w:r>
                </w:p>
              </w:tc>
            </w:tr>
          </w:tbl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4608"/>
                  <w:gridSpan w:val="3"/>
                  <w:shd w:val="clear" w:color="auto" w:fill="00206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Return On Investment (ROI) Calculation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Project Cost ex GST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5,67,151.20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Additional / Subsidy Benefits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1,20,045.00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Cost Via Grid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2,31,376.32</w:t>
                  </w:r>
                </w:p>
              </w:tc>
            </w:tr>
            <w:tr>
              <w:tc>
                <w:tcPr>
                  <w:tcW w:type="dxa" w:w="2592"/>
                  <w:shd w:val="clear" w:color="auto" w:fill="FFFFFF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ROI in Years</w:t>
                  </w:r>
                </w:p>
              </w:tc>
              <w:tc>
                <w:tcPr>
                  <w:tcW w:type="dxa" w:w="576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</w:r>
                </w:p>
              </w:tc>
              <w:tc>
                <w:tcPr>
                  <w:tcW w:type="dxa" w:w="1440"/>
                  <w:shd w:val="clear" w:color="auto" w:fill="FFFFFF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1.93</w:t>
                  </w:r>
                </w:p>
              </w:tc>
            </w:tr>
            <w:tr>
              <w:tc>
                <w:tcPr>
                  <w:tcW w:type="dxa" w:w="2592"/>
                  <w:shd w:val="clear" w:color="auto" w:fill="DCE6F1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Monthly Payments</w:t>
                  </w:r>
                </w:p>
              </w:tc>
              <w:tc>
                <w:tcPr>
                  <w:tcW w:type="dxa" w:w="576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DCE6F1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 w:val="0"/>
                      <w:color w:val="000000"/>
                      <w:sz w:val="18"/>
                    </w:rPr>
                    <w:t>-</w:t>
                  </w:r>
                </w:p>
              </w:tc>
            </w:tr>
            <w:tr>
              <w:tc>
                <w:tcPr>
                  <w:tcW w:type="dxa" w:w="2592"/>
                  <w:shd w:val="clear" w:color="auto" w:fill="92D050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Total Plant cost inc Interest</w:t>
                  </w:r>
                </w:p>
              </w:tc>
              <w:tc>
                <w:tcPr>
                  <w:tcW w:type="dxa" w:w="576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₹</w:t>
                  </w:r>
                </w:p>
              </w:tc>
              <w:tc>
                <w:tcPr>
                  <w:tcW w:type="dxa" w:w="1440"/>
                  <w:shd w:val="clear" w:color="auto" w:fill="92D050"/>
                  <w:vAlign w:val="center"/>
                </w:tcPr>
                <w:p>
                  <w:pPr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000000"/>
                      <w:sz w:val="18"/>
                    </w:rPr>
                    <w:t>-</w:t>
                  </w:r>
                </w:p>
              </w:tc>
            </w:tr>
          </w:tbl>
          <w:p/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152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</w:t>
              <w:br/>
              <w:t>Generation</w:t>
            </w:r>
          </w:p>
        </w:tc>
        <w:tc>
          <w:tcPr>
            <w:tcW w:type="dxa" w:w="1296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Cost via</w:t>
              <w:br/>
              <w:t>Grid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Solar Plant</w:t>
              <w:br/>
              <w:t>EMIs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O&amp;M Cost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GSC</w:t>
              <w:br/>
              <w:t>Charges</w:t>
            </w:r>
          </w:p>
        </w:tc>
        <w:tc>
          <w:tcPr>
            <w:tcW w:type="dxa" w:w="1152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AD Benefit</w:t>
            </w:r>
          </w:p>
        </w:tc>
        <w:tc>
          <w:tcPr>
            <w:tcW w:type="dxa" w:w="1296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Savings via</w:t>
              <w:br/>
              <w:t>Solar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3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4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5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6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7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8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9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11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13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14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15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16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17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18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19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21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23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24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Year 25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11,592.00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2,08,656.00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6,300.00</w:t>
            </w:r>
          </w:p>
        </w:tc>
        <w:tc>
          <w:tcPr>
            <w:tcW w:type="dxa" w:w="1008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22,720.32</w:t>
            </w:r>
          </w:p>
        </w:tc>
        <w:tc>
          <w:tcPr>
            <w:tcW w:type="dxa" w:w="1152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52,080.00</w:t>
            </w:r>
          </w:p>
        </w:tc>
        <w:tc>
          <w:tcPr>
            <w:tcW w:type="dxa" w:w="1296"/>
            <w:shd w:val="clear" w:color="auto" w:fill="DCE6F1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₹ 2,83,456.32</w:t>
            </w:r>
          </w:p>
        </w:tc>
      </w:tr>
      <w:tr>
        <w:tc>
          <w:tcPr>
            <w:tcW w:type="dxa" w:w="864"/>
            <w:shd w:val="clear" w:color="auto" w:fill="0020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Total over 25 years</w:t>
            </w:r>
          </w:p>
        </w:tc>
        <w:tc>
          <w:tcPr>
            <w:tcW w:type="dxa" w:w="1152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2,69,863.33</w:t>
            </w:r>
          </w:p>
        </w:tc>
        <w:tc>
          <w:tcPr>
            <w:tcW w:type="dxa" w:w="1296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48,57,539.87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-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2,16,886.76</w:t>
            </w:r>
          </w:p>
        </w:tc>
        <w:tc>
          <w:tcPr>
            <w:tcW w:type="dxa" w:w="1008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5,28,932.12</w:t>
            </w:r>
          </w:p>
        </w:tc>
        <w:tc>
          <w:tcPr>
            <w:tcW w:type="dxa" w:w="1152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1,20,044.40</w:t>
            </w:r>
          </w:p>
        </w:tc>
        <w:tc>
          <w:tcPr>
            <w:tcW w:type="dxa" w:w="1296"/>
            <w:shd w:val="clear" w:color="auto" w:fill="0020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₹ 52,89,629.63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