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Provide Insights to the Marketing Team in Food &amp; Beverage Industry </w:t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Primary Insights (Sample Sections / Questions)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Note: These insights can be derived from the survey responses 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hd w:fill="4a86e8" w:val="clear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1. Demographic Insights (examples)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a. Who prefers energy drinks more? (male/female/non-binary?) -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Male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b. Which age group prefers energy drinks more? -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19-30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c. Which type of marketing reaches the most Youth (15-30)? -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Online Ads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 Consumer Preferences: 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a. What are the preferred ingredients of energy drinks among respondents? - 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Caffeine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b. What packaging preferences do respondents have for energy drinks? - 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Compact and portable cans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3. Competition Analysis: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a. Who are the current market leaders? - 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Cola-Coka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b. What are the primary reasons consumers prefer those brands over ours? - 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Increased energy and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4. Marketing Channels and Brand Awareness: 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a. Which marketing channel can be used to reach more customers? - 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Online 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b. How effective are different marketing strategies and channels in reaching our customers?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Online ads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TV commercials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Outdoor billboards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Other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65.9090909090909" w:lineRule="auto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Print media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65.9090909090909" w:lineRule="auto"/>
              <w:rPr>
                <w:rFonts w:ascii="Comic Sans MS" w:cs="Comic Sans MS" w:eastAsia="Comic Sans MS" w:hAnsi="Comic Sans MS"/>
                <w:highlight w:val="whit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73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5. Brand Penetration: 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a. What do people think about our brand? (overall rating) 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Neutral     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589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219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65.9090909090909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white"/>
                <w:rtl w:val="0"/>
              </w:rPr>
              <w:t xml:space="preserve">Negative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172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b. Which cities do we need to focus more on? 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438775" cy="5000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6. Purchase Behavior: 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a. Where do respondents prefer to purchase energy drinks? </w:t>
      </w:r>
    </w:p>
    <w:p w:rsidR="00000000" w:rsidDel="00000000" w:rsidP="00000000" w:rsidRDefault="00000000" w:rsidRPr="00000000" w14:paraId="00000037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4257206" cy="45004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206" cy="4500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b. What are the typical consumption situations for energy drinks among respondents? 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Sports/exercise              4494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Studying/working late     3231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Social outings/parties     1487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Other                              491</w:t>
      </w:r>
    </w:p>
    <w:p w:rsidR="00000000" w:rsidDel="00000000" w:rsidP="00000000" w:rsidRDefault="00000000" w:rsidRPr="00000000" w14:paraId="0000003D">
      <w:pPr>
        <w:spacing w:line="265.9090909090909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Driving/commuting          297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c. What factors influence respondents' purchase decisions, such as price range and limited edition packaging?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Price Range: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50-99         4288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100-150      3142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Above 150   1561</w:t>
      </w:r>
    </w:p>
    <w:p w:rsidR="00000000" w:rsidDel="00000000" w:rsidP="00000000" w:rsidRDefault="00000000" w:rsidRPr="00000000" w14:paraId="00000044">
      <w:pPr>
        <w:spacing w:line="265.9090909090909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Below 50     1009</w:t>
      </w:r>
    </w:p>
    <w:p w:rsidR="00000000" w:rsidDel="00000000" w:rsidP="00000000" w:rsidRDefault="00000000" w:rsidRPr="00000000" w14:paraId="00000045">
      <w:pPr>
        <w:spacing w:line="265.9090909090909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65.9090909090909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Limited Edition Packaging:</w:t>
      </w:r>
    </w:p>
    <w:p w:rsidR="00000000" w:rsidDel="00000000" w:rsidP="00000000" w:rsidRDefault="00000000" w:rsidRPr="00000000" w14:paraId="00000047">
      <w:pPr>
        <w:spacing w:line="265.9090909090909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No              4023</w:t>
      </w:r>
    </w:p>
    <w:p w:rsidR="00000000" w:rsidDel="00000000" w:rsidP="00000000" w:rsidRDefault="00000000" w:rsidRPr="00000000" w14:paraId="00000048">
      <w:pPr>
        <w:spacing w:line="265.9090909090909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Yes             3946</w:t>
      </w:r>
    </w:p>
    <w:p w:rsidR="00000000" w:rsidDel="00000000" w:rsidP="00000000" w:rsidRDefault="00000000" w:rsidRPr="00000000" w14:paraId="00000049">
      <w:pPr>
        <w:spacing w:line="265.9090909090909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Not Sure    2031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7. Product Development: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a. Which area of business should we focus more on our product development? (Branding/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taste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/availability) 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Reduced sugar content      - 2995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More natural ingredients   - 2498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Wider range of flavors      - 2037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Healthier alternatives       - 1472</w:t>
      </w:r>
    </w:p>
    <w:p w:rsidR="00000000" w:rsidDel="00000000" w:rsidP="00000000" w:rsidRDefault="00000000" w:rsidRPr="00000000" w14:paraId="00000051">
      <w:pPr>
        <w:spacing w:line="265.9090909090909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Other                                -  998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Secondary Insights (Sample Sections / Questions) 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Note: You need to do additional market research Recommendations for CodeX: 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Give 5 recommendations for CodeX (below are some samples) 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What immediate improvements can we bring to the product?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Flavor Enhancement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Packaging Innovation</w:t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Health and Wellness Focus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What should be the ideal price of our product? 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50-99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What kind of marketing campaigns, offers, and discounts can we run? 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Online ads 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ardo" w:cs="Cardo" w:eastAsia="Cardo" w:hAnsi="Cardo"/>
          <w:highlight w:val="white"/>
          <w:rtl w:val="0"/>
        </w:rPr>
        <w:t xml:space="preserve">→ TV commercials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Who can be a brand ambassador, and why? 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The brand ambassador can be Neha Kapoor, who is so popular and can be fit as a brand ambassador for our product, since she has a huge social media fan base in various platforms like instagram, facebook, X, etc. Hence, she can be a good fit to be the ambassador for our product.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Who should be our target audience, and why? 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People of age 19-30 should be our target audience, since these people are consuming more beverages compared to other age groups.</w:t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