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6F6E6" w14:textId="47C84BA1" w:rsidR="002B50C2" w:rsidRDefault="002B50C2" w:rsidP="002B50C2">
      <w:pPr>
        <w:spacing w:before="100" w:beforeAutospacing="1" w:after="100" w:afterAutospacing="1" w:line="240" w:lineRule="auto"/>
        <w:jc w:val="center"/>
        <w:outlineLvl w:val="0"/>
        <w:rPr>
          <w:rFonts w:ascii="Times New Roman" w:eastAsia="Times New Roman" w:hAnsi="Times New Roman" w:cs="Times New Roman"/>
          <w:b/>
          <w:bCs/>
          <w:color w:val="0D0D0D" w:themeColor="text1" w:themeTint="F2"/>
          <w:kern w:val="36"/>
          <w:sz w:val="48"/>
          <w:szCs w:val="48"/>
          <w:u w:val="single"/>
        </w:rPr>
      </w:pPr>
      <w:proofErr w:type="spellStart"/>
      <w:r w:rsidRPr="002B50C2">
        <w:rPr>
          <w:rFonts w:ascii="Times New Roman" w:eastAsia="Times New Roman" w:hAnsi="Times New Roman" w:cs="Times New Roman"/>
          <w:b/>
          <w:bCs/>
          <w:color w:val="0D0D0D" w:themeColor="text1" w:themeTint="F2"/>
          <w:kern w:val="36"/>
          <w:sz w:val="48"/>
          <w:szCs w:val="48"/>
          <w:u w:val="single"/>
        </w:rPr>
        <w:t>Fundemental</w:t>
      </w:r>
      <w:proofErr w:type="spellEnd"/>
      <w:r w:rsidRPr="002B50C2">
        <w:rPr>
          <w:rFonts w:ascii="Times New Roman" w:eastAsia="Times New Roman" w:hAnsi="Times New Roman" w:cs="Times New Roman"/>
          <w:b/>
          <w:bCs/>
          <w:color w:val="0D0D0D" w:themeColor="text1" w:themeTint="F2"/>
          <w:kern w:val="36"/>
          <w:sz w:val="48"/>
          <w:szCs w:val="48"/>
          <w:u w:val="single"/>
        </w:rPr>
        <w:t xml:space="preserve"> Indicators</w:t>
      </w:r>
    </w:p>
    <w:p w14:paraId="6A0A3E92" w14:textId="77777777" w:rsidR="002B50C2" w:rsidRPr="002B50C2" w:rsidRDefault="002B50C2" w:rsidP="002B50C2">
      <w:pPr>
        <w:spacing w:before="100" w:beforeAutospacing="1" w:after="100" w:afterAutospacing="1" w:line="240" w:lineRule="auto"/>
        <w:jc w:val="center"/>
        <w:outlineLvl w:val="0"/>
        <w:rPr>
          <w:rFonts w:ascii="Times New Roman" w:eastAsia="Times New Roman" w:hAnsi="Times New Roman" w:cs="Times New Roman"/>
          <w:b/>
          <w:bCs/>
          <w:color w:val="0D0D0D" w:themeColor="text1" w:themeTint="F2"/>
          <w:kern w:val="36"/>
          <w:sz w:val="48"/>
          <w:szCs w:val="48"/>
          <w:u w:val="single"/>
        </w:rPr>
      </w:pPr>
    </w:p>
    <w:p w14:paraId="0F6C8EF7" w14:textId="4FDA2F5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C6658">
        <w:rPr>
          <w:rFonts w:ascii="Times New Roman" w:eastAsia="Times New Roman" w:hAnsi="Times New Roman" w:cs="Times New Roman"/>
          <w:b/>
          <w:bCs/>
          <w:color w:val="FF0000"/>
          <w:kern w:val="36"/>
          <w:sz w:val="48"/>
          <w:szCs w:val="48"/>
        </w:rPr>
        <w:t>1. PE Ratio</w:t>
      </w:r>
    </w:p>
    <w:p w14:paraId="52B550F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Valuation</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10EF7576"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4D79FB0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PE Ratio</w:t>
      </w:r>
    </w:p>
    <w:p w14:paraId="5B9FCFC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PE</w:t>
      </w:r>
    </w:p>
    <w:p w14:paraId="1CF2BA6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26E66C6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Valuation</w:t>
      </w:r>
    </w:p>
    <w:p w14:paraId="70D92A2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5632A3E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how much investors are willing to pay for each unit of trailing earnings. It helps determine whether the market is trading at an attractive, fair, or expensive valuation relative to its historical range.</w:t>
      </w:r>
    </w:p>
    <w:p w14:paraId="6FC6ECC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3D772F1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Trailing Twelve Month (TTM) Earnings</w:t>
      </w:r>
    </w:p>
    <w:p w14:paraId="20557AD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0A555D0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(Core Valuation Indicator)</w:t>
      </w:r>
    </w:p>
    <w:p w14:paraId="07DE726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7BD73D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0B60E7D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1FAA338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Whenever official valuation data is updated.</w:t>
      </w:r>
    </w:p>
    <w:p w14:paraId="5F87FD3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7F09F6C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PE Ratio should always be interpreted relative to historical valuation levels. It should not generate buy or sell signals on its own and should be confirmed with growth and profitability indicators.</w:t>
      </w:r>
    </w:p>
    <w:p w14:paraId="3C4D1B4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4093455">
          <v:rect id="_x0000_i1025" style="width:0;height:1.5pt" o:hralign="center" o:hrstd="t" o:hr="t" fillcolor="#a0a0a0" stroked="f"/>
        </w:pict>
      </w:r>
    </w:p>
    <w:p w14:paraId="751CCE6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2. Data Requirements</w:t>
      </w:r>
    </w:p>
    <w:p w14:paraId="6D27548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18E2BCDA" w14:textId="77777777" w:rsidR="004C6658" w:rsidRPr="004C6658" w:rsidRDefault="004C6658" w:rsidP="004C66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NIFTY PE Ratio </w:t>
      </w:r>
    </w:p>
    <w:p w14:paraId="4D73A9C5" w14:textId="77777777" w:rsidR="004C6658" w:rsidRPr="004C6658" w:rsidRDefault="004C6658" w:rsidP="004C66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PE Values </w:t>
      </w:r>
    </w:p>
    <w:p w14:paraId="6944DBB5" w14:textId="77777777" w:rsidR="004C6658" w:rsidRPr="004C6658" w:rsidRDefault="004C6658" w:rsidP="004C66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Average PE </w:t>
      </w:r>
    </w:p>
    <w:p w14:paraId="11AD933C"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4AF62E8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 Year</w:t>
      </w:r>
    </w:p>
    <w:p w14:paraId="6163C0B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4AE4235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Years</w:t>
      </w:r>
    </w:p>
    <w:p w14:paraId="2D2D7131"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435C2670" w14:textId="77777777" w:rsidR="004C6658" w:rsidRPr="004C6658" w:rsidRDefault="004C6658" w:rsidP="004C66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Indices </w:t>
      </w:r>
    </w:p>
    <w:p w14:paraId="413B7506" w14:textId="77777777" w:rsidR="004C6658" w:rsidRPr="004C6658" w:rsidRDefault="004C6658" w:rsidP="004C66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Factsheet </w:t>
      </w:r>
    </w:p>
    <w:p w14:paraId="210534F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029727A">
          <v:rect id="_x0000_i1026" style="width:0;height:1.5pt" o:hralign="center" o:hrstd="t" o:hr="t" fillcolor="#a0a0a0" stroked="f"/>
        </w:pict>
      </w:r>
    </w:p>
    <w:p w14:paraId="5FCD634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6567B26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5633F80D"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PE Ratio = Current Market Price / Trailing 12-Month EPS</w:t>
      </w:r>
    </w:p>
    <w:p w14:paraId="22BFF460"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390EBEB3" w14:textId="77777777" w:rsidR="004C6658" w:rsidRPr="004C6658" w:rsidRDefault="004C6658" w:rsidP="004C66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the latest official NIFTY PE Ratio. </w:t>
      </w:r>
    </w:p>
    <w:p w14:paraId="05B698DF" w14:textId="77777777" w:rsidR="004C6658" w:rsidRPr="004C6658" w:rsidRDefault="004C6658" w:rsidP="004C66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Load historical PE values. </w:t>
      </w:r>
    </w:p>
    <w:p w14:paraId="49134D32" w14:textId="77777777" w:rsidR="004C6658" w:rsidRPr="004C6658" w:rsidRDefault="004C6658" w:rsidP="004C66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the historical average. </w:t>
      </w:r>
    </w:p>
    <w:p w14:paraId="04855B1F" w14:textId="77777777" w:rsidR="004C6658" w:rsidRPr="004C6658" w:rsidRDefault="004C6658" w:rsidP="004C66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the current PE with historical valuation. </w:t>
      </w:r>
    </w:p>
    <w:p w14:paraId="0B057394" w14:textId="77777777" w:rsidR="004C6658" w:rsidRPr="004C6658" w:rsidRDefault="004C6658" w:rsidP="004C66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valuation score. </w:t>
      </w:r>
    </w:p>
    <w:p w14:paraId="6B2FBAE5"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2121E3FF" w14:textId="77777777" w:rsidR="004C6658" w:rsidRPr="004C6658" w:rsidRDefault="004C6658" w:rsidP="004C66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Always use </w:t>
      </w:r>
      <w:r w:rsidRPr="004C6658">
        <w:rPr>
          <w:rFonts w:ascii="Times New Roman" w:eastAsia="Times New Roman" w:hAnsi="Times New Roman" w:cs="Times New Roman"/>
          <w:b/>
          <w:bCs/>
          <w:sz w:val="24"/>
          <w:szCs w:val="24"/>
        </w:rPr>
        <w:t>Trailing Twelve Month (TTM)</w:t>
      </w:r>
      <w:r w:rsidRPr="004C6658">
        <w:rPr>
          <w:rFonts w:ascii="Times New Roman" w:eastAsia="Times New Roman" w:hAnsi="Times New Roman" w:cs="Times New Roman"/>
          <w:sz w:val="24"/>
          <w:szCs w:val="24"/>
        </w:rPr>
        <w:t xml:space="preserve"> earnings. </w:t>
      </w:r>
    </w:p>
    <w:p w14:paraId="2C346A68" w14:textId="77777777" w:rsidR="004C6658" w:rsidRPr="004C6658" w:rsidRDefault="004C6658" w:rsidP="004C66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the official NSE methodology. </w:t>
      </w:r>
    </w:p>
    <w:p w14:paraId="71E2D72B" w14:textId="77777777" w:rsidR="004C6658" w:rsidRPr="004C6658" w:rsidRDefault="004C6658" w:rsidP="004C66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comparison is preferred over fixed PE thresholds. </w:t>
      </w:r>
    </w:p>
    <w:p w14:paraId="2665801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1199BBF">
          <v:rect id="_x0000_i1027" style="width:0;height:1.5pt" o:hralign="center" o:hrstd="t" o:hr="t" fillcolor="#a0a0a0" stroked="f"/>
        </w:pict>
      </w:r>
    </w:p>
    <w:p w14:paraId="1EEFA26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6A3573F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Value</w:t>
      </w:r>
    </w:p>
    <w:p w14:paraId="1FAFFB2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PE Ratio</w:t>
      </w:r>
    </w:p>
    <w:p w14:paraId="3D42776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Historical Average</w:t>
      </w:r>
    </w:p>
    <w:p w14:paraId="39ECB19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Average PE over the selected lookback period</w:t>
      </w:r>
    </w:p>
    <w:p w14:paraId="4866E18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2DE5C2F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6274706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28097CAF" w14:textId="77777777" w:rsidR="004C6658" w:rsidRPr="004C6658" w:rsidRDefault="004C6658" w:rsidP="004C66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0F0107D0" w14:textId="77777777" w:rsidR="004C6658" w:rsidRPr="004C6658" w:rsidRDefault="004C6658" w:rsidP="004C66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35957FEB" w14:textId="77777777" w:rsidR="004C6658" w:rsidRPr="004C6658" w:rsidRDefault="004C6658" w:rsidP="004C66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43592D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4F34F8C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Valuation Confidence</w:t>
      </w:r>
    </w:p>
    <w:p w14:paraId="3E39990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42AF8E9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63FEC8F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E78B7AB">
          <v:rect id="_x0000_i1028" style="width:0;height:1.5pt" o:hralign="center" o:hrstd="t" o:hr="t" fillcolor="#a0a0a0" stroked="f"/>
        </w:pict>
      </w:r>
    </w:p>
    <w:p w14:paraId="406FB05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4"/>
        <w:gridCol w:w="634"/>
        <w:gridCol w:w="1509"/>
      </w:tblGrid>
      <w:tr w:rsidR="004C6658" w:rsidRPr="004C6658" w14:paraId="7D14CCBA" w14:textId="77777777" w:rsidTr="004C6658">
        <w:trPr>
          <w:tblHeader/>
          <w:tblCellSpacing w:w="15" w:type="dxa"/>
        </w:trPr>
        <w:tc>
          <w:tcPr>
            <w:tcW w:w="0" w:type="auto"/>
            <w:vAlign w:val="center"/>
            <w:hideMark/>
          </w:tcPr>
          <w:p w14:paraId="17CC33C6"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Condition</w:t>
            </w:r>
          </w:p>
        </w:tc>
        <w:tc>
          <w:tcPr>
            <w:tcW w:w="0" w:type="auto"/>
            <w:vAlign w:val="center"/>
            <w:hideMark/>
          </w:tcPr>
          <w:p w14:paraId="0FEB01AF"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45AC4661"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2A8140A0" w14:textId="77777777" w:rsidTr="004C6658">
        <w:trPr>
          <w:tblCellSpacing w:w="15" w:type="dxa"/>
        </w:trPr>
        <w:tc>
          <w:tcPr>
            <w:tcW w:w="0" w:type="auto"/>
            <w:vAlign w:val="center"/>
            <w:hideMark/>
          </w:tcPr>
          <w:p w14:paraId="21FF057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Significantly Below Historical Average</w:t>
            </w:r>
          </w:p>
        </w:tc>
        <w:tc>
          <w:tcPr>
            <w:tcW w:w="0" w:type="auto"/>
            <w:vAlign w:val="center"/>
            <w:hideMark/>
          </w:tcPr>
          <w:p w14:paraId="4F807BE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0F1EC53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3F7311E1" w14:textId="77777777" w:rsidTr="004C6658">
        <w:trPr>
          <w:tblCellSpacing w:w="15" w:type="dxa"/>
        </w:trPr>
        <w:tc>
          <w:tcPr>
            <w:tcW w:w="0" w:type="auto"/>
            <w:vAlign w:val="center"/>
            <w:hideMark/>
          </w:tcPr>
          <w:p w14:paraId="3B990BF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Below Historical Average</w:t>
            </w:r>
          </w:p>
        </w:tc>
        <w:tc>
          <w:tcPr>
            <w:tcW w:w="0" w:type="auto"/>
            <w:vAlign w:val="center"/>
            <w:hideMark/>
          </w:tcPr>
          <w:p w14:paraId="796C2A3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w:t>
            </w:r>
          </w:p>
        </w:tc>
        <w:tc>
          <w:tcPr>
            <w:tcW w:w="0" w:type="auto"/>
            <w:vAlign w:val="center"/>
            <w:hideMark/>
          </w:tcPr>
          <w:p w14:paraId="459D528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32DC71A2" w14:textId="77777777" w:rsidTr="004C6658">
        <w:trPr>
          <w:tblCellSpacing w:w="15" w:type="dxa"/>
        </w:trPr>
        <w:tc>
          <w:tcPr>
            <w:tcW w:w="0" w:type="auto"/>
            <w:vAlign w:val="center"/>
            <w:hideMark/>
          </w:tcPr>
          <w:p w14:paraId="3C81B79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Near Historical Average</w:t>
            </w:r>
          </w:p>
        </w:tc>
        <w:tc>
          <w:tcPr>
            <w:tcW w:w="0" w:type="auto"/>
            <w:vAlign w:val="center"/>
            <w:hideMark/>
          </w:tcPr>
          <w:p w14:paraId="576DB17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263DFB3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13B2A9B3" w14:textId="77777777" w:rsidTr="004C6658">
        <w:trPr>
          <w:tblCellSpacing w:w="15" w:type="dxa"/>
        </w:trPr>
        <w:tc>
          <w:tcPr>
            <w:tcW w:w="0" w:type="auto"/>
            <w:vAlign w:val="center"/>
            <w:hideMark/>
          </w:tcPr>
          <w:p w14:paraId="4E00343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Above Historical Average</w:t>
            </w:r>
          </w:p>
        </w:tc>
        <w:tc>
          <w:tcPr>
            <w:tcW w:w="0" w:type="auto"/>
            <w:vAlign w:val="center"/>
            <w:hideMark/>
          </w:tcPr>
          <w:p w14:paraId="78DFC5B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3BB1165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01E1503D" w14:textId="77777777" w:rsidTr="004C6658">
        <w:trPr>
          <w:tblCellSpacing w:w="15" w:type="dxa"/>
        </w:trPr>
        <w:tc>
          <w:tcPr>
            <w:tcW w:w="0" w:type="auto"/>
            <w:vAlign w:val="center"/>
            <w:hideMark/>
          </w:tcPr>
          <w:p w14:paraId="4825044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Significantly Above Historical Average</w:t>
            </w:r>
          </w:p>
        </w:tc>
        <w:tc>
          <w:tcPr>
            <w:tcW w:w="0" w:type="auto"/>
            <w:vAlign w:val="center"/>
            <w:hideMark/>
          </w:tcPr>
          <w:p w14:paraId="4F22FAB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0BF99BF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3BCFF12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33633977" w14:textId="77777777" w:rsidR="004C6658" w:rsidRPr="004C6658" w:rsidRDefault="004C6658" w:rsidP="004C66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Lower valuation generally increases the score. </w:t>
      </w:r>
    </w:p>
    <w:p w14:paraId="00A061FA" w14:textId="77777777" w:rsidR="004C6658" w:rsidRPr="004C6658" w:rsidRDefault="004C6658" w:rsidP="004C66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against historical averages instead of fixed PE values. </w:t>
      </w:r>
    </w:p>
    <w:p w14:paraId="23DB5BD6" w14:textId="77777777" w:rsidR="004C6658" w:rsidRPr="004C6658" w:rsidRDefault="004C6658" w:rsidP="004C66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Large deviations should have a stronger impact on the score. </w:t>
      </w:r>
    </w:p>
    <w:p w14:paraId="315ED41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82AE753">
          <v:rect id="_x0000_i1029" style="width:0;height:1.5pt" o:hralign="center" o:hrstd="t" o:hr="t" fillcolor="#a0a0a0" stroked="f"/>
        </w:pict>
      </w:r>
    </w:p>
    <w:p w14:paraId="1DFA85C7"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2EEAED3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PE Below Historical Average</w:t>
      </w:r>
    </w:p>
    <w:p w14:paraId="059AFE8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262280C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PE Near Historical Average</w:t>
      </w:r>
    </w:p>
    <w:p w14:paraId="14B42A2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5EC2DF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PE Above Historical Average</w:t>
      </w:r>
    </w:p>
    <w:p w14:paraId="7506BBD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1E61DFB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0F92A93">
          <v:rect id="_x0000_i1030" style="width:0;height:1.5pt" o:hralign="center" o:hrstd="t" o:hr="t" fillcolor="#a0a0a0" stroked="f"/>
        </w:pict>
      </w:r>
    </w:p>
    <w:p w14:paraId="2BCFF51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63FAB1D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2384BB2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85%</w:t>
      </w:r>
    </w:p>
    <w:p w14:paraId="360C964B"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1BEE8DE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Official NSE data</w:t>
      </w:r>
    </w:p>
    <w:p w14:paraId="29C64B1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Five-year historical comparison</w:t>
      </w:r>
    </w:p>
    <w:p w14:paraId="373B23A5"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72D3419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2D871C3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-10% Less than one year of history</w:t>
      </w:r>
    </w:p>
    <w:p w14:paraId="33530B6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13EA487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p w14:paraId="1DE9C37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2BFD3AD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2CC85A2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1E337EC">
          <v:rect id="_x0000_i1031" style="width:0;height:1.5pt" o:hralign="center" o:hrstd="t" o:hr="t" fillcolor="#a0a0a0" stroked="f"/>
        </w:pict>
      </w:r>
    </w:p>
    <w:p w14:paraId="1D37352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69FFE33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18BD06C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26B9F0E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465BF4B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50C7AA5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16DE4BE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6912D2A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1227520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30-Day Average Score</w:t>
      </w:r>
    </w:p>
    <w:p w14:paraId="09832486"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071CE8D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Expensive</w:t>
      </w:r>
    </w:p>
    <w:p w14:paraId="7B1C865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Fair Value</w:t>
      </w:r>
    </w:p>
    <w:p w14:paraId="105AD7C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60–80 → Attractive</w:t>
      </w:r>
    </w:p>
    <w:p w14:paraId="0815BAC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80–100 → Undervalued</w:t>
      </w:r>
    </w:p>
    <w:p w14:paraId="44AC107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4E52F81">
          <v:rect id="_x0000_i1032" style="width:0;height:1.5pt" o:hralign="center" o:hrstd="t" o:hr="t" fillcolor="#a0a0a0" stroked="f"/>
        </w:pict>
      </w:r>
    </w:p>
    <w:p w14:paraId="18002502"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9. Dual Trend Chart</w:t>
      </w:r>
    </w:p>
    <w:p w14:paraId="589882A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lastRenderedPageBreak/>
        <w:t>Chart Type</w:t>
      </w:r>
    </w:p>
    <w:p w14:paraId="6DD96B6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48FB333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67E9110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PE Ratio</w:t>
      </w:r>
    </w:p>
    <w:p w14:paraId="733E6AD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3C96AB2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7B2FDAC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75E9745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 Updates</w:t>
      </w:r>
    </w:p>
    <w:p w14:paraId="1821ECB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6883666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Whenever PE data is refreshed.</w:t>
      </w:r>
    </w:p>
    <w:p w14:paraId="13FD28A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75C2861">
          <v:rect id="_x0000_i1033" style="width:0;height:1.5pt" o:hralign="center" o:hrstd="t" o:hr="t" fillcolor="#a0a0a0" stroked="f"/>
        </w:pict>
      </w:r>
    </w:p>
    <w:p w14:paraId="720E872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3264E61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PE Below Historical Average</w:t>
      </w:r>
    </w:p>
    <w:p w14:paraId="63DC269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market valuations appear attractive compared to historical levels.</w:t>
      </w:r>
    </w:p>
    <w:p w14:paraId="0FC27DE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PE Near Historical Average</w:t>
      </w:r>
    </w:p>
    <w:p w14:paraId="3365B09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market is trading close to its long-term valuation.</w:t>
      </w:r>
    </w:p>
    <w:p w14:paraId="5F351D6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PE Above Historical Average</w:t>
      </w:r>
    </w:p>
    <w:p w14:paraId="13B5ABE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valuations are elevated and future returns may depend on earnings growth.</w:t>
      </w:r>
    </w:p>
    <w:p w14:paraId="3B9041D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Low Confidence</w:t>
      </w:r>
    </w:p>
    <w:p w14:paraId="283B94A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Mention that limited historical data reduces confidence.</w:t>
      </w:r>
    </w:p>
    <w:p w14:paraId="10C37F1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585D3C6">
          <v:rect id="_x0000_i1034" style="width:0;height:1.5pt" o:hralign="center" o:hrstd="t" o:hr="t" fillcolor="#a0a0a0" stroked="f"/>
        </w:pict>
      </w:r>
    </w:p>
    <w:p w14:paraId="36EEC7A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016E4403" w14:textId="77777777" w:rsidR="004C6658" w:rsidRPr="004C6658" w:rsidRDefault="004C6658" w:rsidP="004C66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Measures market valuation. </w:t>
      </w:r>
    </w:p>
    <w:p w14:paraId="7E33E19B" w14:textId="77777777" w:rsidR="004C6658" w:rsidRPr="004C6658" w:rsidRDefault="004C6658" w:rsidP="004C66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Helps identify undervalued and overvalued conditions. </w:t>
      </w:r>
    </w:p>
    <w:p w14:paraId="2762F232" w14:textId="77777777" w:rsidR="004C6658" w:rsidRPr="004C6658" w:rsidRDefault="004C6658" w:rsidP="004C66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Provides long-term market context. </w:t>
      </w:r>
    </w:p>
    <w:p w14:paraId="19F222FC" w14:textId="77777777" w:rsidR="004C6658" w:rsidRPr="004C6658" w:rsidRDefault="004C6658" w:rsidP="004C66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Widely followed by institutional investors. </w:t>
      </w:r>
    </w:p>
    <w:p w14:paraId="7934E79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A1A3828">
          <v:rect id="_x0000_i1035" style="width:0;height:1.5pt" o:hralign="center" o:hrstd="t" o:hr="t" fillcolor="#a0a0a0" stroked="f"/>
        </w:pict>
      </w:r>
    </w:p>
    <w:p w14:paraId="7DA4DDE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38E299C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68312D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41B2E26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06A5447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0D4167E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213B990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066A7D6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3E59CCC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1611F1D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4978A9F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Long-term valuation assessment.</w:t>
      </w:r>
    </w:p>
    <w:p w14:paraId="351E2EA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61F1353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Yes</w:t>
      </w:r>
    </w:p>
    <w:p w14:paraId="7D92F8F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AE93F95">
          <v:rect id="_x0000_i1036" style="width:0;height:1.5pt" o:hralign="center" o:hrstd="t" o:hr="t" fillcolor="#a0a0a0" stroked="f"/>
        </w:pict>
      </w:r>
    </w:p>
    <w:p w14:paraId="0A66C75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13. Supporting Indicators</w:t>
      </w:r>
    </w:p>
    <w:p w14:paraId="23FB49AD" w14:textId="77777777" w:rsidR="004C6658" w:rsidRPr="004C6658" w:rsidRDefault="004C6658" w:rsidP="004C66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w:t>
      </w:r>
    </w:p>
    <w:p w14:paraId="7A46343B" w14:textId="77777777" w:rsidR="004C6658" w:rsidRPr="004C6658" w:rsidRDefault="004C6658" w:rsidP="004C66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PB Ratio </w:t>
      </w:r>
    </w:p>
    <w:p w14:paraId="724EB916" w14:textId="77777777" w:rsidR="004C6658" w:rsidRPr="004C6658" w:rsidRDefault="004C6658" w:rsidP="004C66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Earnings Yield </w:t>
      </w:r>
    </w:p>
    <w:p w14:paraId="511F725C" w14:textId="77777777" w:rsidR="004C6658" w:rsidRPr="004C6658" w:rsidRDefault="004C6658" w:rsidP="004C66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w:t>
      </w:r>
    </w:p>
    <w:p w14:paraId="3E730685" w14:textId="77777777" w:rsidR="004C6658" w:rsidRPr="004C6658" w:rsidRDefault="004C6658" w:rsidP="004C66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w:t>
      </w:r>
    </w:p>
    <w:p w14:paraId="5DCDE0A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13903EF">
          <v:rect id="_x0000_i1037" style="width:0;height:1.5pt" o:hralign="center" o:hrstd="t" o:hr="t" fillcolor="#a0a0a0" stroked="f"/>
        </w:pict>
      </w:r>
    </w:p>
    <w:p w14:paraId="3E303352"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14. Metadata</w:t>
      </w:r>
    </w:p>
    <w:p w14:paraId="5A2DA3A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23EC603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NSE Indices</w:t>
      </w:r>
    </w:p>
    <w:p w14:paraId="3E32EA7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425935E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Official PE Ratio</w:t>
      </w:r>
    </w:p>
    <w:p w14:paraId="737525D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7038D9C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w:t>
      </w:r>
    </w:p>
    <w:p w14:paraId="5006B3A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2C27E9B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123DBA3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651EAF2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6532EBD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358A245">
          <v:rect id="_x0000_i1038" style="width:0;height:1.5pt" o:hralign="center" o:hrstd="t" o:hr="t" fillcolor="#a0a0a0" stroked="f"/>
        </w:pict>
      </w:r>
    </w:p>
    <w:p w14:paraId="6D8FAF6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3C485FF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3F95D833" w14:textId="77777777" w:rsidR="004C6658" w:rsidRPr="004C6658" w:rsidRDefault="004C6658" w:rsidP="004C66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PE Ratio </w:t>
      </w:r>
    </w:p>
    <w:p w14:paraId="7293FE15" w14:textId="77777777" w:rsidR="004C6658" w:rsidRPr="004C6658" w:rsidRDefault="004C6658" w:rsidP="004C66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PE Series </w:t>
      </w:r>
    </w:p>
    <w:p w14:paraId="32875880" w14:textId="77777777" w:rsidR="004C6658" w:rsidRPr="004C6658" w:rsidRDefault="004C6658" w:rsidP="004C66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Average </w:t>
      </w:r>
    </w:p>
    <w:p w14:paraId="0D5AFD7F" w14:textId="77777777" w:rsidR="004C6658" w:rsidRPr="004C6658" w:rsidRDefault="004C6658" w:rsidP="004C66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76BBA030" w14:textId="77777777" w:rsidR="004C6658" w:rsidRPr="004C6658" w:rsidRDefault="004C6658" w:rsidP="004C66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Confidence </w:t>
      </w:r>
    </w:p>
    <w:p w14:paraId="16FD5457" w14:textId="77777777" w:rsidR="004C6658" w:rsidRPr="004C6658" w:rsidRDefault="004C6658" w:rsidP="004C66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0F994DA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If PE data is unavailable, display the last valid value with a stale-data warning.</w:t>
      </w:r>
    </w:p>
    <w:p w14:paraId="07457E9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A55FE9F">
          <v:rect id="_x0000_i1039" style="width:0;height:1.5pt" o:hralign="center" o:hrstd="t" o:hr="t" fillcolor="#a0a0a0" stroked="f"/>
        </w:pict>
      </w:r>
    </w:p>
    <w:p w14:paraId="1015A4F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 xml:space="preserve">16. Praxis Engine Integration </w:t>
      </w:r>
      <w:r w:rsidRPr="004C6658">
        <w:rPr>
          <w:rFonts w:ascii="Segoe UI Emoji" w:eastAsia="Times New Roman" w:hAnsi="Segoe UI Emoji" w:cs="Segoe UI Emoji"/>
          <w:b/>
          <w:bCs/>
          <w:kern w:val="36"/>
          <w:sz w:val="48"/>
          <w:szCs w:val="48"/>
        </w:rPr>
        <w:t>⭐</w:t>
      </w:r>
    </w:p>
    <w:p w14:paraId="29678B1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044F39D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High (Configurable)</w:t>
      </w:r>
    </w:p>
    <w:p w14:paraId="6E6A89B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08328D4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Market Valuation</w:t>
      </w:r>
    </w:p>
    <w:p w14:paraId="16617A4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349D188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Determine whether the market is trading below, near, or above its historical valuation.</w:t>
      </w:r>
    </w:p>
    <w:p w14:paraId="09C32DB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1FBCA4B0" w14:textId="77777777" w:rsidR="004C6658" w:rsidRPr="004C6658" w:rsidRDefault="004C6658" w:rsidP="004C66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 PE </w:t>
      </w:r>
    </w:p>
    <w:p w14:paraId="2306AF0F" w14:textId="77777777" w:rsidR="004C6658" w:rsidRPr="004C6658" w:rsidRDefault="004C6658" w:rsidP="004C66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EPS Growth </w:t>
      </w:r>
    </w:p>
    <w:p w14:paraId="527691F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29CB71F3" w14:textId="77777777" w:rsidR="004C6658" w:rsidRPr="004C6658" w:rsidRDefault="004C6658" w:rsidP="004C66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PE </w:t>
      </w:r>
    </w:p>
    <w:p w14:paraId="7CDF4559" w14:textId="77777777" w:rsidR="004C6658" w:rsidRPr="004C6658" w:rsidRDefault="004C6658" w:rsidP="004C66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Weak Earnings Growth </w:t>
      </w:r>
    </w:p>
    <w:p w14:paraId="1C7471E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015CD29">
          <v:rect id="_x0000_i1040" style="width:0;height:1.5pt" o:hralign="center" o:hrstd="t" o:hr="t" fillcolor="#a0a0a0" stroked="f"/>
        </w:pict>
      </w:r>
    </w:p>
    <w:p w14:paraId="3A4172A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17. Praxis Recommendation</w:t>
      </w:r>
    </w:p>
    <w:p w14:paraId="7BD8F13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PE Ratio should be the </w:t>
      </w:r>
      <w:r w:rsidRPr="004C6658">
        <w:rPr>
          <w:rFonts w:ascii="Times New Roman" w:eastAsia="Times New Roman" w:hAnsi="Times New Roman" w:cs="Times New Roman"/>
          <w:b/>
          <w:bCs/>
          <w:sz w:val="24"/>
          <w:szCs w:val="24"/>
        </w:rPr>
        <w:t>primary valuation indicator</w:t>
      </w:r>
      <w:r w:rsidRPr="004C6658">
        <w:rPr>
          <w:rFonts w:ascii="Times New Roman" w:eastAsia="Times New Roman" w:hAnsi="Times New Roman" w:cs="Times New Roman"/>
          <w:sz w:val="24"/>
          <w:szCs w:val="24"/>
        </w:rPr>
        <w:t xml:space="preserve"> in the Fundamentals module.</w:t>
      </w:r>
    </w:p>
    <w:p w14:paraId="4CAAEF26"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Valuation Hierarchy</w:t>
      </w:r>
    </w:p>
    <w:p w14:paraId="54A55DBE" w14:textId="77777777" w:rsidR="004C6658" w:rsidRPr="004C6658" w:rsidRDefault="004C6658" w:rsidP="004C66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PE Ratio </w:t>
      </w:r>
    </w:p>
    <w:p w14:paraId="670A332A" w14:textId="77777777" w:rsidR="004C6658" w:rsidRPr="004C6658" w:rsidRDefault="004C6658" w:rsidP="004C66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Forward PE </w:t>
      </w:r>
    </w:p>
    <w:p w14:paraId="0D59B6BD" w14:textId="77777777" w:rsidR="004C6658" w:rsidRPr="004C6658" w:rsidRDefault="004C6658" w:rsidP="004C66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PB Ratio </w:t>
      </w:r>
    </w:p>
    <w:p w14:paraId="45C43A64" w14:textId="77777777" w:rsidR="004C6658" w:rsidRPr="004C6658" w:rsidRDefault="004C6658" w:rsidP="004C66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Earnings Yield </w:t>
      </w:r>
    </w:p>
    <w:p w14:paraId="1400DDFB"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00509CE3" w14:textId="77777777" w:rsidR="004C6658" w:rsidRPr="004C6658" w:rsidRDefault="004C6658" w:rsidP="004C66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 PE + Positive EPS Growth → Increase Fundamentals Score. </w:t>
      </w:r>
    </w:p>
    <w:p w14:paraId="2F9F5482" w14:textId="77777777" w:rsidR="004C6658" w:rsidRPr="004C6658" w:rsidRDefault="004C6658" w:rsidP="004C66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PE + Weak Earnings Growth → Reduce Fundamentals Score. </w:t>
      </w:r>
    </w:p>
    <w:p w14:paraId="0E79C0DE" w14:textId="77777777" w:rsidR="004C6658" w:rsidRPr="004C6658" w:rsidRDefault="004C6658" w:rsidP="004C66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Confirm PE signals with PB Ratio and Earnings Yield before increasing conviction. </w:t>
      </w:r>
    </w:p>
    <w:p w14:paraId="136A65D9" w14:textId="260F5423" w:rsidR="00684164" w:rsidRPr="002B50C2" w:rsidRDefault="004C6658" w:rsidP="002B50C2">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PE Ratio should influence the </w:t>
      </w:r>
      <w:r w:rsidRPr="004C6658">
        <w:rPr>
          <w:rFonts w:ascii="Times New Roman" w:eastAsia="Times New Roman" w:hAnsi="Times New Roman" w:cs="Times New Roman"/>
          <w:b/>
          <w:bCs/>
          <w:sz w:val="24"/>
          <w:szCs w:val="24"/>
        </w:rPr>
        <w:t>Valuation Score</w:t>
      </w:r>
      <w:r w:rsidRPr="004C6658">
        <w:rPr>
          <w:rFonts w:ascii="Times New Roman" w:eastAsia="Times New Roman" w:hAnsi="Times New Roman" w:cs="Times New Roman"/>
          <w:sz w:val="24"/>
          <w:szCs w:val="24"/>
        </w:rPr>
        <w:t xml:space="preserve"> and the overall </w:t>
      </w:r>
      <w:r w:rsidRPr="004C6658">
        <w:rPr>
          <w:rFonts w:ascii="Times New Roman" w:eastAsia="Times New Roman" w:hAnsi="Times New Roman" w:cs="Times New Roman"/>
          <w:b/>
          <w:bCs/>
          <w:sz w:val="24"/>
          <w:szCs w:val="24"/>
        </w:rPr>
        <w:t>Fundamentals Score</w:t>
      </w:r>
      <w:r w:rsidRPr="004C6658">
        <w:rPr>
          <w:rFonts w:ascii="Times New Roman" w:eastAsia="Times New Roman" w:hAnsi="Times New Roman" w:cs="Times New Roman"/>
          <w:sz w:val="24"/>
          <w:szCs w:val="24"/>
        </w:rPr>
        <w:t xml:space="preserve">, but it should not be used as a standalone buy or sell indicator. This aligns with the V1 Fundamentals module, where valuation indicators contribute to the Fundamentals Score consumed by the Dashboard and Decision Engine. </w:t>
      </w:r>
    </w:p>
    <w:p w14:paraId="351A2E42" w14:textId="486D7637" w:rsidR="004C6658" w:rsidRDefault="004C6658"/>
    <w:p w14:paraId="03BA249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C6658">
        <w:rPr>
          <w:rFonts w:ascii="Times New Roman" w:eastAsia="Times New Roman" w:hAnsi="Times New Roman" w:cs="Times New Roman"/>
          <w:b/>
          <w:bCs/>
          <w:color w:val="FF0000"/>
          <w:kern w:val="36"/>
          <w:sz w:val="48"/>
          <w:szCs w:val="48"/>
        </w:rPr>
        <w:t>2. Forward PE</w:t>
      </w:r>
    </w:p>
    <w:p w14:paraId="171B1F1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Valuation</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06843B21"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19DD13F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Forward PE</w:t>
      </w:r>
    </w:p>
    <w:p w14:paraId="5152CBC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FWD PE</w:t>
      </w:r>
    </w:p>
    <w:p w14:paraId="7061941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6A7A688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Valuation</w:t>
      </w:r>
    </w:p>
    <w:p w14:paraId="7508015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4F2856B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the market valuation based on projected future earnings rather than historical earnings. It helps estimate whether current market expectations are optimistic, reasonable, or expensive.</w:t>
      </w:r>
    </w:p>
    <w:p w14:paraId="5992E0A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72C229E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Estimated Next 12-Month Earnings (Forward EPS)</w:t>
      </w:r>
    </w:p>
    <w:p w14:paraId="1DCE9A0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19F8A67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(Core Valuation Indicator)</w:t>
      </w:r>
    </w:p>
    <w:p w14:paraId="7315D5A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27B14B2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579C93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2CC7CD5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Whenever official Forward PE data or earnings estimates are updated.</w:t>
      </w:r>
    </w:p>
    <w:p w14:paraId="081C625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43F542C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Forward PE reflects future expectations and should always be interpreted alongside the traditional PE Ratio. A lower Forward PE compared to the current PE often indicates expected earnings growth.</w:t>
      </w:r>
    </w:p>
    <w:p w14:paraId="330F955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pict w14:anchorId="55B61AC9">
          <v:rect id="_x0000_i1057" style="width:0;height:1.5pt" o:hralign="center" o:hrstd="t" o:hr="t" fillcolor="#a0a0a0" stroked="f"/>
        </w:pict>
      </w:r>
    </w:p>
    <w:p w14:paraId="77E154F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2. Data Requirements</w:t>
      </w:r>
    </w:p>
    <w:p w14:paraId="1A867010"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3285DCEC" w14:textId="77777777" w:rsidR="004C6658" w:rsidRPr="004C6658" w:rsidRDefault="004C6658" w:rsidP="004C66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Forward PE </w:t>
      </w:r>
    </w:p>
    <w:p w14:paraId="54790BAC" w14:textId="77777777" w:rsidR="004C6658" w:rsidRPr="004C6658" w:rsidRDefault="004C6658" w:rsidP="004C66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PE Ratio </w:t>
      </w:r>
    </w:p>
    <w:p w14:paraId="42C19954" w14:textId="77777777" w:rsidR="004C6658" w:rsidRPr="004C6658" w:rsidRDefault="004C6658" w:rsidP="004C66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Estimated Forward EPS </w:t>
      </w:r>
    </w:p>
    <w:p w14:paraId="18240F2C" w14:textId="77777777" w:rsidR="004C6658" w:rsidRPr="004C6658" w:rsidRDefault="004C6658" w:rsidP="004C66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Forward PE Values (if available) </w:t>
      </w:r>
    </w:p>
    <w:p w14:paraId="3A66D4CA"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15FE200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 Year</w:t>
      </w:r>
    </w:p>
    <w:p w14:paraId="511E78F0"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19128055" w14:textId="77777777" w:rsidR="004C6658" w:rsidRPr="004C6658" w:rsidRDefault="004C6658" w:rsidP="004C665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Indices </w:t>
      </w:r>
    </w:p>
    <w:p w14:paraId="75D1FAFE" w14:textId="77777777" w:rsidR="004C6658" w:rsidRPr="004C6658" w:rsidRDefault="004C6658" w:rsidP="004C665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Factsheet </w:t>
      </w:r>
    </w:p>
    <w:p w14:paraId="1396D25F" w14:textId="77777777" w:rsidR="004C6658" w:rsidRPr="004C6658" w:rsidRDefault="004C6658" w:rsidP="004C665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Financial Data Providers </w:t>
      </w:r>
    </w:p>
    <w:p w14:paraId="1C112FC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62E769F">
          <v:rect id="_x0000_i1058" style="width:0;height:1.5pt" o:hralign="center" o:hrstd="t" o:hr="t" fillcolor="#a0a0a0" stroked="f"/>
        </w:pict>
      </w:r>
    </w:p>
    <w:p w14:paraId="5A63822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36859C64"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3ECD69F7"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Forward PE = Current Market Price / Estimated Next 12-Month EPS</w:t>
      </w:r>
    </w:p>
    <w:p w14:paraId="69670710"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3086E4F4" w14:textId="77777777" w:rsidR="004C6658" w:rsidRPr="004C6658" w:rsidRDefault="004C6658" w:rsidP="004C66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Obtain the latest Forward PE or projected EPS. </w:t>
      </w:r>
    </w:p>
    <w:p w14:paraId="420A2CF2" w14:textId="77777777" w:rsidR="004C6658" w:rsidRPr="004C6658" w:rsidRDefault="004C6658" w:rsidP="004C66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Forward PE if only EPS is available. </w:t>
      </w:r>
    </w:p>
    <w:p w14:paraId="1B6B249F" w14:textId="77777777" w:rsidR="004C6658" w:rsidRPr="004C6658" w:rsidRDefault="004C6658" w:rsidP="004C66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Forward PE with Current PE. </w:t>
      </w:r>
    </w:p>
    <w:p w14:paraId="7868A008" w14:textId="77777777" w:rsidR="004C6658" w:rsidRPr="004C6658" w:rsidRDefault="004C6658" w:rsidP="004C66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historical Forward PE levels. </w:t>
      </w:r>
    </w:p>
    <w:p w14:paraId="60D03C8E" w14:textId="77777777" w:rsidR="004C6658" w:rsidRPr="004C6658" w:rsidRDefault="004C6658" w:rsidP="004C66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valuation score. </w:t>
      </w:r>
    </w:p>
    <w:p w14:paraId="2FAFF1EC"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0BE0B883" w14:textId="77777777" w:rsidR="004C6658" w:rsidRPr="004C6658" w:rsidRDefault="004C6658" w:rsidP="004C66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consensus analyst estimates where available. </w:t>
      </w:r>
    </w:p>
    <w:p w14:paraId="471341E5" w14:textId="77777777" w:rsidR="004C6658" w:rsidRPr="004C6658" w:rsidRDefault="004C6658" w:rsidP="004C66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Do not mix TTM EPS with Forward EPS. </w:t>
      </w:r>
    </w:p>
    <w:p w14:paraId="48D3D2E5" w14:textId="77777777" w:rsidR="004C6658" w:rsidRPr="004C6658" w:rsidRDefault="004C6658" w:rsidP="004C66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the latest available earnings projections. </w:t>
      </w:r>
    </w:p>
    <w:p w14:paraId="014E79D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F899749">
          <v:rect id="_x0000_i1059" style="width:0;height:1.5pt" o:hralign="center" o:hrstd="t" o:hr="t" fillcolor="#a0a0a0" stroked="f"/>
        </w:pict>
      </w:r>
    </w:p>
    <w:p w14:paraId="3AA47D4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4. Card Fields</w:t>
      </w:r>
    </w:p>
    <w:p w14:paraId="5367D12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Value</w:t>
      </w:r>
    </w:p>
    <w:p w14:paraId="50CFDD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Forward PE</w:t>
      </w:r>
    </w:p>
    <w:p w14:paraId="5165B60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PE</w:t>
      </w:r>
    </w:p>
    <w:p w14:paraId="460630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Trailing PE</w:t>
      </w:r>
    </w:p>
    <w:p w14:paraId="7686EEE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Premium / Discount</w:t>
      </w:r>
    </w:p>
    <w:p w14:paraId="3189319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Difference between PE and Forward PE</w:t>
      </w:r>
    </w:p>
    <w:p w14:paraId="77408E4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029F0F8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2B22E6A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74F6D115" w14:textId="77777777" w:rsidR="004C6658" w:rsidRPr="004C6658" w:rsidRDefault="004C6658" w:rsidP="004C665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3BC0099E" w14:textId="77777777" w:rsidR="004C6658" w:rsidRPr="004C6658" w:rsidRDefault="004C6658" w:rsidP="004C665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513DB6F5" w14:textId="77777777" w:rsidR="004C6658" w:rsidRPr="004C6658" w:rsidRDefault="004C6658" w:rsidP="004C665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47A0B68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7B8878D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Forecast Confidence</w:t>
      </w:r>
    </w:p>
    <w:p w14:paraId="3D8FE73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54A5AAB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72929C0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C7DD071">
          <v:rect id="_x0000_i1060" style="width:0;height:1.5pt" o:hralign="center" o:hrstd="t" o:hr="t" fillcolor="#a0a0a0" stroked="f"/>
        </w:pict>
      </w:r>
    </w:p>
    <w:p w14:paraId="7D795E55"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634"/>
        <w:gridCol w:w="1509"/>
      </w:tblGrid>
      <w:tr w:rsidR="004C6658" w:rsidRPr="004C6658" w14:paraId="2BADF335" w14:textId="77777777" w:rsidTr="004C6658">
        <w:trPr>
          <w:tblHeader/>
          <w:tblCellSpacing w:w="15" w:type="dxa"/>
        </w:trPr>
        <w:tc>
          <w:tcPr>
            <w:tcW w:w="0" w:type="auto"/>
            <w:vAlign w:val="center"/>
            <w:hideMark/>
          </w:tcPr>
          <w:p w14:paraId="3424EB53"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Condition</w:t>
            </w:r>
          </w:p>
        </w:tc>
        <w:tc>
          <w:tcPr>
            <w:tcW w:w="0" w:type="auto"/>
            <w:vAlign w:val="center"/>
            <w:hideMark/>
          </w:tcPr>
          <w:p w14:paraId="0764A027"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3A60B935"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265B56D4" w14:textId="77777777" w:rsidTr="004C6658">
        <w:trPr>
          <w:tblCellSpacing w:w="15" w:type="dxa"/>
        </w:trPr>
        <w:tc>
          <w:tcPr>
            <w:tcW w:w="0" w:type="auto"/>
            <w:vAlign w:val="center"/>
            <w:hideMark/>
          </w:tcPr>
          <w:p w14:paraId="4B5800A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Forward PE Much Lower than PE</w:t>
            </w:r>
          </w:p>
        </w:tc>
        <w:tc>
          <w:tcPr>
            <w:tcW w:w="0" w:type="auto"/>
            <w:vAlign w:val="center"/>
            <w:hideMark/>
          </w:tcPr>
          <w:p w14:paraId="0A1D328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1D28193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487AAE4B" w14:textId="77777777" w:rsidTr="004C6658">
        <w:trPr>
          <w:tblCellSpacing w:w="15" w:type="dxa"/>
        </w:trPr>
        <w:tc>
          <w:tcPr>
            <w:tcW w:w="0" w:type="auto"/>
            <w:vAlign w:val="center"/>
            <w:hideMark/>
          </w:tcPr>
          <w:p w14:paraId="191EB75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Forward PE Lower than PE</w:t>
            </w:r>
          </w:p>
        </w:tc>
        <w:tc>
          <w:tcPr>
            <w:tcW w:w="0" w:type="auto"/>
            <w:vAlign w:val="center"/>
            <w:hideMark/>
          </w:tcPr>
          <w:p w14:paraId="4A6B700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16B5689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0A7275E6" w14:textId="77777777" w:rsidTr="004C6658">
        <w:trPr>
          <w:tblCellSpacing w:w="15" w:type="dxa"/>
        </w:trPr>
        <w:tc>
          <w:tcPr>
            <w:tcW w:w="0" w:type="auto"/>
            <w:vAlign w:val="center"/>
            <w:hideMark/>
          </w:tcPr>
          <w:p w14:paraId="257D3EA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Similar to Current PE</w:t>
            </w:r>
          </w:p>
        </w:tc>
        <w:tc>
          <w:tcPr>
            <w:tcW w:w="0" w:type="auto"/>
            <w:vAlign w:val="center"/>
            <w:hideMark/>
          </w:tcPr>
          <w:p w14:paraId="50D84FA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15737C4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122FEC0E" w14:textId="77777777" w:rsidTr="004C6658">
        <w:trPr>
          <w:tblCellSpacing w:w="15" w:type="dxa"/>
        </w:trPr>
        <w:tc>
          <w:tcPr>
            <w:tcW w:w="0" w:type="auto"/>
            <w:vAlign w:val="center"/>
            <w:hideMark/>
          </w:tcPr>
          <w:p w14:paraId="6421B97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Slightly Higher than PE</w:t>
            </w:r>
          </w:p>
        </w:tc>
        <w:tc>
          <w:tcPr>
            <w:tcW w:w="0" w:type="auto"/>
            <w:vAlign w:val="center"/>
            <w:hideMark/>
          </w:tcPr>
          <w:p w14:paraId="7CD4096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6D7A919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400BFB80" w14:textId="77777777" w:rsidTr="004C6658">
        <w:trPr>
          <w:tblCellSpacing w:w="15" w:type="dxa"/>
        </w:trPr>
        <w:tc>
          <w:tcPr>
            <w:tcW w:w="0" w:type="auto"/>
            <w:vAlign w:val="center"/>
            <w:hideMark/>
          </w:tcPr>
          <w:p w14:paraId="537F905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Significantly Higher than PE</w:t>
            </w:r>
          </w:p>
        </w:tc>
        <w:tc>
          <w:tcPr>
            <w:tcW w:w="0" w:type="auto"/>
            <w:vAlign w:val="center"/>
            <w:hideMark/>
          </w:tcPr>
          <w:p w14:paraId="5FD1C08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0CD41A9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26BC3AA3"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lastRenderedPageBreak/>
        <w:t>Notes</w:t>
      </w:r>
    </w:p>
    <w:p w14:paraId="1E225097" w14:textId="77777777" w:rsidR="004C6658" w:rsidRPr="004C6658" w:rsidRDefault="004C6658" w:rsidP="004C665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Lower Forward PE indicates expected earnings improvement. </w:t>
      </w:r>
    </w:p>
    <w:p w14:paraId="257A6E60" w14:textId="77777777" w:rsidR="004C6658" w:rsidRPr="004C6658" w:rsidRDefault="004C6658" w:rsidP="004C665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Higher Forward PE suggests weaker future earnings expectations. </w:t>
      </w:r>
    </w:p>
    <w:p w14:paraId="64E91138" w14:textId="77777777" w:rsidR="004C6658" w:rsidRPr="004C6658" w:rsidRDefault="004C6658" w:rsidP="004C665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both historical values and current PE. </w:t>
      </w:r>
    </w:p>
    <w:p w14:paraId="5C4681F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1B261E1">
          <v:rect id="_x0000_i1061" style="width:0;height:1.5pt" o:hralign="center" o:hrstd="t" o:hr="t" fillcolor="#a0a0a0" stroked="f"/>
        </w:pict>
      </w:r>
    </w:p>
    <w:p w14:paraId="17F4946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1CEF268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Forward PE Lower than Current PE</w:t>
      </w:r>
    </w:p>
    <w:p w14:paraId="1DA6492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0F51793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Forward PE Similar to Current PE</w:t>
      </w:r>
    </w:p>
    <w:p w14:paraId="43A5271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31D8DEC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Forward PE Higher than Current PE</w:t>
      </w:r>
    </w:p>
    <w:p w14:paraId="67E7D1E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436BB78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361E4FC">
          <v:rect id="_x0000_i1062" style="width:0;height:1.5pt" o:hralign="center" o:hrstd="t" o:hr="t" fillcolor="#a0a0a0" stroked="f"/>
        </w:pict>
      </w:r>
    </w:p>
    <w:p w14:paraId="166C6327"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57248FF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30B46E9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75%</w:t>
      </w:r>
    </w:p>
    <w:p w14:paraId="150391F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450374E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+10% Multiple </w:t>
      </w:r>
      <w:proofErr w:type="gramStart"/>
      <w:r w:rsidRPr="004C6658">
        <w:rPr>
          <w:rFonts w:ascii="Times New Roman" w:eastAsia="Times New Roman" w:hAnsi="Times New Roman" w:cs="Times New Roman"/>
          <w:sz w:val="24"/>
          <w:szCs w:val="24"/>
        </w:rPr>
        <w:t>analyst</w:t>
      </w:r>
      <w:proofErr w:type="gramEnd"/>
      <w:r w:rsidRPr="004C6658">
        <w:rPr>
          <w:rFonts w:ascii="Times New Roman" w:eastAsia="Times New Roman" w:hAnsi="Times New Roman" w:cs="Times New Roman"/>
          <w:sz w:val="24"/>
          <w:szCs w:val="24"/>
        </w:rPr>
        <w:t xml:space="preserve"> estimates available</w:t>
      </w:r>
    </w:p>
    <w:p w14:paraId="30A91A1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Consensus estimate</w:t>
      </w:r>
    </w:p>
    <w:p w14:paraId="625A991A"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48B075D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34A60C4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Limited analyst coverage</w:t>
      </w:r>
    </w:p>
    <w:p w14:paraId="6130EE3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Outdated earnings estimates</w:t>
      </w:r>
    </w:p>
    <w:p w14:paraId="2D2F43D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lastRenderedPageBreak/>
        <w:t>Minimum</w:t>
      </w:r>
    </w:p>
    <w:p w14:paraId="094B629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55%</w:t>
      </w:r>
    </w:p>
    <w:p w14:paraId="2C12AEA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63C3D89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6B583BF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D9A4EC5">
          <v:rect id="_x0000_i1063" style="width:0;height:1.5pt" o:hralign="center" o:hrstd="t" o:hr="t" fillcolor="#a0a0a0" stroked="f"/>
        </w:pict>
      </w:r>
    </w:p>
    <w:p w14:paraId="330083C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35CBA96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612DCA6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34BA94E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74F03B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3F1B7A4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1C2EC7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49A9D97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140980E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30-Day Average Score</w:t>
      </w:r>
    </w:p>
    <w:p w14:paraId="4BA203DD"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217B241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Expensive</w:t>
      </w:r>
    </w:p>
    <w:p w14:paraId="0C24EC1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Fair</w:t>
      </w:r>
    </w:p>
    <w:p w14:paraId="7F81DE6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60–80 → Attractive</w:t>
      </w:r>
    </w:p>
    <w:p w14:paraId="343D400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80–100 → Undervalued</w:t>
      </w:r>
    </w:p>
    <w:p w14:paraId="2CCD172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3CCB063">
          <v:rect id="_x0000_i1064" style="width:0;height:1.5pt" o:hralign="center" o:hrstd="t" o:hr="t" fillcolor="#a0a0a0" stroked="f"/>
        </w:pict>
      </w:r>
    </w:p>
    <w:p w14:paraId="52FDA36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9. Dual Trend Chart</w:t>
      </w:r>
    </w:p>
    <w:p w14:paraId="6773AD9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5BD86D8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Dual Line</w:t>
      </w:r>
    </w:p>
    <w:p w14:paraId="18ED9EF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6EF75C6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Forward PE</w:t>
      </w:r>
    </w:p>
    <w:p w14:paraId="22A138A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1E0853E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4086FBC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1576436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 Updates</w:t>
      </w:r>
    </w:p>
    <w:p w14:paraId="7505C50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79637C5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Whenever Forward PE is refreshed.</w:t>
      </w:r>
    </w:p>
    <w:p w14:paraId="78A72D9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E97911F">
          <v:rect id="_x0000_i1065" style="width:0;height:1.5pt" o:hralign="center" o:hrstd="t" o:hr="t" fillcolor="#a0a0a0" stroked="f"/>
        </w:pict>
      </w:r>
    </w:p>
    <w:p w14:paraId="408CD50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75D5E31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Forward PE Lower than Current PE</w:t>
      </w:r>
    </w:p>
    <w:p w14:paraId="29757F8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market expects earnings growth over the coming year.</w:t>
      </w:r>
    </w:p>
    <w:p w14:paraId="1BAA7B9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Forward PE Near Current PE</w:t>
      </w:r>
    </w:p>
    <w:p w14:paraId="765535D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earnings expectations remain relatively stable.</w:t>
      </w:r>
    </w:p>
    <w:p w14:paraId="3E00347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Forward PE Higher than Current PE</w:t>
      </w:r>
    </w:p>
    <w:p w14:paraId="28EA1A6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future earnings are expected to weaken.</w:t>
      </w:r>
    </w:p>
    <w:p w14:paraId="380341A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Low Confidence</w:t>
      </w:r>
    </w:p>
    <w:p w14:paraId="6FFA56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Mention that forecast-based metrics depend on analyst estimates.</w:t>
      </w:r>
    </w:p>
    <w:p w14:paraId="71D6F92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7A70CDC">
          <v:rect id="_x0000_i1066" style="width:0;height:1.5pt" o:hralign="center" o:hrstd="t" o:hr="t" fillcolor="#a0a0a0" stroked="f"/>
        </w:pict>
      </w:r>
    </w:p>
    <w:p w14:paraId="5F20FAF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0F481585" w14:textId="77777777" w:rsidR="004C6658" w:rsidRPr="004C6658" w:rsidRDefault="004C6658" w:rsidP="004C665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Measures future market valuation. </w:t>
      </w:r>
    </w:p>
    <w:p w14:paraId="5B6E4F9B" w14:textId="77777777" w:rsidR="004C6658" w:rsidRPr="004C6658" w:rsidRDefault="004C6658" w:rsidP="004C665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Reflects earnings expectations. </w:t>
      </w:r>
    </w:p>
    <w:p w14:paraId="31F0C14E" w14:textId="77777777" w:rsidR="004C6658" w:rsidRPr="004C6658" w:rsidRDefault="004C6658" w:rsidP="004C665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Helps compare current and future valuations. </w:t>
      </w:r>
    </w:p>
    <w:p w14:paraId="7C349890" w14:textId="77777777" w:rsidR="004C6658" w:rsidRPr="004C6658" w:rsidRDefault="004C6658" w:rsidP="004C665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Often identifies improving or deteriorating fundamentals before reported earnings. </w:t>
      </w:r>
    </w:p>
    <w:p w14:paraId="08CDB43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EA5090C">
          <v:rect id="_x0000_i1067" style="width:0;height:1.5pt" o:hralign="center" o:hrstd="t" o:hr="t" fillcolor="#a0a0a0" stroked="f"/>
        </w:pict>
      </w:r>
    </w:p>
    <w:p w14:paraId="56885F9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48C86FC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4C76425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6FDD1F1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10FF64E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30CE521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762F752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15AF03C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762FFD2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2A1056B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4FDB097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Future valuation assessment.</w:t>
      </w:r>
    </w:p>
    <w:p w14:paraId="2105E38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79F79E9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Yes</w:t>
      </w:r>
    </w:p>
    <w:p w14:paraId="2B8B14A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C58E2E3">
          <v:rect id="_x0000_i1068" style="width:0;height:1.5pt" o:hralign="center" o:hrstd="t" o:hr="t" fillcolor="#a0a0a0" stroked="f"/>
        </w:pict>
      </w:r>
    </w:p>
    <w:p w14:paraId="11A49E7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13. Supporting Indicators</w:t>
      </w:r>
    </w:p>
    <w:p w14:paraId="73610E5A" w14:textId="77777777" w:rsidR="004C6658" w:rsidRPr="004C6658" w:rsidRDefault="004C6658" w:rsidP="004C665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PE Ratio </w:t>
      </w:r>
    </w:p>
    <w:p w14:paraId="6D7096F1" w14:textId="77777777" w:rsidR="004C6658" w:rsidRPr="004C6658" w:rsidRDefault="004C6658" w:rsidP="004C665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w:t>
      </w:r>
    </w:p>
    <w:p w14:paraId="135B8C52" w14:textId="77777777" w:rsidR="004C6658" w:rsidRPr="004C6658" w:rsidRDefault="004C6658" w:rsidP="004C665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w:t>
      </w:r>
    </w:p>
    <w:p w14:paraId="3A22E780" w14:textId="77777777" w:rsidR="004C6658" w:rsidRPr="004C6658" w:rsidRDefault="004C6658" w:rsidP="004C665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w:t>
      </w:r>
    </w:p>
    <w:p w14:paraId="6817FECD" w14:textId="77777777" w:rsidR="004C6658" w:rsidRPr="004C6658" w:rsidRDefault="004C6658" w:rsidP="004C665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Earnings Trend </w:t>
      </w:r>
    </w:p>
    <w:p w14:paraId="7B96EE7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904C38E">
          <v:rect id="_x0000_i1069" style="width:0;height:1.5pt" o:hralign="center" o:hrstd="t" o:hr="t" fillcolor="#a0a0a0" stroked="f"/>
        </w:pict>
      </w:r>
    </w:p>
    <w:p w14:paraId="6848207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14. Metadata</w:t>
      </w:r>
    </w:p>
    <w:p w14:paraId="3211E37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735070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NSE / Financial Data Providers</w:t>
      </w:r>
    </w:p>
    <w:p w14:paraId="7008F10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2212F3D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Official Forward PE or Backend Calculation</w:t>
      </w:r>
    </w:p>
    <w:p w14:paraId="4C21E47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4B465CC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w:t>
      </w:r>
    </w:p>
    <w:p w14:paraId="65623D4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04D661E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2F75C35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53D3A8D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7A00F77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6CEF50D">
          <v:rect id="_x0000_i1070" style="width:0;height:1.5pt" o:hralign="center" o:hrstd="t" o:hr="t" fillcolor="#a0a0a0" stroked="f"/>
        </w:pict>
      </w:r>
    </w:p>
    <w:p w14:paraId="1222E61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5FE1505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61D36FCB" w14:textId="77777777" w:rsidR="004C6658" w:rsidRPr="004C6658" w:rsidRDefault="004C6658" w:rsidP="004C66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Forward PE </w:t>
      </w:r>
    </w:p>
    <w:p w14:paraId="0774B151" w14:textId="77777777" w:rsidR="004C6658" w:rsidRPr="004C6658" w:rsidRDefault="004C6658" w:rsidP="004C66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PE </w:t>
      </w:r>
    </w:p>
    <w:p w14:paraId="22C3197D" w14:textId="77777777" w:rsidR="004C6658" w:rsidRPr="004C6658" w:rsidRDefault="004C6658" w:rsidP="004C66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Estimated EPS </w:t>
      </w:r>
    </w:p>
    <w:p w14:paraId="31B59891" w14:textId="77777777" w:rsidR="004C6658" w:rsidRPr="004C6658" w:rsidRDefault="004C6658" w:rsidP="004C66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Forward PE </w:t>
      </w:r>
    </w:p>
    <w:p w14:paraId="1EAAC972" w14:textId="77777777" w:rsidR="004C6658" w:rsidRPr="004C6658" w:rsidRDefault="004C6658" w:rsidP="004C66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18FEDAEE" w14:textId="77777777" w:rsidR="004C6658" w:rsidRPr="004C6658" w:rsidRDefault="004C6658" w:rsidP="004C66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Confidence </w:t>
      </w:r>
    </w:p>
    <w:p w14:paraId="04219F00" w14:textId="77777777" w:rsidR="004C6658" w:rsidRPr="004C6658" w:rsidRDefault="004C6658" w:rsidP="004C66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18DD81D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Display both </w:t>
      </w:r>
      <w:r w:rsidRPr="004C6658">
        <w:rPr>
          <w:rFonts w:ascii="Times New Roman" w:eastAsia="Times New Roman" w:hAnsi="Times New Roman" w:cs="Times New Roman"/>
          <w:b/>
          <w:bCs/>
          <w:sz w:val="24"/>
          <w:szCs w:val="24"/>
        </w:rPr>
        <w:t>PE</w:t>
      </w:r>
      <w:r w:rsidRPr="004C6658">
        <w:rPr>
          <w:rFonts w:ascii="Times New Roman" w:eastAsia="Times New Roman" w:hAnsi="Times New Roman" w:cs="Times New Roman"/>
          <w:sz w:val="24"/>
          <w:szCs w:val="24"/>
        </w:rPr>
        <w:t xml:space="preserve"> and </w:t>
      </w:r>
      <w:r w:rsidRPr="004C6658">
        <w:rPr>
          <w:rFonts w:ascii="Times New Roman" w:eastAsia="Times New Roman" w:hAnsi="Times New Roman" w:cs="Times New Roman"/>
          <w:b/>
          <w:bCs/>
          <w:sz w:val="24"/>
          <w:szCs w:val="24"/>
        </w:rPr>
        <w:t>Forward PE</w:t>
      </w:r>
      <w:r w:rsidRPr="004C6658">
        <w:rPr>
          <w:rFonts w:ascii="Times New Roman" w:eastAsia="Times New Roman" w:hAnsi="Times New Roman" w:cs="Times New Roman"/>
          <w:sz w:val="24"/>
          <w:szCs w:val="24"/>
        </w:rPr>
        <w:t xml:space="preserve"> together to allow quick comparison.</w:t>
      </w:r>
    </w:p>
    <w:p w14:paraId="04CBE45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If Forward EPS is unavailable, display </w:t>
      </w:r>
      <w:r w:rsidRPr="004C6658">
        <w:rPr>
          <w:rFonts w:ascii="Times New Roman" w:eastAsia="Times New Roman" w:hAnsi="Times New Roman" w:cs="Times New Roman"/>
          <w:b/>
          <w:bCs/>
          <w:sz w:val="24"/>
          <w:szCs w:val="24"/>
        </w:rPr>
        <w:t>"Not Available"</w:t>
      </w:r>
      <w:r w:rsidRPr="004C6658">
        <w:rPr>
          <w:rFonts w:ascii="Times New Roman" w:eastAsia="Times New Roman" w:hAnsi="Times New Roman" w:cs="Times New Roman"/>
          <w:sz w:val="24"/>
          <w:szCs w:val="24"/>
        </w:rPr>
        <w:t xml:space="preserve"> and reduce the Fundamentals confidence.</w:t>
      </w:r>
    </w:p>
    <w:p w14:paraId="1D03840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C9BE516">
          <v:rect id="_x0000_i1071" style="width:0;height:1.5pt" o:hralign="center" o:hrstd="t" o:hr="t" fillcolor="#a0a0a0" stroked="f"/>
        </w:pict>
      </w:r>
    </w:p>
    <w:p w14:paraId="2AED7AC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 xml:space="preserve">16. Praxis Engine Integration </w:t>
      </w:r>
      <w:r w:rsidRPr="004C6658">
        <w:rPr>
          <w:rFonts w:ascii="Segoe UI Emoji" w:eastAsia="Times New Roman" w:hAnsi="Segoe UI Emoji" w:cs="Segoe UI Emoji"/>
          <w:b/>
          <w:bCs/>
          <w:kern w:val="36"/>
          <w:sz w:val="48"/>
          <w:szCs w:val="48"/>
        </w:rPr>
        <w:t>⭐</w:t>
      </w:r>
    </w:p>
    <w:p w14:paraId="738CFE6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0307F5B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 (Configurable)</w:t>
      </w:r>
    </w:p>
    <w:p w14:paraId="636AD1C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13FEF77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Future Valuation Assessment</w:t>
      </w:r>
    </w:p>
    <w:p w14:paraId="3768933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41E41F3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 expected valuation based on future earnings.</w:t>
      </w:r>
    </w:p>
    <w:p w14:paraId="678E34F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55935D45" w14:textId="77777777" w:rsidR="004C6658" w:rsidRPr="004C6658" w:rsidRDefault="004C6658" w:rsidP="004C66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below Current PE </w:t>
      </w:r>
    </w:p>
    <w:p w14:paraId="116E02FA" w14:textId="77777777" w:rsidR="004C6658" w:rsidRPr="004C6658" w:rsidRDefault="004C6658" w:rsidP="004C66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EPS Growth </w:t>
      </w:r>
    </w:p>
    <w:p w14:paraId="4474DB4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520E18CD" w14:textId="77777777" w:rsidR="004C6658" w:rsidRPr="004C6658" w:rsidRDefault="004C6658" w:rsidP="004C665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above Current PE </w:t>
      </w:r>
    </w:p>
    <w:p w14:paraId="01DA45AC" w14:textId="77777777" w:rsidR="004C6658" w:rsidRPr="004C6658" w:rsidRDefault="004C6658" w:rsidP="004C665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Declining Earnings Trend </w:t>
      </w:r>
    </w:p>
    <w:p w14:paraId="2DAF78C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3B07660">
          <v:rect id="_x0000_i1072" style="width:0;height:1.5pt" o:hralign="center" o:hrstd="t" o:hr="t" fillcolor="#a0a0a0" stroked="f"/>
        </w:pict>
      </w:r>
    </w:p>
    <w:p w14:paraId="3FB8507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17. Praxis Recommendation</w:t>
      </w:r>
    </w:p>
    <w:p w14:paraId="1CF3D99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should act as the </w:t>
      </w:r>
      <w:r w:rsidRPr="004C6658">
        <w:rPr>
          <w:rFonts w:ascii="Times New Roman" w:eastAsia="Times New Roman" w:hAnsi="Times New Roman" w:cs="Times New Roman"/>
          <w:b/>
          <w:bCs/>
          <w:sz w:val="24"/>
          <w:szCs w:val="24"/>
        </w:rPr>
        <w:t>forward-looking valuation indicator</w:t>
      </w:r>
      <w:r w:rsidRPr="004C6658">
        <w:rPr>
          <w:rFonts w:ascii="Times New Roman" w:eastAsia="Times New Roman" w:hAnsi="Times New Roman" w:cs="Times New Roman"/>
          <w:sz w:val="24"/>
          <w:szCs w:val="24"/>
        </w:rPr>
        <w:t>, complementing the traditional PE Ratio.</w:t>
      </w:r>
    </w:p>
    <w:p w14:paraId="51EF796E"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Valuation Hierarchy</w:t>
      </w:r>
    </w:p>
    <w:p w14:paraId="6B12494D" w14:textId="77777777" w:rsidR="004C6658" w:rsidRPr="004C6658" w:rsidRDefault="004C6658" w:rsidP="004C665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PE Ratio </w:t>
      </w:r>
    </w:p>
    <w:p w14:paraId="3792EEBB" w14:textId="77777777" w:rsidR="004C6658" w:rsidRPr="004C6658" w:rsidRDefault="004C6658" w:rsidP="004C665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Forward PE </w:t>
      </w:r>
    </w:p>
    <w:p w14:paraId="1ADD5B2C" w14:textId="77777777" w:rsidR="004C6658" w:rsidRPr="004C6658" w:rsidRDefault="004C6658" w:rsidP="004C665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PB Ratio </w:t>
      </w:r>
    </w:p>
    <w:p w14:paraId="38FF554A" w14:textId="77777777" w:rsidR="004C6658" w:rsidRPr="004C6658" w:rsidRDefault="004C6658" w:rsidP="004C665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Earnings Yield </w:t>
      </w:r>
    </w:p>
    <w:p w14:paraId="3677DB7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2F2B2711" w14:textId="77777777" w:rsidR="004C6658" w:rsidRPr="004C6658" w:rsidRDefault="004C6658" w:rsidP="004C66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&lt; Current PE + Positive EPS Growth → Increase Valuation Score. </w:t>
      </w:r>
    </w:p>
    <w:p w14:paraId="258691EA" w14:textId="77777777" w:rsidR="004C6658" w:rsidRPr="004C6658" w:rsidRDefault="004C6658" w:rsidP="004C66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&gt; Current PE + Weak Earnings Trend → Reduce Valuation Score. </w:t>
      </w:r>
    </w:p>
    <w:p w14:paraId="36989693" w14:textId="77777777" w:rsidR="004C6658" w:rsidRPr="004C6658" w:rsidRDefault="004C6658" w:rsidP="004C66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Use Forward PE to validate whether current market valuations are supported by expected future earnings. </w:t>
      </w:r>
    </w:p>
    <w:p w14:paraId="16D553B5" w14:textId="1F2D0175"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should strengthen the </w:t>
      </w:r>
      <w:r w:rsidRPr="004C6658">
        <w:rPr>
          <w:rFonts w:ascii="Times New Roman" w:eastAsia="Times New Roman" w:hAnsi="Times New Roman" w:cs="Times New Roman"/>
          <w:b/>
          <w:bCs/>
          <w:sz w:val="24"/>
          <w:szCs w:val="24"/>
        </w:rPr>
        <w:t>Valuation Score</w:t>
      </w:r>
      <w:r w:rsidRPr="004C6658">
        <w:rPr>
          <w:rFonts w:ascii="Times New Roman" w:eastAsia="Times New Roman" w:hAnsi="Times New Roman" w:cs="Times New Roman"/>
          <w:sz w:val="24"/>
          <w:szCs w:val="24"/>
        </w:rPr>
        <w:t xml:space="preserve"> by incorporating market expectations but should always be evaluated alongside PE Ratio and earnings growth rather than as a standalone signal.</w:t>
      </w:r>
    </w:p>
    <w:p w14:paraId="1C9D978F" w14:textId="64CC0950"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28E1D08" w14:textId="20FC5CA7"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C7B349C" w14:textId="6D9E0927"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62D21E1E" w14:textId="31DA55F7"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020C23E" w14:textId="23C89260"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60A43C26" w14:textId="17A45E64"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17C5DAFA" w14:textId="1C6E6896"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2AF0C12" w14:textId="206EF69E"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BF7CA56" w14:textId="4C1A3542"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47A1406" w14:textId="7A5EE4FF"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583FB08" w14:textId="53422710"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BE183C1" w14:textId="05884F05"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94C265E" w14:textId="5968BCCA"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21F66A7" w14:textId="29B1E345"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868964D" w14:textId="4F5ABF58"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676B75B9" w14:textId="2090237C"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4AE0764" w14:textId="335E5BC6"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45F3899B" w14:textId="2AF2CE82"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FE92AD7" w14:textId="77777777" w:rsidR="002B50C2" w:rsidRPr="004C6658"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DFEB3F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C6658">
        <w:rPr>
          <w:rFonts w:ascii="Times New Roman" w:eastAsia="Times New Roman" w:hAnsi="Times New Roman" w:cs="Times New Roman"/>
          <w:b/>
          <w:bCs/>
          <w:color w:val="FF0000"/>
          <w:kern w:val="36"/>
          <w:sz w:val="48"/>
          <w:szCs w:val="48"/>
        </w:rPr>
        <w:lastRenderedPageBreak/>
        <w:t>3. PB Ratio (Price-to-Book Ratio)</w:t>
      </w:r>
    </w:p>
    <w:p w14:paraId="6F4AF93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Valuation</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2A48E305"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4939F77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Price-to-Book Ratio</w:t>
      </w:r>
    </w:p>
    <w:p w14:paraId="4FD7FA2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PB Ratio</w:t>
      </w:r>
    </w:p>
    <w:p w14:paraId="2BA4AD8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67A18AC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Valuation</w:t>
      </w:r>
    </w:p>
    <w:p w14:paraId="3B54D3D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4050EFF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how much investors are paying for every ₹1 of net assets (book value). It helps determine whether the market is trading above or below its intrinsic book value.</w:t>
      </w:r>
    </w:p>
    <w:p w14:paraId="7C12F4C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7E446D0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Book Value Per Share (BVPS)</w:t>
      </w:r>
    </w:p>
    <w:p w14:paraId="2217620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7617D70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(Core Valuation Indicator)</w:t>
      </w:r>
    </w:p>
    <w:p w14:paraId="0BA1A58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5358E31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140C030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2BDC128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Whenever official PB Ratio data is updated.</w:t>
      </w:r>
    </w:p>
    <w:p w14:paraId="34C0BF9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6182837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PB Ratio is most useful when combined with ROE. A high PB with strong ROE can be justified, whereas a high PB with weak ROE may indicate overvaluation.</w:t>
      </w:r>
    </w:p>
    <w:p w14:paraId="66FAE30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1D033B7">
          <v:rect id="_x0000_i1089" style="width:0;height:1.5pt" o:hralign="center" o:hrstd="t" o:hr="t" fillcolor="#a0a0a0" stroked="f"/>
        </w:pict>
      </w:r>
    </w:p>
    <w:p w14:paraId="41E5034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2. Data Requirements</w:t>
      </w:r>
    </w:p>
    <w:p w14:paraId="09BB6BF3"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762902BF" w14:textId="77777777" w:rsidR="004C6658" w:rsidRPr="004C6658" w:rsidRDefault="004C6658" w:rsidP="004C66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PB Ratio </w:t>
      </w:r>
    </w:p>
    <w:p w14:paraId="1E5B3F71" w14:textId="77777777" w:rsidR="004C6658" w:rsidRPr="004C6658" w:rsidRDefault="004C6658" w:rsidP="004C66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Book Value Per Share (BVPS) </w:t>
      </w:r>
    </w:p>
    <w:p w14:paraId="2D9D94D0" w14:textId="77777777" w:rsidR="004C6658" w:rsidRPr="004C6658" w:rsidRDefault="004C6658" w:rsidP="004C66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PB Ratio </w:t>
      </w:r>
    </w:p>
    <w:p w14:paraId="1162C356" w14:textId="77777777" w:rsidR="004C6658" w:rsidRPr="004C6658" w:rsidRDefault="004C6658" w:rsidP="004C66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Average PB </w:t>
      </w:r>
    </w:p>
    <w:p w14:paraId="14EC7091"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4DA7389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 Year</w:t>
      </w:r>
    </w:p>
    <w:p w14:paraId="2333423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007F07E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Years</w:t>
      </w:r>
    </w:p>
    <w:p w14:paraId="245EE1F1"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670E96CB" w14:textId="77777777" w:rsidR="004C6658" w:rsidRPr="004C6658" w:rsidRDefault="004C6658" w:rsidP="004C66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Indices </w:t>
      </w:r>
    </w:p>
    <w:p w14:paraId="35BBD096" w14:textId="77777777" w:rsidR="004C6658" w:rsidRPr="004C6658" w:rsidRDefault="004C6658" w:rsidP="004C66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Factsheet </w:t>
      </w:r>
    </w:p>
    <w:p w14:paraId="013DDCC5" w14:textId="77777777" w:rsidR="004C6658" w:rsidRPr="004C6658" w:rsidRDefault="004C6658" w:rsidP="004C66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Company Financial Statements </w:t>
      </w:r>
    </w:p>
    <w:p w14:paraId="3D4B0F9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B5CF8B4">
          <v:rect id="_x0000_i1090" style="width:0;height:1.5pt" o:hralign="center" o:hrstd="t" o:hr="t" fillcolor="#a0a0a0" stroked="f"/>
        </w:pict>
      </w:r>
    </w:p>
    <w:p w14:paraId="03A2CDA9"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17B8803F"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1C1CBF0A"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PB Ratio = Current Market Price / Book Value Per Share</w:t>
      </w:r>
    </w:p>
    <w:p w14:paraId="15D9A76B"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59F883F8" w14:textId="77777777" w:rsidR="004C6658" w:rsidRPr="004C6658" w:rsidRDefault="004C6658" w:rsidP="004C66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Obtain the latest Book Value Per Share. </w:t>
      </w:r>
    </w:p>
    <w:p w14:paraId="2DEBA19A" w14:textId="77777777" w:rsidR="004C6658" w:rsidRPr="004C6658" w:rsidRDefault="004C6658" w:rsidP="004C66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or retrieve the official PB Ratio. </w:t>
      </w:r>
    </w:p>
    <w:p w14:paraId="43A368FC" w14:textId="77777777" w:rsidR="004C6658" w:rsidRPr="004C6658" w:rsidRDefault="004C6658" w:rsidP="004C66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the current PB with historical averages. </w:t>
      </w:r>
    </w:p>
    <w:p w14:paraId="6EFF75CB" w14:textId="77777777" w:rsidR="004C6658" w:rsidRPr="004C6658" w:rsidRDefault="004C6658" w:rsidP="004C66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valuation score. </w:t>
      </w:r>
    </w:p>
    <w:p w14:paraId="5956DC50"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744ED4BB" w14:textId="77777777" w:rsidR="004C6658" w:rsidRPr="004C6658" w:rsidRDefault="004C6658" w:rsidP="004C66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the latest reported Book Value. </w:t>
      </w:r>
    </w:p>
    <w:p w14:paraId="0F440AD0" w14:textId="77777777" w:rsidR="004C6658" w:rsidRPr="004C6658" w:rsidRDefault="004C6658" w:rsidP="004C66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comparison is preferred over fixed PB thresholds. </w:t>
      </w:r>
    </w:p>
    <w:p w14:paraId="405F9139" w14:textId="77777777" w:rsidR="004C6658" w:rsidRPr="004C6658" w:rsidRDefault="004C6658" w:rsidP="004C66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PB alongside ROE for better interpretation. </w:t>
      </w:r>
    </w:p>
    <w:p w14:paraId="2D53125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pict w14:anchorId="18BDE9BC">
          <v:rect id="_x0000_i1091" style="width:0;height:1.5pt" o:hralign="center" o:hrstd="t" o:hr="t" fillcolor="#a0a0a0" stroked="f"/>
        </w:pict>
      </w:r>
    </w:p>
    <w:p w14:paraId="66F4981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507C3C9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Value</w:t>
      </w:r>
    </w:p>
    <w:p w14:paraId="492D659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PB Ratio</w:t>
      </w:r>
    </w:p>
    <w:p w14:paraId="6D9E370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Historical Average</w:t>
      </w:r>
    </w:p>
    <w:p w14:paraId="69B2E39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Historical Average PB</w:t>
      </w:r>
    </w:p>
    <w:p w14:paraId="0ED1C0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Book Value</w:t>
      </w:r>
    </w:p>
    <w:p w14:paraId="1FDA1FE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Book Value Per Share</w:t>
      </w:r>
    </w:p>
    <w:p w14:paraId="0E07372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45DB1F7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02530BB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46F481FB" w14:textId="77777777" w:rsidR="004C6658" w:rsidRPr="004C6658" w:rsidRDefault="004C6658" w:rsidP="004C66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2D2B5D9E" w14:textId="77777777" w:rsidR="004C6658" w:rsidRPr="004C6658" w:rsidRDefault="004C6658" w:rsidP="004C66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73B3424C" w14:textId="77777777" w:rsidR="004C6658" w:rsidRPr="004C6658" w:rsidRDefault="004C6658" w:rsidP="004C66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3F035DE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7F35A61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Valuation Confidence</w:t>
      </w:r>
    </w:p>
    <w:p w14:paraId="48322F1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4844E10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Medium-High</w:t>
      </w:r>
    </w:p>
    <w:p w14:paraId="15792CA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8BC8AB1">
          <v:rect id="_x0000_i1092" style="width:0;height:1.5pt" o:hralign="center" o:hrstd="t" o:hr="t" fillcolor="#a0a0a0" stroked="f"/>
        </w:pict>
      </w:r>
    </w:p>
    <w:p w14:paraId="64B1A541"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4"/>
        <w:gridCol w:w="634"/>
        <w:gridCol w:w="1509"/>
      </w:tblGrid>
      <w:tr w:rsidR="004C6658" w:rsidRPr="004C6658" w14:paraId="406BF006" w14:textId="77777777" w:rsidTr="004C6658">
        <w:trPr>
          <w:tblHeader/>
          <w:tblCellSpacing w:w="15" w:type="dxa"/>
        </w:trPr>
        <w:tc>
          <w:tcPr>
            <w:tcW w:w="0" w:type="auto"/>
            <w:vAlign w:val="center"/>
            <w:hideMark/>
          </w:tcPr>
          <w:p w14:paraId="0E1D921F"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Condition</w:t>
            </w:r>
          </w:p>
        </w:tc>
        <w:tc>
          <w:tcPr>
            <w:tcW w:w="0" w:type="auto"/>
            <w:vAlign w:val="center"/>
            <w:hideMark/>
          </w:tcPr>
          <w:p w14:paraId="1F7B6B22"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5CC9AFD9"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405E4E01" w14:textId="77777777" w:rsidTr="004C6658">
        <w:trPr>
          <w:tblCellSpacing w:w="15" w:type="dxa"/>
        </w:trPr>
        <w:tc>
          <w:tcPr>
            <w:tcW w:w="0" w:type="auto"/>
            <w:vAlign w:val="center"/>
            <w:hideMark/>
          </w:tcPr>
          <w:p w14:paraId="07E3E80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Significantly Below Historical Average</w:t>
            </w:r>
          </w:p>
        </w:tc>
        <w:tc>
          <w:tcPr>
            <w:tcW w:w="0" w:type="auto"/>
            <w:vAlign w:val="center"/>
            <w:hideMark/>
          </w:tcPr>
          <w:p w14:paraId="4D482F5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654C6F7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46AA01EA" w14:textId="77777777" w:rsidTr="004C6658">
        <w:trPr>
          <w:tblCellSpacing w:w="15" w:type="dxa"/>
        </w:trPr>
        <w:tc>
          <w:tcPr>
            <w:tcW w:w="0" w:type="auto"/>
            <w:vAlign w:val="center"/>
            <w:hideMark/>
          </w:tcPr>
          <w:p w14:paraId="7CE3414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Below Historical Average</w:t>
            </w:r>
          </w:p>
        </w:tc>
        <w:tc>
          <w:tcPr>
            <w:tcW w:w="0" w:type="auto"/>
            <w:vAlign w:val="center"/>
            <w:hideMark/>
          </w:tcPr>
          <w:p w14:paraId="354CDEA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6106384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28813009" w14:textId="77777777" w:rsidTr="004C6658">
        <w:trPr>
          <w:tblCellSpacing w:w="15" w:type="dxa"/>
        </w:trPr>
        <w:tc>
          <w:tcPr>
            <w:tcW w:w="0" w:type="auto"/>
            <w:vAlign w:val="center"/>
            <w:hideMark/>
          </w:tcPr>
          <w:p w14:paraId="03184D1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Near Historical Average</w:t>
            </w:r>
          </w:p>
        </w:tc>
        <w:tc>
          <w:tcPr>
            <w:tcW w:w="0" w:type="auto"/>
            <w:vAlign w:val="center"/>
            <w:hideMark/>
          </w:tcPr>
          <w:p w14:paraId="5652587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30181F9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3FC877FA" w14:textId="77777777" w:rsidTr="004C6658">
        <w:trPr>
          <w:tblCellSpacing w:w="15" w:type="dxa"/>
        </w:trPr>
        <w:tc>
          <w:tcPr>
            <w:tcW w:w="0" w:type="auto"/>
            <w:vAlign w:val="center"/>
            <w:hideMark/>
          </w:tcPr>
          <w:p w14:paraId="7F1CA1F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Above Historical Average</w:t>
            </w:r>
          </w:p>
        </w:tc>
        <w:tc>
          <w:tcPr>
            <w:tcW w:w="0" w:type="auto"/>
            <w:vAlign w:val="center"/>
            <w:hideMark/>
          </w:tcPr>
          <w:p w14:paraId="087F1CC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0F80159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0A1A53C4" w14:textId="77777777" w:rsidTr="004C6658">
        <w:trPr>
          <w:tblCellSpacing w:w="15" w:type="dxa"/>
        </w:trPr>
        <w:tc>
          <w:tcPr>
            <w:tcW w:w="0" w:type="auto"/>
            <w:vAlign w:val="center"/>
            <w:hideMark/>
          </w:tcPr>
          <w:p w14:paraId="08AF87E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Significantly Above Historical Average</w:t>
            </w:r>
          </w:p>
        </w:tc>
        <w:tc>
          <w:tcPr>
            <w:tcW w:w="0" w:type="auto"/>
            <w:vAlign w:val="center"/>
            <w:hideMark/>
          </w:tcPr>
          <w:p w14:paraId="50FDEA8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381B4B0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2F0C423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04554B25" w14:textId="77777777" w:rsidR="004C6658" w:rsidRPr="004C6658" w:rsidRDefault="004C6658" w:rsidP="004C66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Lower PB generally indicates better valuation. </w:t>
      </w:r>
    </w:p>
    <w:p w14:paraId="57307407" w14:textId="77777777" w:rsidR="004C6658" w:rsidRPr="004C6658" w:rsidRDefault="004C6658" w:rsidP="004C66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PB should be confirmed with strong profitability (ROE). </w:t>
      </w:r>
    </w:p>
    <w:p w14:paraId="78E0031C" w14:textId="77777777" w:rsidR="004C6658" w:rsidRPr="004C6658" w:rsidRDefault="004C6658" w:rsidP="004C66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comparison carries higher priority than fixed values. </w:t>
      </w:r>
    </w:p>
    <w:p w14:paraId="44E44FD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4218764">
          <v:rect id="_x0000_i1093" style="width:0;height:1.5pt" o:hralign="center" o:hrstd="t" o:hr="t" fillcolor="#a0a0a0" stroked="f"/>
        </w:pict>
      </w:r>
    </w:p>
    <w:p w14:paraId="05D6EE81"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21887BB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PB Below Historical Average</w:t>
      </w:r>
    </w:p>
    <w:p w14:paraId="0BFF05C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518E800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PB Near Historical Average</w:t>
      </w:r>
    </w:p>
    <w:p w14:paraId="62D1B43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21FB02D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PB Above Historical Average</w:t>
      </w:r>
    </w:p>
    <w:p w14:paraId="35A7A9D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7C2AC9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High PB + High ROE</w:t>
      </w:r>
    </w:p>
    <w:p w14:paraId="107ABF3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 to Bullish</w:t>
      </w:r>
    </w:p>
    <w:p w14:paraId="5007364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553A7B3">
          <v:rect id="_x0000_i1094" style="width:0;height:1.5pt" o:hralign="center" o:hrstd="t" o:hr="t" fillcolor="#a0a0a0" stroked="f"/>
        </w:pict>
      </w:r>
    </w:p>
    <w:p w14:paraId="3FBA986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7474F03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452F8D0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85%</w:t>
      </w:r>
    </w:p>
    <w:p w14:paraId="4C41F785"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19C1891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Official NSE data</w:t>
      </w:r>
    </w:p>
    <w:p w14:paraId="30B47CF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Five-year historical comparison</w:t>
      </w:r>
    </w:p>
    <w:p w14:paraId="172BBCA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+5% ROE available</w:t>
      </w:r>
    </w:p>
    <w:p w14:paraId="03F0CB6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47B7F08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769266A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Less than one year of history</w:t>
      </w:r>
    </w:p>
    <w:p w14:paraId="6978A35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541FA49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p w14:paraId="5CFAEA9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210738C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2D1985B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555437C">
          <v:rect id="_x0000_i1095" style="width:0;height:1.5pt" o:hralign="center" o:hrstd="t" o:hr="t" fillcolor="#a0a0a0" stroked="f"/>
        </w:pict>
      </w:r>
    </w:p>
    <w:p w14:paraId="472C1832"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01A9180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4F0B5A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01901CF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10B3E4C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605C973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5B21CDB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3ADCE40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4723D8F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30-Day Average Score</w:t>
      </w:r>
    </w:p>
    <w:p w14:paraId="4548984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0D0706B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Expensive</w:t>
      </w:r>
    </w:p>
    <w:p w14:paraId="61990D9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Fair</w:t>
      </w:r>
    </w:p>
    <w:p w14:paraId="47AB50C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60–80 → Attractive</w:t>
      </w:r>
    </w:p>
    <w:p w14:paraId="1246532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80–100 → Undervalued</w:t>
      </w:r>
    </w:p>
    <w:p w14:paraId="2EF10B3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pict w14:anchorId="730AD47E">
          <v:rect id="_x0000_i1096" style="width:0;height:1.5pt" o:hralign="center" o:hrstd="t" o:hr="t" fillcolor="#a0a0a0" stroked="f"/>
        </w:pict>
      </w:r>
    </w:p>
    <w:p w14:paraId="7047DCB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9. Dual Trend Chart</w:t>
      </w:r>
    </w:p>
    <w:p w14:paraId="0FEC8C3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00CAF09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047BD06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1CF7D91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PB Ratio</w:t>
      </w:r>
    </w:p>
    <w:p w14:paraId="6B4F1CA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550A108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7E2A2BD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32E1CF6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 Updates</w:t>
      </w:r>
    </w:p>
    <w:p w14:paraId="1BDE375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36FD38A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Whenever PB data is refreshed.</w:t>
      </w:r>
    </w:p>
    <w:p w14:paraId="2B724B4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186EDEC">
          <v:rect id="_x0000_i1097" style="width:0;height:1.5pt" o:hralign="center" o:hrstd="t" o:hr="t" fillcolor="#a0a0a0" stroked="f"/>
        </w:pict>
      </w:r>
    </w:p>
    <w:p w14:paraId="5ABEFE5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6C30531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PB Below Historical Average</w:t>
      </w:r>
    </w:p>
    <w:p w14:paraId="14F104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market is trading below its historical asset valuation.</w:t>
      </w:r>
    </w:p>
    <w:p w14:paraId="7D3A3CB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PB Near Historical Average</w:t>
      </w:r>
    </w:p>
    <w:p w14:paraId="3E390B4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market is fairly valued relative to its book value.</w:t>
      </w:r>
    </w:p>
    <w:p w14:paraId="2D7397D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PB Above Historical Average</w:t>
      </w:r>
    </w:p>
    <w:p w14:paraId="4695BBA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investors are paying a premium over the market's net asset value.</w:t>
      </w:r>
    </w:p>
    <w:p w14:paraId="794D8CC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High PB + Strong ROE</w:t>
      </w:r>
    </w:p>
    <w:p w14:paraId="2F1E793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premium valuation is supported by efficient capital utilization.</w:t>
      </w:r>
    </w:p>
    <w:p w14:paraId="3F1D4BC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lastRenderedPageBreak/>
        <w:t>Low Confidence</w:t>
      </w:r>
    </w:p>
    <w:p w14:paraId="61F0395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Mention that limited financial data reduces confidence.</w:t>
      </w:r>
    </w:p>
    <w:p w14:paraId="57D41BE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0622BDC">
          <v:rect id="_x0000_i1098" style="width:0;height:1.5pt" o:hralign="center" o:hrstd="t" o:hr="t" fillcolor="#a0a0a0" stroked="f"/>
        </w:pict>
      </w:r>
    </w:p>
    <w:p w14:paraId="7F3FB60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4A36F219" w14:textId="77777777" w:rsidR="004C6658" w:rsidRPr="004C6658" w:rsidRDefault="004C6658" w:rsidP="004C66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Measures valuation relative to net assets. </w:t>
      </w:r>
    </w:p>
    <w:p w14:paraId="38F294E8" w14:textId="77777777" w:rsidR="004C6658" w:rsidRPr="004C6658" w:rsidRDefault="004C6658" w:rsidP="004C66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Useful for comparing market value against intrinsic book value. </w:t>
      </w:r>
    </w:p>
    <w:p w14:paraId="4D474A5E" w14:textId="77777777" w:rsidR="004C6658" w:rsidRPr="004C6658" w:rsidRDefault="004C6658" w:rsidP="004C66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Particularly important for financial institutions. </w:t>
      </w:r>
    </w:p>
    <w:p w14:paraId="42FCD9EE" w14:textId="77777777" w:rsidR="004C6658" w:rsidRPr="004C6658" w:rsidRDefault="004C6658" w:rsidP="004C66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Helps identify undervalued and overvalued markets. </w:t>
      </w:r>
    </w:p>
    <w:p w14:paraId="79415AD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1396872">
          <v:rect id="_x0000_i1099" style="width:0;height:1.5pt" o:hralign="center" o:hrstd="t" o:hr="t" fillcolor="#a0a0a0" stroked="f"/>
        </w:pict>
      </w:r>
    </w:p>
    <w:p w14:paraId="5B480DE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764B331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3DF4963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6B34465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4F7BBA4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58A5BF4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69A9162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16C4024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7898406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03EB646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78773A5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Long-term valuation analysis.</w:t>
      </w:r>
    </w:p>
    <w:p w14:paraId="1106695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3E04C02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Yes</w:t>
      </w:r>
    </w:p>
    <w:p w14:paraId="574D11F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268B45E">
          <v:rect id="_x0000_i1100" style="width:0;height:1.5pt" o:hralign="center" o:hrstd="t" o:hr="t" fillcolor="#a0a0a0" stroked="f"/>
        </w:pict>
      </w:r>
    </w:p>
    <w:p w14:paraId="42B7944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13. Supporting Indicators</w:t>
      </w:r>
    </w:p>
    <w:p w14:paraId="17C0A703" w14:textId="77777777" w:rsidR="004C6658" w:rsidRPr="004C6658" w:rsidRDefault="004C6658" w:rsidP="004C66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PE Ratio </w:t>
      </w:r>
    </w:p>
    <w:p w14:paraId="54D3E68B" w14:textId="77777777" w:rsidR="004C6658" w:rsidRPr="004C6658" w:rsidRDefault="004C6658" w:rsidP="004C66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w:t>
      </w:r>
    </w:p>
    <w:p w14:paraId="60405522" w14:textId="77777777" w:rsidR="004C6658" w:rsidRPr="004C6658" w:rsidRDefault="004C6658" w:rsidP="004C66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w:t>
      </w:r>
    </w:p>
    <w:p w14:paraId="1F0EF61C" w14:textId="77777777" w:rsidR="004C6658" w:rsidRPr="004C6658" w:rsidRDefault="004C6658" w:rsidP="004C66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Earnings Yield </w:t>
      </w:r>
    </w:p>
    <w:p w14:paraId="1C045436" w14:textId="77777777" w:rsidR="004C6658" w:rsidRPr="004C6658" w:rsidRDefault="004C6658" w:rsidP="004C66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w:t>
      </w:r>
    </w:p>
    <w:p w14:paraId="6D1F4C6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5DC5F4E">
          <v:rect id="_x0000_i1101" style="width:0;height:1.5pt" o:hralign="center" o:hrstd="t" o:hr="t" fillcolor="#a0a0a0" stroked="f"/>
        </w:pict>
      </w:r>
    </w:p>
    <w:p w14:paraId="64C2A20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14. Metadata</w:t>
      </w:r>
    </w:p>
    <w:p w14:paraId="19CF7AC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47A6FF8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NSE Indices</w:t>
      </w:r>
    </w:p>
    <w:p w14:paraId="6CA513C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13F5060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Official PB Ratio</w:t>
      </w:r>
    </w:p>
    <w:p w14:paraId="39F3EAC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5D8246F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w:t>
      </w:r>
    </w:p>
    <w:p w14:paraId="69E8F21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289CCC2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224FCB0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6A2DB35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7646404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240EF0E">
          <v:rect id="_x0000_i1102" style="width:0;height:1.5pt" o:hralign="center" o:hrstd="t" o:hr="t" fillcolor="#a0a0a0" stroked="f"/>
        </w:pict>
      </w:r>
    </w:p>
    <w:p w14:paraId="001E14E2"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1D13D11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1C48E833" w14:textId="77777777" w:rsidR="004C6658" w:rsidRPr="004C6658" w:rsidRDefault="004C6658" w:rsidP="004C66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PB Ratio </w:t>
      </w:r>
    </w:p>
    <w:p w14:paraId="3400BF06" w14:textId="77777777" w:rsidR="004C6658" w:rsidRPr="004C6658" w:rsidRDefault="004C6658" w:rsidP="004C66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PB Ratio </w:t>
      </w:r>
    </w:p>
    <w:p w14:paraId="1BAD227F" w14:textId="77777777" w:rsidR="004C6658" w:rsidRPr="004C6658" w:rsidRDefault="004C6658" w:rsidP="004C66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Average PB </w:t>
      </w:r>
    </w:p>
    <w:p w14:paraId="5C112964" w14:textId="77777777" w:rsidR="004C6658" w:rsidRPr="004C6658" w:rsidRDefault="004C6658" w:rsidP="004C66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Book Value Per Share </w:t>
      </w:r>
    </w:p>
    <w:p w14:paraId="196DD791" w14:textId="77777777" w:rsidR="004C6658" w:rsidRPr="004C6658" w:rsidRDefault="004C6658" w:rsidP="004C66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25F3A148" w14:textId="77777777" w:rsidR="004C6658" w:rsidRPr="004C6658" w:rsidRDefault="004C6658" w:rsidP="004C66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Confidence </w:t>
      </w:r>
    </w:p>
    <w:p w14:paraId="0E7F0533" w14:textId="77777777" w:rsidR="004C6658" w:rsidRPr="004C6658" w:rsidRDefault="004C6658" w:rsidP="004C66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39F7384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If Book Value is unavailable or negative, display </w:t>
      </w:r>
      <w:r w:rsidRPr="004C6658">
        <w:rPr>
          <w:rFonts w:ascii="Times New Roman" w:eastAsia="Times New Roman" w:hAnsi="Times New Roman" w:cs="Times New Roman"/>
          <w:b/>
          <w:bCs/>
          <w:sz w:val="24"/>
          <w:szCs w:val="24"/>
        </w:rPr>
        <w:t>"Not Available"</w:t>
      </w:r>
      <w:r w:rsidRPr="004C6658">
        <w:rPr>
          <w:rFonts w:ascii="Times New Roman" w:eastAsia="Times New Roman" w:hAnsi="Times New Roman" w:cs="Times New Roman"/>
          <w:sz w:val="24"/>
          <w:szCs w:val="24"/>
        </w:rPr>
        <w:t xml:space="preserve"> and exclude the indicator from score calculation.</w:t>
      </w:r>
    </w:p>
    <w:p w14:paraId="5C3742A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01FBD02">
          <v:rect id="_x0000_i1103" style="width:0;height:1.5pt" o:hralign="center" o:hrstd="t" o:hr="t" fillcolor="#a0a0a0" stroked="f"/>
        </w:pict>
      </w:r>
    </w:p>
    <w:p w14:paraId="4F04DD5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 xml:space="preserve">16. Praxis Engine Integration </w:t>
      </w:r>
      <w:r w:rsidRPr="004C6658">
        <w:rPr>
          <w:rFonts w:ascii="Segoe UI Emoji" w:eastAsia="Times New Roman" w:hAnsi="Segoe UI Emoji" w:cs="Segoe UI Emoji"/>
          <w:b/>
          <w:bCs/>
          <w:kern w:val="36"/>
          <w:sz w:val="48"/>
          <w:szCs w:val="48"/>
        </w:rPr>
        <w:t>⭐</w:t>
      </w:r>
    </w:p>
    <w:p w14:paraId="08ACB9F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6567CEC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Medium-High (Configurable)</w:t>
      </w:r>
    </w:p>
    <w:p w14:paraId="5A74F7D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5454F8D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Asset Valuation</w:t>
      </w:r>
    </w:p>
    <w:p w14:paraId="5ADBA5C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377484D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 whether the market is trading at a premium or discount to its book value.</w:t>
      </w:r>
    </w:p>
    <w:p w14:paraId="0C17E32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0B71FC81" w14:textId="77777777" w:rsidR="004C6658" w:rsidRPr="004C6658" w:rsidRDefault="004C6658" w:rsidP="004C66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 PB </w:t>
      </w:r>
    </w:p>
    <w:p w14:paraId="2EF09038" w14:textId="77777777" w:rsidR="004C6658" w:rsidRPr="004C6658" w:rsidRDefault="004C6658" w:rsidP="004C66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Strong ROE </w:t>
      </w:r>
    </w:p>
    <w:p w14:paraId="5DD9866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7D058031" w14:textId="77777777" w:rsidR="004C6658" w:rsidRPr="004C6658" w:rsidRDefault="004C6658" w:rsidP="004C66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PB </w:t>
      </w:r>
    </w:p>
    <w:p w14:paraId="5713DE25" w14:textId="77777777" w:rsidR="004C6658" w:rsidRPr="004C6658" w:rsidRDefault="004C6658" w:rsidP="004C66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Weak ROE </w:t>
      </w:r>
    </w:p>
    <w:p w14:paraId="303E258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CA2D628">
          <v:rect id="_x0000_i1104" style="width:0;height:1.5pt" o:hralign="center" o:hrstd="t" o:hr="t" fillcolor="#a0a0a0" stroked="f"/>
        </w:pict>
      </w:r>
    </w:p>
    <w:p w14:paraId="5B31AD90"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17. Praxis Recommendation</w:t>
      </w:r>
    </w:p>
    <w:p w14:paraId="1BDC562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PB Ratio should be used as the </w:t>
      </w:r>
      <w:r w:rsidRPr="004C6658">
        <w:rPr>
          <w:rFonts w:ascii="Times New Roman" w:eastAsia="Times New Roman" w:hAnsi="Times New Roman" w:cs="Times New Roman"/>
          <w:b/>
          <w:bCs/>
          <w:sz w:val="24"/>
          <w:szCs w:val="24"/>
        </w:rPr>
        <w:t>asset valuation indicator</w:t>
      </w:r>
      <w:r w:rsidRPr="004C6658">
        <w:rPr>
          <w:rFonts w:ascii="Times New Roman" w:eastAsia="Times New Roman" w:hAnsi="Times New Roman" w:cs="Times New Roman"/>
          <w:sz w:val="24"/>
          <w:szCs w:val="24"/>
        </w:rPr>
        <w:t xml:space="preserve"> within the Valuation module.</w:t>
      </w:r>
    </w:p>
    <w:p w14:paraId="6EE15AF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Valuation Hierarchy</w:t>
      </w:r>
    </w:p>
    <w:p w14:paraId="566BEFA0" w14:textId="77777777" w:rsidR="004C6658" w:rsidRPr="004C6658" w:rsidRDefault="004C6658" w:rsidP="004C66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PE Ratio </w:t>
      </w:r>
    </w:p>
    <w:p w14:paraId="05D4BFFE" w14:textId="77777777" w:rsidR="004C6658" w:rsidRPr="004C6658" w:rsidRDefault="004C6658" w:rsidP="004C66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Forward PE </w:t>
      </w:r>
    </w:p>
    <w:p w14:paraId="4DD63835" w14:textId="77777777" w:rsidR="004C6658" w:rsidRPr="004C6658" w:rsidRDefault="004C6658" w:rsidP="004C66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PB Ratio </w:t>
      </w:r>
    </w:p>
    <w:p w14:paraId="2E37274A" w14:textId="77777777" w:rsidR="004C6658" w:rsidRPr="004C6658" w:rsidRDefault="004C6658" w:rsidP="004C66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lastRenderedPageBreak/>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Earnings Yield </w:t>
      </w:r>
    </w:p>
    <w:p w14:paraId="14EB1A2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1A56FC99" w14:textId="77777777" w:rsidR="004C6658" w:rsidRPr="004C6658" w:rsidRDefault="004C6658" w:rsidP="004C66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 PB + High ROE → Increase Valuation Score. </w:t>
      </w:r>
    </w:p>
    <w:p w14:paraId="1625366D" w14:textId="77777777" w:rsidR="004C6658" w:rsidRPr="004C6658" w:rsidRDefault="004C6658" w:rsidP="004C66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PB + Weak ROE → Reduce Valuation Score. </w:t>
      </w:r>
    </w:p>
    <w:p w14:paraId="2CA5B9F5" w14:textId="77777777" w:rsidR="004C6658" w:rsidRPr="004C6658" w:rsidRDefault="004C6658" w:rsidP="004C66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 PB + Low ROE → Treat as a potential value trap and keep a neutral bias until profitability improves. </w:t>
      </w:r>
    </w:p>
    <w:p w14:paraId="6CDBB4FB" w14:textId="77777777" w:rsidR="004C6658" w:rsidRPr="004C6658" w:rsidRDefault="004C6658" w:rsidP="004C66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Always validate PB Ratio with ROE before assigning a strong bullish valuation. </w:t>
      </w:r>
    </w:p>
    <w:p w14:paraId="43BAFE3D" w14:textId="6F1D5D3C"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PB Ratio should strengthen the </w:t>
      </w:r>
      <w:r w:rsidRPr="004C6658">
        <w:rPr>
          <w:rFonts w:ascii="Times New Roman" w:eastAsia="Times New Roman" w:hAnsi="Times New Roman" w:cs="Times New Roman"/>
          <w:b/>
          <w:bCs/>
          <w:sz w:val="24"/>
          <w:szCs w:val="24"/>
        </w:rPr>
        <w:t>Valuation Score</w:t>
      </w:r>
      <w:r w:rsidRPr="004C6658">
        <w:rPr>
          <w:rFonts w:ascii="Times New Roman" w:eastAsia="Times New Roman" w:hAnsi="Times New Roman" w:cs="Times New Roman"/>
          <w:sz w:val="24"/>
          <w:szCs w:val="24"/>
        </w:rPr>
        <w:t xml:space="preserve"> by assessing market value relative to book value and should be interpreted together with profitability indicators rather than as a standalone buy or sell signal.</w:t>
      </w:r>
    </w:p>
    <w:p w14:paraId="548EAC8C" w14:textId="007E6A7A"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CC78837" w14:textId="5DC15ACE"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DC57859" w14:textId="7BA6D8E0"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4ADB14D1" w14:textId="51BA711D"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7892418B" w14:textId="1DE973CC"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00C2E28" w14:textId="0E536E3B"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1B87BAA" w14:textId="0D6D055F"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A73D478" w14:textId="38AAD9F5"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D786818" w14:textId="5F3E1D42"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6CF5642F" w14:textId="1D115EE8"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E729943" w14:textId="4D6E74E8"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187D2C2" w14:textId="72AD1438"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74EDADF0" w14:textId="5D36CB4B"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1A21E6DF" w14:textId="21A2BEB2"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7B7A89A7" w14:textId="26FFC774"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D936350" w14:textId="77777777" w:rsidR="002B50C2" w:rsidRPr="004C6658"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40DFB90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C6658">
        <w:rPr>
          <w:rFonts w:ascii="Times New Roman" w:eastAsia="Times New Roman" w:hAnsi="Times New Roman" w:cs="Times New Roman"/>
          <w:b/>
          <w:bCs/>
          <w:color w:val="FF0000"/>
          <w:kern w:val="36"/>
          <w:sz w:val="48"/>
          <w:szCs w:val="48"/>
        </w:rPr>
        <w:lastRenderedPageBreak/>
        <w:t>4. Earnings Yield</w:t>
      </w:r>
    </w:p>
    <w:p w14:paraId="61CB508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Valuation</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4FDD7AAD"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7EB80FB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Earnings Yield</w:t>
      </w:r>
    </w:p>
    <w:p w14:paraId="763EF92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EY</w:t>
      </w:r>
    </w:p>
    <w:p w14:paraId="68E83C5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305F5E8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Valuation</w:t>
      </w:r>
    </w:p>
    <w:p w14:paraId="55BA05C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5C7BBD7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the annual earnings generated for every ₹100 invested in the market. It is the inverse of the PE Ratio and helps compare equity returns with fixed-income investments such as government bonds.</w:t>
      </w:r>
    </w:p>
    <w:p w14:paraId="12205DD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7EBCD24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Trailing Twelve Month (TTM) Earnings</w:t>
      </w:r>
    </w:p>
    <w:p w14:paraId="2CDAD69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626723B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(Supporting Valuation Indicator)</w:t>
      </w:r>
    </w:p>
    <w:p w14:paraId="29D1FA8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7785A93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5DBAAE4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5DBDA6B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Whenever official earnings or PE data is updated.</w:t>
      </w:r>
    </w:p>
    <w:p w14:paraId="4FB0FBF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53C0066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 higher Earnings Yield generally indicates a more attractively valued market. It is particularly useful when compared with the 10-Year Government Bond Yield to assess the Equity Risk Premium.</w:t>
      </w:r>
    </w:p>
    <w:p w14:paraId="08C19F8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02D8FDF">
          <v:rect id="_x0000_i1121" style="width:0;height:1.5pt" o:hralign="center" o:hrstd="t" o:hr="t" fillcolor="#a0a0a0" stroked="f"/>
        </w:pict>
      </w:r>
    </w:p>
    <w:p w14:paraId="071244F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2. Data Requirements</w:t>
      </w:r>
    </w:p>
    <w:p w14:paraId="62ED0E7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3B512820" w14:textId="77777777" w:rsidR="004C6658" w:rsidRPr="004C6658" w:rsidRDefault="004C6658" w:rsidP="004C66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Earnings Yield </w:t>
      </w:r>
    </w:p>
    <w:p w14:paraId="337D2A3E" w14:textId="77777777" w:rsidR="004C6658" w:rsidRPr="004C6658" w:rsidRDefault="004C6658" w:rsidP="004C66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PE Ratio </w:t>
      </w:r>
    </w:p>
    <w:p w14:paraId="63CA6576" w14:textId="77777777" w:rsidR="004C6658" w:rsidRPr="004C6658" w:rsidRDefault="004C6658" w:rsidP="004C66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Earnings Yield </w:t>
      </w:r>
    </w:p>
    <w:p w14:paraId="66A35102" w14:textId="77777777" w:rsidR="004C6658" w:rsidRPr="004C6658" w:rsidRDefault="004C6658" w:rsidP="004C66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Average Earnings Yield </w:t>
      </w:r>
    </w:p>
    <w:p w14:paraId="22679E35"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7C2D20F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 Year</w:t>
      </w:r>
    </w:p>
    <w:p w14:paraId="6A5733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2E53E24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Years</w:t>
      </w:r>
    </w:p>
    <w:p w14:paraId="631D7558"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7C2B94D8" w14:textId="77777777" w:rsidR="004C6658" w:rsidRPr="004C6658" w:rsidRDefault="004C6658" w:rsidP="004C66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Indices </w:t>
      </w:r>
    </w:p>
    <w:p w14:paraId="2EFA278B" w14:textId="77777777" w:rsidR="004C6658" w:rsidRPr="004C6658" w:rsidRDefault="004C6658" w:rsidP="004C66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Factsheet </w:t>
      </w:r>
    </w:p>
    <w:p w14:paraId="4DCBC9C0" w14:textId="77777777" w:rsidR="004C6658" w:rsidRPr="004C6658" w:rsidRDefault="004C6658" w:rsidP="004C66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Backend Calculation </w:t>
      </w:r>
    </w:p>
    <w:p w14:paraId="1E07A4D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EF55D18">
          <v:rect id="_x0000_i1122" style="width:0;height:1.5pt" o:hralign="center" o:hrstd="t" o:hr="t" fillcolor="#a0a0a0" stroked="f"/>
        </w:pict>
      </w:r>
    </w:p>
    <w:p w14:paraId="264AA62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18D4801B"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2B435B29"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Earnings Yield (%) = (TTM EPS / Current Market Price) × 100</w:t>
      </w:r>
    </w:p>
    <w:p w14:paraId="520CF51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or</w:t>
      </w:r>
    </w:p>
    <w:p w14:paraId="56230184"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Earnings Yield (%) = (1 / PE Ratio) × 100</w:t>
      </w:r>
    </w:p>
    <w:p w14:paraId="17FE0B75"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080A4D91" w14:textId="77777777" w:rsidR="004C6658" w:rsidRPr="004C6658" w:rsidRDefault="004C6658" w:rsidP="004C66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Obtain the latest PE Ratio. </w:t>
      </w:r>
    </w:p>
    <w:p w14:paraId="0E4E60C9" w14:textId="77777777" w:rsidR="004C6658" w:rsidRPr="004C6658" w:rsidRDefault="004C6658" w:rsidP="004C66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Earnings Yield. </w:t>
      </w:r>
    </w:p>
    <w:p w14:paraId="6FE3BFD4" w14:textId="77777777" w:rsidR="004C6658" w:rsidRPr="004C6658" w:rsidRDefault="004C6658" w:rsidP="004C66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historical averages. </w:t>
      </w:r>
    </w:p>
    <w:p w14:paraId="0F432CCB" w14:textId="77777777" w:rsidR="004C6658" w:rsidRPr="004C6658" w:rsidRDefault="004C6658" w:rsidP="004C66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valuation score. </w:t>
      </w:r>
    </w:p>
    <w:p w14:paraId="1F1A1621"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46CFB42C" w14:textId="77777777" w:rsidR="004C6658" w:rsidRPr="004C6658" w:rsidRDefault="004C6658" w:rsidP="004C66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Always use </w:t>
      </w:r>
      <w:r w:rsidRPr="004C6658">
        <w:rPr>
          <w:rFonts w:ascii="Times New Roman" w:eastAsia="Times New Roman" w:hAnsi="Times New Roman" w:cs="Times New Roman"/>
          <w:b/>
          <w:bCs/>
          <w:sz w:val="24"/>
          <w:szCs w:val="24"/>
        </w:rPr>
        <w:t>TTM Earnings</w:t>
      </w:r>
      <w:r w:rsidRPr="004C6658">
        <w:rPr>
          <w:rFonts w:ascii="Times New Roman" w:eastAsia="Times New Roman" w:hAnsi="Times New Roman" w:cs="Times New Roman"/>
          <w:sz w:val="24"/>
          <w:szCs w:val="24"/>
        </w:rPr>
        <w:t xml:space="preserve">. </w:t>
      </w:r>
    </w:p>
    <w:p w14:paraId="293FE110" w14:textId="77777777" w:rsidR="004C6658" w:rsidRPr="004C6658" w:rsidRDefault="004C6658" w:rsidP="004C66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directly from the official PE Ratio whenever possible. </w:t>
      </w:r>
    </w:p>
    <w:p w14:paraId="12A9FDEE" w14:textId="77777777" w:rsidR="004C6658" w:rsidRPr="004C6658" w:rsidRDefault="004C6658" w:rsidP="004C66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Display the value as a percentage. </w:t>
      </w:r>
    </w:p>
    <w:p w14:paraId="1E7F422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6011798">
          <v:rect id="_x0000_i1123" style="width:0;height:1.5pt" o:hralign="center" o:hrstd="t" o:hr="t" fillcolor="#a0a0a0" stroked="f"/>
        </w:pict>
      </w:r>
    </w:p>
    <w:p w14:paraId="13193F2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4A97F64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Value</w:t>
      </w:r>
    </w:p>
    <w:p w14:paraId="42D1115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Earnings Yield (%)</w:t>
      </w:r>
    </w:p>
    <w:p w14:paraId="6991F10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PE</w:t>
      </w:r>
    </w:p>
    <w:p w14:paraId="1ED827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PE Ratio</w:t>
      </w:r>
    </w:p>
    <w:p w14:paraId="6563EBC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Historical Average</w:t>
      </w:r>
    </w:p>
    <w:p w14:paraId="4559D40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Average Earnings Yield</w:t>
      </w:r>
    </w:p>
    <w:p w14:paraId="22276E4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5DBF597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10D6F2E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21308FBC" w14:textId="77777777" w:rsidR="004C6658" w:rsidRPr="004C6658" w:rsidRDefault="004C6658" w:rsidP="004C665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5F06EBA6" w14:textId="77777777" w:rsidR="004C6658" w:rsidRPr="004C6658" w:rsidRDefault="004C6658" w:rsidP="004C665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278B1CAB" w14:textId="77777777" w:rsidR="004C6658" w:rsidRPr="004C6658" w:rsidRDefault="004C6658" w:rsidP="004C665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1ED78C0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4E240CC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Valuation Confidence</w:t>
      </w:r>
    </w:p>
    <w:p w14:paraId="580B5AD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46A9433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w:t>
      </w:r>
    </w:p>
    <w:p w14:paraId="6685B0D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2F2ECB3">
          <v:rect id="_x0000_i1124" style="width:0;height:1.5pt" o:hralign="center" o:hrstd="t" o:hr="t" fillcolor="#a0a0a0" stroked="f"/>
        </w:pict>
      </w:r>
    </w:p>
    <w:p w14:paraId="31DED41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4"/>
        <w:gridCol w:w="634"/>
        <w:gridCol w:w="1509"/>
      </w:tblGrid>
      <w:tr w:rsidR="004C6658" w:rsidRPr="004C6658" w14:paraId="30F4114D" w14:textId="77777777" w:rsidTr="004C6658">
        <w:trPr>
          <w:tblHeader/>
          <w:tblCellSpacing w:w="15" w:type="dxa"/>
        </w:trPr>
        <w:tc>
          <w:tcPr>
            <w:tcW w:w="0" w:type="auto"/>
            <w:vAlign w:val="center"/>
            <w:hideMark/>
          </w:tcPr>
          <w:p w14:paraId="4C7C67D4"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Condition</w:t>
            </w:r>
          </w:p>
        </w:tc>
        <w:tc>
          <w:tcPr>
            <w:tcW w:w="0" w:type="auto"/>
            <w:vAlign w:val="center"/>
            <w:hideMark/>
          </w:tcPr>
          <w:p w14:paraId="5BA7FD31"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56A91E16"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09521488" w14:textId="77777777" w:rsidTr="004C6658">
        <w:trPr>
          <w:tblCellSpacing w:w="15" w:type="dxa"/>
        </w:trPr>
        <w:tc>
          <w:tcPr>
            <w:tcW w:w="0" w:type="auto"/>
            <w:vAlign w:val="center"/>
            <w:hideMark/>
          </w:tcPr>
          <w:p w14:paraId="1E48929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Significantly Above Historical Average</w:t>
            </w:r>
          </w:p>
        </w:tc>
        <w:tc>
          <w:tcPr>
            <w:tcW w:w="0" w:type="auto"/>
            <w:vAlign w:val="center"/>
            <w:hideMark/>
          </w:tcPr>
          <w:p w14:paraId="612D4A2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2181BD9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7C0C749F" w14:textId="77777777" w:rsidTr="004C6658">
        <w:trPr>
          <w:tblCellSpacing w:w="15" w:type="dxa"/>
        </w:trPr>
        <w:tc>
          <w:tcPr>
            <w:tcW w:w="0" w:type="auto"/>
            <w:vAlign w:val="center"/>
            <w:hideMark/>
          </w:tcPr>
          <w:p w14:paraId="2CEA695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Above Historical Average</w:t>
            </w:r>
          </w:p>
        </w:tc>
        <w:tc>
          <w:tcPr>
            <w:tcW w:w="0" w:type="auto"/>
            <w:vAlign w:val="center"/>
            <w:hideMark/>
          </w:tcPr>
          <w:p w14:paraId="37D90B5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1C94304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6D563AEA" w14:textId="77777777" w:rsidTr="004C6658">
        <w:trPr>
          <w:tblCellSpacing w:w="15" w:type="dxa"/>
        </w:trPr>
        <w:tc>
          <w:tcPr>
            <w:tcW w:w="0" w:type="auto"/>
            <w:vAlign w:val="center"/>
            <w:hideMark/>
          </w:tcPr>
          <w:p w14:paraId="04E2E26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Near Historical Average</w:t>
            </w:r>
          </w:p>
        </w:tc>
        <w:tc>
          <w:tcPr>
            <w:tcW w:w="0" w:type="auto"/>
            <w:vAlign w:val="center"/>
            <w:hideMark/>
          </w:tcPr>
          <w:p w14:paraId="0F13B5B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022F582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0BBD5A4C" w14:textId="77777777" w:rsidTr="004C6658">
        <w:trPr>
          <w:tblCellSpacing w:w="15" w:type="dxa"/>
        </w:trPr>
        <w:tc>
          <w:tcPr>
            <w:tcW w:w="0" w:type="auto"/>
            <w:vAlign w:val="center"/>
            <w:hideMark/>
          </w:tcPr>
          <w:p w14:paraId="201F264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Below Historical Average</w:t>
            </w:r>
          </w:p>
        </w:tc>
        <w:tc>
          <w:tcPr>
            <w:tcW w:w="0" w:type="auto"/>
            <w:vAlign w:val="center"/>
            <w:hideMark/>
          </w:tcPr>
          <w:p w14:paraId="660C921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0B4C5DF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73D87C20" w14:textId="77777777" w:rsidTr="004C6658">
        <w:trPr>
          <w:tblCellSpacing w:w="15" w:type="dxa"/>
        </w:trPr>
        <w:tc>
          <w:tcPr>
            <w:tcW w:w="0" w:type="auto"/>
            <w:vAlign w:val="center"/>
            <w:hideMark/>
          </w:tcPr>
          <w:p w14:paraId="7A3DC45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Significantly Below Historical Average</w:t>
            </w:r>
          </w:p>
        </w:tc>
        <w:tc>
          <w:tcPr>
            <w:tcW w:w="0" w:type="auto"/>
            <w:vAlign w:val="center"/>
            <w:hideMark/>
          </w:tcPr>
          <w:p w14:paraId="2EA30AD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3FE29E1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531EBD4D"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5D511F8B" w14:textId="77777777" w:rsidR="004C6658" w:rsidRPr="004C6658" w:rsidRDefault="004C6658" w:rsidP="004C665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Higher Earnings Yield indicates better valuation. </w:t>
      </w:r>
    </w:p>
    <w:p w14:paraId="0C33F8E8" w14:textId="77777777" w:rsidR="004C6658" w:rsidRPr="004C6658" w:rsidRDefault="004C6658" w:rsidP="004C665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against historical averages instead of fixed percentages. </w:t>
      </w:r>
    </w:p>
    <w:p w14:paraId="40E094DA" w14:textId="77777777" w:rsidR="004C6658" w:rsidRPr="004C6658" w:rsidRDefault="004C6658" w:rsidP="004C665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together with PE Ratio for consistency. </w:t>
      </w:r>
    </w:p>
    <w:p w14:paraId="02BB4E5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C6F57A2">
          <v:rect id="_x0000_i1125" style="width:0;height:1.5pt" o:hralign="center" o:hrstd="t" o:hr="t" fillcolor="#a0a0a0" stroked="f"/>
        </w:pict>
      </w:r>
    </w:p>
    <w:p w14:paraId="66B9C6C2"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000AE8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Yield Above Historical Average</w:t>
      </w:r>
    </w:p>
    <w:p w14:paraId="3D7A062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0D4BC18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Yield Near Historical Average</w:t>
      </w:r>
    </w:p>
    <w:p w14:paraId="2E4CC6C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52721BC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Yield Below Historical Average</w:t>
      </w:r>
    </w:p>
    <w:p w14:paraId="7EA176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133B47E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681BC11">
          <v:rect id="_x0000_i1126" style="width:0;height:1.5pt" o:hralign="center" o:hrstd="t" o:hr="t" fillcolor="#a0a0a0" stroked="f"/>
        </w:pict>
      </w:r>
    </w:p>
    <w:p w14:paraId="64429879"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69E04A3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5C8B641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85%</w:t>
      </w:r>
    </w:p>
    <w:p w14:paraId="6A8C815A"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2B4B4B3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Official PE data</w:t>
      </w:r>
    </w:p>
    <w:p w14:paraId="0291379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Five-year historical comparison</w:t>
      </w:r>
    </w:p>
    <w:p w14:paraId="180DDDE4"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6706455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-10% Manual entry</w:t>
      </w:r>
    </w:p>
    <w:p w14:paraId="769F702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Limited historical data</w:t>
      </w:r>
    </w:p>
    <w:p w14:paraId="5D9E559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1E458DF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p w14:paraId="6D63307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11471DE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7051C95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A18A653">
          <v:rect id="_x0000_i1127" style="width:0;height:1.5pt" o:hralign="center" o:hrstd="t" o:hr="t" fillcolor="#a0a0a0" stroked="f"/>
        </w:pict>
      </w:r>
    </w:p>
    <w:p w14:paraId="0CA67DA1"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6A2E4DB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0D69847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240A6D5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3F1091D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79B7E80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1F4C54B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4E5ACF1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0CC8753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30-Day Average Score</w:t>
      </w:r>
    </w:p>
    <w:p w14:paraId="01446A43"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38AD4C2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Expensive</w:t>
      </w:r>
    </w:p>
    <w:p w14:paraId="6B50514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Fair</w:t>
      </w:r>
    </w:p>
    <w:p w14:paraId="034A406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60–80 → Attractive</w:t>
      </w:r>
    </w:p>
    <w:p w14:paraId="5295406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80–100 → Undervalued</w:t>
      </w:r>
    </w:p>
    <w:p w14:paraId="42D5785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EB1A94D">
          <v:rect id="_x0000_i1128" style="width:0;height:1.5pt" o:hralign="center" o:hrstd="t" o:hr="t" fillcolor="#a0a0a0" stroked="f"/>
        </w:pict>
      </w:r>
    </w:p>
    <w:p w14:paraId="127714F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9. Dual Trend Chart</w:t>
      </w:r>
    </w:p>
    <w:p w14:paraId="7D6C6D1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43A22D5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3FB2A47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435B7F9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Earnings Yield (%)</w:t>
      </w:r>
    </w:p>
    <w:p w14:paraId="283A4CA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5F9A534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3E7939E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4BB064A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 Updates</w:t>
      </w:r>
    </w:p>
    <w:p w14:paraId="491365C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0833E20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Whenever Earnings Yield is refreshed.</w:t>
      </w:r>
    </w:p>
    <w:p w14:paraId="4972E78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0B8BF39">
          <v:rect id="_x0000_i1129" style="width:0;height:1.5pt" o:hralign="center" o:hrstd="t" o:hr="t" fillcolor="#a0a0a0" stroked="f"/>
        </w:pict>
      </w:r>
    </w:p>
    <w:p w14:paraId="58282C35"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1834E01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Yield Above Historical Average</w:t>
      </w:r>
    </w:p>
    <w:p w14:paraId="3F86CA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market is generating relatively higher earnings for its current valuation.</w:t>
      </w:r>
    </w:p>
    <w:p w14:paraId="3107BE3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Yield Near Historical Average</w:t>
      </w:r>
    </w:p>
    <w:p w14:paraId="111882C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market valuation is close to long-term norms.</w:t>
      </w:r>
    </w:p>
    <w:p w14:paraId="745E7E8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Yield Below Historical Average</w:t>
      </w:r>
    </w:p>
    <w:p w14:paraId="682930F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investors are accepting lower earnings relative to current prices, indicating richer valuations.</w:t>
      </w:r>
    </w:p>
    <w:p w14:paraId="0F48AD2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Low Confidence</w:t>
      </w:r>
    </w:p>
    <w:p w14:paraId="722886B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Mention that limited historical data reduces confidence.</w:t>
      </w:r>
    </w:p>
    <w:p w14:paraId="17C40AF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A8CB5C9">
          <v:rect id="_x0000_i1130" style="width:0;height:1.5pt" o:hralign="center" o:hrstd="t" o:hr="t" fillcolor="#a0a0a0" stroked="f"/>
        </w:pict>
      </w:r>
    </w:p>
    <w:p w14:paraId="56E69241"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11. Why It Matters</w:t>
      </w:r>
    </w:p>
    <w:p w14:paraId="6685BB9A" w14:textId="77777777" w:rsidR="004C6658" w:rsidRPr="004C6658" w:rsidRDefault="004C6658" w:rsidP="004C665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Provides the inverse perspective of the PE Ratio. </w:t>
      </w:r>
    </w:p>
    <w:p w14:paraId="337AE3AE" w14:textId="77777777" w:rsidR="004C6658" w:rsidRPr="004C6658" w:rsidRDefault="004C6658" w:rsidP="004C665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Helps compare stock market returns with bond yields. </w:t>
      </w:r>
    </w:p>
    <w:p w14:paraId="0C7D50CC" w14:textId="77777777" w:rsidR="004C6658" w:rsidRPr="004C6658" w:rsidRDefault="004C6658" w:rsidP="004C665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Useful for evaluating market attractiveness. </w:t>
      </w:r>
    </w:p>
    <w:p w14:paraId="3E9159A2" w14:textId="77777777" w:rsidR="004C6658" w:rsidRPr="004C6658" w:rsidRDefault="004C6658" w:rsidP="004C665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Supports long-term asset allocation decisions. </w:t>
      </w:r>
    </w:p>
    <w:p w14:paraId="6928662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326D62F">
          <v:rect id="_x0000_i1131" style="width:0;height:1.5pt" o:hralign="center" o:hrstd="t" o:hr="t" fillcolor="#a0a0a0" stroked="f"/>
        </w:pict>
      </w:r>
    </w:p>
    <w:p w14:paraId="4DE4D3B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5E9C027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2217F61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0C4875D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52DCCC3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7B93F68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7666A0D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5A3550A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4A646DA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09CEE4E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6131225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Long-term valuation comparison.</w:t>
      </w:r>
    </w:p>
    <w:p w14:paraId="34FFB0C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502CE90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Yes</w:t>
      </w:r>
    </w:p>
    <w:p w14:paraId="65F58B1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3F38DB5">
          <v:rect id="_x0000_i1132" style="width:0;height:1.5pt" o:hralign="center" o:hrstd="t" o:hr="t" fillcolor="#a0a0a0" stroked="f"/>
        </w:pict>
      </w:r>
    </w:p>
    <w:p w14:paraId="17E6A6E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13. Supporting Indicators</w:t>
      </w:r>
    </w:p>
    <w:p w14:paraId="069D13A8" w14:textId="77777777" w:rsidR="004C6658" w:rsidRPr="004C6658" w:rsidRDefault="004C6658" w:rsidP="004C665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PE Ratio </w:t>
      </w:r>
    </w:p>
    <w:p w14:paraId="5307C88E" w14:textId="77777777" w:rsidR="004C6658" w:rsidRPr="004C6658" w:rsidRDefault="004C6658" w:rsidP="004C665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w:t>
      </w:r>
    </w:p>
    <w:p w14:paraId="6CA5D616" w14:textId="77777777" w:rsidR="004C6658" w:rsidRPr="004C6658" w:rsidRDefault="004C6658" w:rsidP="004C665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PB Ratio </w:t>
      </w:r>
    </w:p>
    <w:p w14:paraId="3112F66A" w14:textId="77777777" w:rsidR="004C6658" w:rsidRPr="004C6658" w:rsidRDefault="004C6658" w:rsidP="004C665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GDP Growth </w:t>
      </w:r>
    </w:p>
    <w:p w14:paraId="3F84140E" w14:textId="77777777" w:rsidR="004C6658" w:rsidRPr="004C6658" w:rsidRDefault="004C6658" w:rsidP="004C665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10-Year Government Bond Yield (Future Enhancement) </w:t>
      </w:r>
    </w:p>
    <w:p w14:paraId="490224D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1904147">
          <v:rect id="_x0000_i1133" style="width:0;height:1.5pt" o:hralign="center" o:hrstd="t" o:hr="t" fillcolor="#a0a0a0" stroked="f"/>
        </w:pict>
      </w:r>
    </w:p>
    <w:p w14:paraId="724D32E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14. Metadata</w:t>
      </w:r>
    </w:p>
    <w:p w14:paraId="16A7F64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44A0F55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Calculated from Official PE Ratio</w:t>
      </w:r>
    </w:p>
    <w:p w14:paraId="6DF1C14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6E8FDDF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Backend</w:t>
      </w:r>
    </w:p>
    <w:p w14:paraId="2043103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47D2E75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w:t>
      </w:r>
    </w:p>
    <w:p w14:paraId="01013BF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276619E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12FD262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14ACE2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478A3D8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625299D">
          <v:rect id="_x0000_i1134" style="width:0;height:1.5pt" o:hralign="center" o:hrstd="t" o:hr="t" fillcolor="#a0a0a0" stroked="f"/>
        </w:pict>
      </w:r>
    </w:p>
    <w:p w14:paraId="1D6758A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20C17A9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39884D2B" w14:textId="77777777" w:rsidR="004C6658" w:rsidRPr="004C6658" w:rsidRDefault="004C6658" w:rsidP="004C665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Earnings Yield </w:t>
      </w:r>
    </w:p>
    <w:p w14:paraId="3D053673" w14:textId="77777777" w:rsidR="004C6658" w:rsidRPr="004C6658" w:rsidRDefault="004C6658" w:rsidP="004C665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Earnings Yield </w:t>
      </w:r>
    </w:p>
    <w:p w14:paraId="0C06ACBA" w14:textId="77777777" w:rsidR="004C6658" w:rsidRPr="004C6658" w:rsidRDefault="004C6658" w:rsidP="004C665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Average </w:t>
      </w:r>
    </w:p>
    <w:p w14:paraId="771D11F7" w14:textId="77777777" w:rsidR="004C6658" w:rsidRPr="004C6658" w:rsidRDefault="004C6658" w:rsidP="004C665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31472BFD" w14:textId="77777777" w:rsidR="004C6658" w:rsidRPr="004C6658" w:rsidRDefault="004C6658" w:rsidP="004C665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Confidence </w:t>
      </w:r>
    </w:p>
    <w:p w14:paraId="126F5B1C" w14:textId="77777777" w:rsidR="004C6658" w:rsidRPr="004C6658" w:rsidRDefault="004C6658" w:rsidP="004C665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5506FE9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Calculate automatically whenever the PE Ratio is updated to maintain consistency between both indicators.</w:t>
      </w:r>
    </w:p>
    <w:p w14:paraId="0862A4C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ABA70A9">
          <v:rect id="_x0000_i1135" style="width:0;height:1.5pt" o:hralign="center" o:hrstd="t" o:hr="t" fillcolor="#a0a0a0" stroked="f"/>
        </w:pict>
      </w:r>
    </w:p>
    <w:p w14:paraId="4B5834A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 xml:space="preserve">16. Praxis Engine Integration </w:t>
      </w:r>
      <w:r w:rsidRPr="004C6658">
        <w:rPr>
          <w:rFonts w:ascii="Segoe UI Emoji" w:eastAsia="Times New Roman" w:hAnsi="Segoe UI Emoji" w:cs="Segoe UI Emoji"/>
          <w:b/>
          <w:bCs/>
          <w:kern w:val="36"/>
          <w:sz w:val="48"/>
          <w:szCs w:val="48"/>
        </w:rPr>
        <w:t>⭐</w:t>
      </w:r>
    </w:p>
    <w:p w14:paraId="11E95DD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40C0B84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 (Configurable)</w:t>
      </w:r>
    </w:p>
    <w:p w14:paraId="3C6B1D3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Relative Importance</w:t>
      </w:r>
    </w:p>
    <w:p w14:paraId="744DA0F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Medium-High</w:t>
      </w:r>
    </w:p>
    <w:p w14:paraId="61264FC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15D0140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Valuation Confirmation</w:t>
      </w:r>
    </w:p>
    <w:p w14:paraId="6A9C74D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0F3ADCA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Validate market valuation from </w:t>
      </w:r>
      <w:proofErr w:type="gramStart"/>
      <w:r w:rsidRPr="004C6658">
        <w:rPr>
          <w:rFonts w:ascii="Times New Roman" w:eastAsia="Times New Roman" w:hAnsi="Times New Roman" w:cs="Times New Roman"/>
          <w:sz w:val="24"/>
          <w:szCs w:val="24"/>
        </w:rPr>
        <w:t>an earnings</w:t>
      </w:r>
      <w:proofErr w:type="gramEnd"/>
      <w:r w:rsidRPr="004C6658">
        <w:rPr>
          <w:rFonts w:ascii="Times New Roman" w:eastAsia="Times New Roman" w:hAnsi="Times New Roman" w:cs="Times New Roman"/>
          <w:sz w:val="24"/>
          <w:szCs w:val="24"/>
        </w:rPr>
        <w:t xml:space="preserve"> return perspective.</w:t>
      </w:r>
    </w:p>
    <w:p w14:paraId="602EF0B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03D68437" w14:textId="77777777" w:rsidR="004C6658" w:rsidRPr="004C6658" w:rsidRDefault="004C6658" w:rsidP="004C665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Earnings Yield </w:t>
      </w:r>
    </w:p>
    <w:p w14:paraId="579AE7A1" w14:textId="77777777" w:rsidR="004C6658" w:rsidRPr="004C6658" w:rsidRDefault="004C6658" w:rsidP="004C665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 PE Ratio </w:t>
      </w:r>
    </w:p>
    <w:p w14:paraId="6CB4E76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731F1590" w14:textId="77777777" w:rsidR="004C6658" w:rsidRPr="004C6658" w:rsidRDefault="004C6658" w:rsidP="004C665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 Earnings Yield </w:t>
      </w:r>
    </w:p>
    <w:p w14:paraId="0A8B34EB" w14:textId="77777777" w:rsidR="004C6658" w:rsidRPr="004C6658" w:rsidRDefault="004C6658" w:rsidP="004C665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PE Ratio </w:t>
      </w:r>
    </w:p>
    <w:p w14:paraId="1979DBB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Display Priority</w:t>
      </w:r>
    </w:p>
    <w:p w14:paraId="72EF964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w:t>
      </w:r>
    </w:p>
    <w:p w14:paraId="6C644F7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D80CA5A">
          <v:rect id="_x0000_i1136" style="width:0;height:1.5pt" o:hralign="center" o:hrstd="t" o:hr="t" fillcolor="#a0a0a0" stroked="f"/>
        </w:pict>
      </w:r>
    </w:p>
    <w:p w14:paraId="5F48B0C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17. Praxis Recommendation</w:t>
      </w:r>
    </w:p>
    <w:p w14:paraId="02B3104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Earnings Yield should act as the </w:t>
      </w:r>
      <w:r w:rsidRPr="004C6658">
        <w:rPr>
          <w:rFonts w:ascii="Times New Roman" w:eastAsia="Times New Roman" w:hAnsi="Times New Roman" w:cs="Times New Roman"/>
          <w:b/>
          <w:bCs/>
          <w:sz w:val="24"/>
          <w:szCs w:val="24"/>
        </w:rPr>
        <w:t>confirmation indicator</w:t>
      </w:r>
      <w:r w:rsidRPr="004C6658">
        <w:rPr>
          <w:rFonts w:ascii="Times New Roman" w:eastAsia="Times New Roman" w:hAnsi="Times New Roman" w:cs="Times New Roman"/>
          <w:sz w:val="24"/>
          <w:szCs w:val="24"/>
        </w:rPr>
        <w:t xml:space="preserve"> within the Valuation category rather than replacing the PE Ratio.</w:t>
      </w:r>
    </w:p>
    <w:p w14:paraId="2A840D92"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Valuation Hierarchy</w:t>
      </w:r>
    </w:p>
    <w:p w14:paraId="2709601A" w14:textId="77777777" w:rsidR="004C6658" w:rsidRPr="004C6658" w:rsidRDefault="004C6658" w:rsidP="004C665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PE Ratio </w:t>
      </w:r>
    </w:p>
    <w:p w14:paraId="2DB8898E" w14:textId="77777777" w:rsidR="004C6658" w:rsidRPr="004C6658" w:rsidRDefault="004C6658" w:rsidP="004C665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Forward PE </w:t>
      </w:r>
    </w:p>
    <w:p w14:paraId="1B81EAB3" w14:textId="77777777" w:rsidR="004C6658" w:rsidRPr="004C6658" w:rsidRDefault="004C6658" w:rsidP="004C665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lastRenderedPageBreak/>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PB Ratio </w:t>
      </w:r>
    </w:p>
    <w:p w14:paraId="62158DE5" w14:textId="77777777" w:rsidR="004C6658" w:rsidRPr="004C6658" w:rsidRDefault="004C6658" w:rsidP="004C665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Earnings Yield </w:t>
      </w:r>
    </w:p>
    <w:p w14:paraId="6FF1853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1F90BF4A" w14:textId="77777777" w:rsidR="004C6658" w:rsidRPr="004C6658" w:rsidRDefault="004C6658" w:rsidP="004C665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Earnings Yield + Low PE → Increase Valuation Score. </w:t>
      </w:r>
    </w:p>
    <w:p w14:paraId="0F073CCC" w14:textId="77777777" w:rsidR="004C6658" w:rsidRPr="004C6658" w:rsidRDefault="004C6658" w:rsidP="004C665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Low Earnings Yield + High PE → Reduce Valuation Score. </w:t>
      </w:r>
    </w:p>
    <w:p w14:paraId="23B41974" w14:textId="77777777" w:rsidR="004C6658" w:rsidRPr="004C6658" w:rsidRDefault="004C6658" w:rsidP="004C665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Earnings Yield + Strong EPS Growth → Increase long-term investment confidence. </w:t>
      </w:r>
    </w:p>
    <w:p w14:paraId="4F414B96" w14:textId="77777777" w:rsidR="004C6658" w:rsidRPr="004C6658" w:rsidRDefault="004C6658" w:rsidP="004C665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Earnings Yield with long-term bond yields (V2 enhancement) to estimate the Equity Risk Premium. </w:t>
      </w:r>
    </w:p>
    <w:p w14:paraId="16FD882B" w14:textId="5A55DA6A"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Earnings Yield should reinforce the </w:t>
      </w:r>
      <w:r w:rsidRPr="004C6658">
        <w:rPr>
          <w:rFonts w:ascii="Times New Roman" w:eastAsia="Times New Roman" w:hAnsi="Times New Roman" w:cs="Times New Roman"/>
          <w:b/>
          <w:bCs/>
          <w:sz w:val="24"/>
          <w:szCs w:val="24"/>
        </w:rPr>
        <w:t>Valuation Score</w:t>
      </w:r>
      <w:r w:rsidRPr="004C6658">
        <w:rPr>
          <w:rFonts w:ascii="Times New Roman" w:eastAsia="Times New Roman" w:hAnsi="Times New Roman" w:cs="Times New Roman"/>
          <w:sz w:val="24"/>
          <w:szCs w:val="24"/>
        </w:rPr>
        <w:t xml:space="preserve"> by presenting earnings as an investment return metric and should primarily be used as a confirmation indicator alongside PE Ratio rather than an independent buy or sell signal.</w:t>
      </w:r>
    </w:p>
    <w:p w14:paraId="2AA8F2FE" w14:textId="2E7ED5FD"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2E40AF9" w14:textId="1185D7EA"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6B8DD3C" w14:textId="0D0C2D9A"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73E2884" w14:textId="16A512F1"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5D469DC" w14:textId="50EE139C"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87316B8" w14:textId="523B82E2"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0190379" w14:textId="6AA71DF5"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8353A83" w14:textId="1D128CC2"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6BAEA7CB" w14:textId="2668153A"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2031CEE" w14:textId="4C79752E"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6A9151AF" w14:textId="63F78D99"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B001D6B" w14:textId="3E756EDC"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A2AB15C" w14:textId="12E2DC2F"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425AEAC" w14:textId="54AACDC8"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7A54E91" w14:textId="77777777" w:rsidR="002B50C2" w:rsidRPr="004C6658"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4C9575A7"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color w:val="FF0000"/>
          <w:kern w:val="36"/>
          <w:sz w:val="48"/>
          <w:szCs w:val="48"/>
        </w:rPr>
        <w:lastRenderedPageBreak/>
        <w:t>5. EPS Growth</w:t>
      </w:r>
    </w:p>
    <w:p w14:paraId="1CCF658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Growth</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5B77C2EA"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1C7D6C0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Earnings Per Share Growth</w:t>
      </w:r>
    </w:p>
    <w:p w14:paraId="12A69E1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EPS Growth</w:t>
      </w:r>
    </w:p>
    <w:p w14:paraId="1D0BA5C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62E2CF4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Growth</w:t>
      </w:r>
    </w:p>
    <w:p w14:paraId="3237B64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1E58C4E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the percentage growth in Earnings Per Share (EPS) over the previous reporting period. It indicates whether the market's earnings are improving or deteriorating over time.</w:t>
      </w:r>
    </w:p>
    <w:p w14:paraId="4E87404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35B942D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Reported Earnings Per Share (TTM / Annual)</w:t>
      </w:r>
    </w:p>
    <w:p w14:paraId="1F45757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46B9184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(Core Growth Indicator)</w:t>
      </w:r>
    </w:p>
    <w:p w14:paraId="45E5036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7DC1702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00F9205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7059EFF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After every quarterly earnings season or official EPS update.</w:t>
      </w:r>
    </w:p>
    <w:p w14:paraId="45587C9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6EB0EE1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EPS Growth is one of the strongest indicators of fundamental improvement. Consistent positive EPS growth generally supports higher market valuations, while declining EPS growth often signals weakening fundamentals.</w:t>
      </w:r>
    </w:p>
    <w:p w14:paraId="14AAF9D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A82C32F">
          <v:rect id="_x0000_i1153" style="width:0;height:1.5pt" o:hralign="center" o:hrstd="t" o:hr="t" fillcolor="#a0a0a0" stroked="f"/>
        </w:pict>
      </w:r>
    </w:p>
    <w:p w14:paraId="7E4089E5"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2. Data Requirements</w:t>
      </w:r>
    </w:p>
    <w:p w14:paraId="0CF704A4"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7B79B129" w14:textId="77777777" w:rsidR="004C6658" w:rsidRPr="004C6658" w:rsidRDefault="004C6658" w:rsidP="004C665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EPS </w:t>
      </w:r>
    </w:p>
    <w:p w14:paraId="068E6AD5" w14:textId="77777777" w:rsidR="004C6658" w:rsidRPr="004C6658" w:rsidRDefault="004C6658" w:rsidP="004C665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Previous EPS </w:t>
      </w:r>
    </w:p>
    <w:p w14:paraId="20A52773" w14:textId="77777777" w:rsidR="004C6658" w:rsidRPr="004C6658" w:rsidRDefault="004C6658" w:rsidP="004C665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 </w:t>
      </w:r>
    </w:p>
    <w:p w14:paraId="7AE737D9" w14:textId="77777777" w:rsidR="004C6658" w:rsidRPr="004C6658" w:rsidRDefault="004C6658" w:rsidP="004C665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EPS Growth </w:t>
      </w:r>
    </w:p>
    <w:p w14:paraId="13566E34"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75CE89C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 Quarterly Reports</w:t>
      </w:r>
    </w:p>
    <w:p w14:paraId="0F8926D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1BA39D6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 Years</w:t>
      </w:r>
    </w:p>
    <w:p w14:paraId="6EDA8B6D"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5123BCF9" w14:textId="77777777" w:rsidR="004C6658" w:rsidRPr="004C6658" w:rsidRDefault="004C6658" w:rsidP="004C665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Financial Results </w:t>
      </w:r>
    </w:p>
    <w:p w14:paraId="63157758" w14:textId="77777777" w:rsidR="004C6658" w:rsidRPr="004C6658" w:rsidRDefault="004C6658" w:rsidP="004C665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Company Financial Statements </w:t>
      </w:r>
    </w:p>
    <w:p w14:paraId="49905178" w14:textId="77777777" w:rsidR="004C6658" w:rsidRPr="004C6658" w:rsidRDefault="004C6658" w:rsidP="004C665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Official Earnings Reports </w:t>
      </w:r>
    </w:p>
    <w:p w14:paraId="4092550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586BA6B">
          <v:rect id="_x0000_i1154" style="width:0;height:1.5pt" o:hralign="center" o:hrstd="t" o:hr="t" fillcolor="#a0a0a0" stroked="f"/>
        </w:pict>
      </w:r>
    </w:p>
    <w:p w14:paraId="48D44DE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13BE3DEA"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0459F20F"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EPS Growth (%) =</w:t>
      </w:r>
    </w:p>
    <w:p w14:paraId="09A7D7D5"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((Current EPS − Previous EPS) / Previous EPS) × 100</w:t>
      </w:r>
    </w:p>
    <w:p w14:paraId="070FCA91"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03DADB65" w14:textId="77777777" w:rsidR="004C6658" w:rsidRPr="004C6658" w:rsidRDefault="004C6658" w:rsidP="004C665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the latest reported EPS. </w:t>
      </w:r>
    </w:p>
    <w:p w14:paraId="7E1F6670" w14:textId="77777777" w:rsidR="004C6658" w:rsidRPr="004C6658" w:rsidRDefault="004C6658" w:rsidP="004C665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the comparable previous-period EPS. </w:t>
      </w:r>
    </w:p>
    <w:p w14:paraId="15A9D219" w14:textId="77777777" w:rsidR="004C6658" w:rsidRPr="004C6658" w:rsidRDefault="004C6658" w:rsidP="004C665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percentage growth. </w:t>
      </w:r>
    </w:p>
    <w:p w14:paraId="2EEDC2DA" w14:textId="77777777" w:rsidR="004C6658" w:rsidRPr="004C6658" w:rsidRDefault="004C6658" w:rsidP="004C665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against historical growth trends. </w:t>
      </w:r>
    </w:p>
    <w:p w14:paraId="725900C1" w14:textId="77777777" w:rsidR="004C6658" w:rsidRPr="004C6658" w:rsidRDefault="004C6658" w:rsidP="004C665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Growth Score. </w:t>
      </w:r>
    </w:p>
    <w:p w14:paraId="5B7EEAF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2F08F380" w14:textId="77777777" w:rsidR="004C6658" w:rsidRPr="004C6658" w:rsidRDefault="004C6658" w:rsidP="004C665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Prefer </w:t>
      </w:r>
      <w:r w:rsidRPr="004C6658">
        <w:rPr>
          <w:rFonts w:ascii="Times New Roman" w:eastAsia="Times New Roman" w:hAnsi="Times New Roman" w:cs="Times New Roman"/>
          <w:b/>
          <w:bCs/>
          <w:sz w:val="24"/>
          <w:szCs w:val="24"/>
        </w:rPr>
        <w:t>Year-over-Year (YoY)</w:t>
      </w:r>
      <w:r w:rsidRPr="004C6658">
        <w:rPr>
          <w:rFonts w:ascii="Times New Roman" w:eastAsia="Times New Roman" w:hAnsi="Times New Roman" w:cs="Times New Roman"/>
          <w:sz w:val="24"/>
          <w:szCs w:val="24"/>
        </w:rPr>
        <w:t xml:space="preserve"> comparison. </w:t>
      </w:r>
    </w:p>
    <w:p w14:paraId="05725350" w14:textId="77777777" w:rsidR="004C6658" w:rsidRPr="004C6658" w:rsidRDefault="004C6658" w:rsidP="004C665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Quarterly comparisons should use the same quarter from the previous year. </w:t>
      </w:r>
    </w:p>
    <w:p w14:paraId="0DF2E76D" w14:textId="77777777" w:rsidR="004C6658" w:rsidRPr="004C6658" w:rsidRDefault="004C6658" w:rsidP="004C665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Exclude one-time extraordinary earnings where possible. </w:t>
      </w:r>
    </w:p>
    <w:p w14:paraId="3AA4FF6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CAA5444">
          <v:rect id="_x0000_i1155" style="width:0;height:1.5pt" o:hralign="center" o:hrstd="t" o:hr="t" fillcolor="#a0a0a0" stroked="f"/>
        </w:pict>
      </w:r>
    </w:p>
    <w:p w14:paraId="66E65B0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2E3FAC4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Growth</w:t>
      </w:r>
    </w:p>
    <w:p w14:paraId="5BC1269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EPS Growth (%)</w:t>
      </w:r>
    </w:p>
    <w:p w14:paraId="1BF23FE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EPS</w:t>
      </w:r>
    </w:p>
    <w:p w14:paraId="378B557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Latest EPS</w:t>
      </w:r>
    </w:p>
    <w:p w14:paraId="775AA56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Previous EPS</w:t>
      </w:r>
    </w:p>
    <w:p w14:paraId="6B890F5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Comparable Previous EPS</w:t>
      </w:r>
    </w:p>
    <w:p w14:paraId="041ED7E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2E4E45B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0BD4395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67A7C418" w14:textId="77777777" w:rsidR="004C6658" w:rsidRPr="004C6658" w:rsidRDefault="004C6658" w:rsidP="004C665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2A1ACD99" w14:textId="77777777" w:rsidR="004C6658" w:rsidRPr="004C6658" w:rsidRDefault="004C6658" w:rsidP="004C665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614E2A3E" w14:textId="77777777" w:rsidR="004C6658" w:rsidRPr="004C6658" w:rsidRDefault="004C6658" w:rsidP="004C665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0EB7673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2CFE6E0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Confidence</w:t>
      </w:r>
    </w:p>
    <w:p w14:paraId="37D021B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46A955A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69478CA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D6F93C9">
          <v:rect id="_x0000_i1156" style="width:0;height:1.5pt" o:hralign="center" o:hrstd="t" o:hr="t" fillcolor="#a0a0a0" stroked="f"/>
        </w:pict>
      </w:r>
    </w:p>
    <w:p w14:paraId="78ECE512"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34"/>
        <w:gridCol w:w="1509"/>
      </w:tblGrid>
      <w:tr w:rsidR="004C6658" w:rsidRPr="004C6658" w14:paraId="2DA35177" w14:textId="77777777" w:rsidTr="004C6658">
        <w:trPr>
          <w:tblHeader/>
          <w:tblCellSpacing w:w="15" w:type="dxa"/>
        </w:trPr>
        <w:tc>
          <w:tcPr>
            <w:tcW w:w="0" w:type="auto"/>
            <w:vAlign w:val="center"/>
            <w:hideMark/>
          </w:tcPr>
          <w:p w14:paraId="331CD907"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Condition</w:t>
            </w:r>
          </w:p>
        </w:tc>
        <w:tc>
          <w:tcPr>
            <w:tcW w:w="0" w:type="auto"/>
            <w:vAlign w:val="center"/>
            <w:hideMark/>
          </w:tcPr>
          <w:p w14:paraId="74BEB430"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53137CB0"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62197498" w14:textId="77777777" w:rsidTr="004C6658">
        <w:trPr>
          <w:tblCellSpacing w:w="15" w:type="dxa"/>
        </w:trPr>
        <w:tc>
          <w:tcPr>
            <w:tcW w:w="0" w:type="auto"/>
            <w:vAlign w:val="center"/>
            <w:hideMark/>
          </w:tcPr>
          <w:p w14:paraId="6D7920C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&gt; 20%</w:t>
            </w:r>
          </w:p>
        </w:tc>
        <w:tc>
          <w:tcPr>
            <w:tcW w:w="0" w:type="auto"/>
            <w:vAlign w:val="center"/>
            <w:hideMark/>
          </w:tcPr>
          <w:p w14:paraId="5AEBC81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2266F03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60CAD9F1" w14:textId="77777777" w:rsidTr="004C6658">
        <w:trPr>
          <w:tblCellSpacing w:w="15" w:type="dxa"/>
        </w:trPr>
        <w:tc>
          <w:tcPr>
            <w:tcW w:w="0" w:type="auto"/>
            <w:vAlign w:val="center"/>
            <w:hideMark/>
          </w:tcPr>
          <w:p w14:paraId="059AE18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10–20%</w:t>
            </w:r>
          </w:p>
        </w:tc>
        <w:tc>
          <w:tcPr>
            <w:tcW w:w="0" w:type="auto"/>
            <w:vAlign w:val="center"/>
            <w:hideMark/>
          </w:tcPr>
          <w:p w14:paraId="21CAF0F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018B871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544BF0D6" w14:textId="77777777" w:rsidTr="004C6658">
        <w:trPr>
          <w:tblCellSpacing w:w="15" w:type="dxa"/>
        </w:trPr>
        <w:tc>
          <w:tcPr>
            <w:tcW w:w="0" w:type="auto"/>
            <w:vAlign w:val="center"/>
            <w:hideMark/>
          </w:tcPr>
          <w:p w14:paraId="6117E92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Growth 0–10%</w:t>
            </w:r>
          </w:p>
        </w:tc>
        <w:tc>
          <w:tcPr>
            <w:tcW w:w="0" w:type="auto"/>
            <w:vAlign w:val="center"/>
            <w:hideMark/>
          </w:tcPr>
          <w:p w14:paraId="6D58C3C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015C7D9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7B380E2E" w14:textId="77777777" w:rsidTr="004C6658">
        <w:trPr>
          <w:tblCellSpacing w:w="15" w:type="dxa"/>
        </w:trPr>
        <w:tc>
          <w:tcPr>
            <w:tcW w:w="0" w:type="auto"/>
            <w:vAlign w:val="center"/>
            <w:hideMark/>
          </w:tcPr>
          <w:p w14:paraId="006324C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-10% to 0%</w:t>
            </w:r>
          </w:p>
        </w:tc>
        <w:tc>
          <w:tcPr>
            <w:tcW w:w="0" w:type="auto"/>
            <w:vAlign w:val="center"/>
            <w:hideMark/>
          </w:tcPr>
          <w:p w14:paraId="7687905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49B9E2A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3E45B72B" w14:textId="77777777" w:rsidTr="004C6658">
        <w:trPr>
          <w:tblCellSpacing w:w="15" w:type="dxa"/>
        </w:trPr>
        <w:tc>
          <w:tcPr>
            <w:tcW w:w="0" w:type="auto"/>
            <w:vAlign w:val="center"/>
            <w:hideMark/>
          </w:tcPr>
          <w:p w14:paraId="3084F6C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&lt; -10%</w:t>
            </w:r>
          </w:p>
        </w:tc>
        <w:tc>
          <w:tcPr>
            <w:tcW w:w="0" w:type="auto"/>
            <w:vAlign w:val="center"/>
            <w:hideMark/>
          </w:tcPr>
          <w:p w14:paraId="77FC9BC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30F1909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1390C830"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345C8B91" w14:textId="77777777" w:rsidR="004C6658" w:rsidRPr="004C6658" w:rsidRDefault="004C6658" w:rsidP="004C66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Higher EPS Growth improves the Growth Score. </w:t>
      </w:r>
    </w:p>
    <w:p w14:paraId="5D630102" w14:textId="77777777" w:rsidR="004C6658" w:rsidRPr="004C6658" w:rsidRDefault="004C6658" w:rsidP="004C66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Stable positive growth is preferred over highly volatile earnings. </w:t>
      </w:r>
    </w:p>
    <w:p w14:paraId="3A2A8092" w14:textId="77777777" w:rsidR="004C6658" w:rsidRPr="004C6658" w:rsidRDefault="004C6658" w:rsidP="004C665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Negative growth should reduce the Fundamentals Score. </w:t>
      </w:r>
    </w:p>
    <w:p w14:paraId="0B93288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C857331">
          <v:rect id="_x0000_i1157" style="width:0;height:1.5pt" o:hralign="center" o:hrstd="t" o:hr="t" fillcolor="#a0a0a0" stroked="f"/>
        </w:pict>
      </w:r>
    </w:p>
    <w:p w14:paraId="27865B19"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68618D5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EPS Growth &gt; 10%</w:t>
      </w:r>
    </w:p>
    <w:p w14:paraId="0177685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5CE9C9F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EPS Growth 0–10%</w:t>
      </w:r>
    </w:p>
    <w:p w14:paraId="0FF6AB3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0513BDD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EPS Growth</w:t>
      </w:r>
    </w:p>
    <w:p w14:paraId="6166BEE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3DB700B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Multiple Consecutive Positive Quarters</w:t>
      </w:r>
    </w:p>
    <w:p w14:paraId="30A3EB1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p w14:paraId="1B7E8D1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6A0EB3A">
          <v:rect id="_x0000_i1158" style="width:0;height:1.5pt" o:hralign="center" o:hrstd="t" o:hr="t" fillcolor="#a0a0a0" stroked="f"/>
        </w:pict>
      </w:r>
    </w:p>
    <w:p w14:paraId="60F6E2D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7A68991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19C5B21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85%</w:t>
      </w:r>
    </w:p>
    <w:p w14:paraId="504CFE55"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34C5D9A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Four consecutive positive quarters</w:t>
      </w:r>
    </w:p>
    <w:p w14:paraId="253B75D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+5% Audited financial statements</w:t>
      </w:r>
    </w:p>
    <w:p w14:paraId="7523BBD3"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76E972E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74E90AD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One-time exceptional earnings</w:t>
      </w:r>
    </w:p>
    <w:p w14:paraId="2B52942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Restated financial results</w:t>
      </w:r>
    </w:p>
    <w:p w14:paraId="1A0999B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7D5AF89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p w14:paraId="260097E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7FD0059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6A72F35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66CF467">
          <v:rect id="_x0000_i1159" style="width:0;height:1.5pt" o:hralign="center" o:hrstd="t" o:hr="t" fillcolor="#a0a0a0" stroked="f"/>
        </w:pict>
      </w:r>
    </w:p>
    <w:p w14:paraId="56EEB5C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1EC1B8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08D1670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6469D8F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4BB59E1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117F168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538FECA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53773BB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203B461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4-Quarter Average Score</w:t>
      </w:r>
    </w:p>
    <w:p w14:paraId="1CFC629B"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195F990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Declining</w:t>
      </w:r>
    </w:p>
    <w:p w14:paraId="037E1DF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Weak</w:t>
      </w:r>
    </w:p>
    <w:p w14:paraId="184FB18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60–80 → Stable</w:t>
      </w:r>
    </w:p>
    <w:p w14:paraId="445AF92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80–100 → Strong Growth</w:t>
      </w:r>
    </w:p>
    <w:p w14:paraId="711587A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CE8CF36">
          <v:rect id="_x0000_i1160" style="width:0;height:1.5pt" o:hralign="center" o:hrstd="t" o:hr="t" fillcolor="#a0a0a0" stroked="f"/>
        </w:pict>
      </w:r>
    </w:p>
    <w:p w14:paraId="62026291"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9. Dual Trend Chart</w:t>
      </w:r>
    </w:p>
    <w:p w14:paraId="108C3E6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6F42B43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6D0837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6F3FAF3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EPS Growth (%)</w:t>
      </w:r>
    </w:p>
    <w:p w14:paraId="79329EA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25FCA73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68A78DE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7EFC5F4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Last 8 Quarterly Updates</w:t>
      </w:r>
    </w:p>
    <w:p w14:paraId="32DF86F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4448EAA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After every quarterly earnings release.</w:t>
      </w:r>
    </w:p>
    <w:p w14:paraId="3C5DC78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A622282">
          <v:rect id="_x0000_i1161" style="width:0;height:1.5pt" o:hralign="center" o:hrstd="t" o:hr="t" fillcolor="#a0a0a0" stroked="f"/>
        </w:pict>
      </w:r>
    </w:p>
    <w:p w14:paraId="74BB6F5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55AC11E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Growth Above 20%</w:t>
      </w:r>
    </w:p>
    <w:p w14:paraId="4537EA4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earnings are growing strongly, supporting long-term market strength.</w:t>
      </w:r>
    </w:p>
    <w:p w14:paraId="0D24002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Growth Between 10% and 20%</w:t>
      </w:r>
    </w:p>
    <w:p w14:paraId="3925FDB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earnings growth remains healthy.</w:t>
      </w:r>
    </w:p>
    <w:p w14:paraId="0183BF9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Growth Between 0% and 10%</w:t>
      </w:r>
    </w:p>
    <w:p w14:paraId="3658958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earnings are growing but at a modest pace.</w:t>
      </w:r>
    </w:p>
    <w:p w14:paraId="7F6C7DC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Growth</w:t>
      </w:r>
    </w:p>
    <w:p w14:paraId="002259F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Explain that earnings have weakened compared to the previous period.</w:t>
      </w:r>
    </w:p>
    <w:p w14:paraId="40E3345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Low Confidence</w:t>
      </w:r>
    </w:p>
    <w:p w14:paraId="675B1FD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Mention that unusual or incomplete financial data may affect reliability.</w:t>
      </w:r>
    </w:p>
    <w:p w14:paraId="2DE101C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1D2B18A">
          <v:rect id="_x0000_i1162" style="width:0;height:1.5pt" o:hralign="center" o:hrstd="t" o:hr="t" fillcolor="#a0a0a0" stroked="f"/>
        </w:pict>
      </w:r>
    </w:p>
    <w:p w14:paraId="2C0DE92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2CB5C63F" w14:textId="77777777" w:rsidR="004C6658" w:rsidRPr="004C6658" w:rsidRDefault="004C6658" w:rsidP="004C66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Measures earnings momentum. </w:t>
      </w:r>
    </w:p>
    <w:p w14:paraId="54833341" w14:textId="77777777" w:rsidR="004C6658" w:rsidRPr="004C6658" w:rsidRDefault="004C6658" w:rsidP="004C66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Supports valuation expansion. </w:t>
      </w:r>
    </w:p>
    <w:p w14:paraId="485232AF" w14:textId="77777777" w:rsidR="004C6658" w:rsidRPr="004C6658" w:rsidRDefault="004C6658" w:rsidP="004C66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Indicates improving corporate performance. </w:t>
      </w:r>
    </w:p>
    <w:p w14:paraId="146F36E6" w14:textId="77777777" w:rsidR="004C6658" w:rsidRPr="004C6658" w:rsidRDefault="004C6658" w:rsidP="004C665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One of the strongest long-term growth indicators. </w:t>
      </w:r>
    </w:p>
    <w:p w14:paraId="0999C86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AF1CC94">
          <v:rect id="_x0000_i1163" style="width:0;height:1.5pt" o:hralign="center" o:hrstd="t" o:hr="t" fillcolor="#a0a0a0" stroked="f"/>
        </w:pict>
      </w:r>
    </w:p>
    <w:p w14:paraId="6BAB0A9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1BC2FD0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2271E73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06BFCB2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06E1440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0AFC78F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12BA930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1AA806F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3B2099E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6CBE3BF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591054C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Evaluating long-term earnings momentum.</w:t>
      </w:r>
    </w:p>
    <w:p w14:paraId="6290C6C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6726CFD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Yes</w:t>
      </w:r>
    </w:p>
    <w:p w14:paraId="5700DF4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942349D">
          <v:rect id="_x0000_i1164" style="width:0;height:1.5pt" o:hralign="center" o:hrstd="t" o:hr="t" fillcolor="#a0a0a0" stroked="f"/>
        </w:pict>
      </w:r>
    </w:p>
    <w:p w14:paraId="57833F2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13. Supporting Indicators</w:t>
      </w:r>
    </w:p>
    <w:p w14:paraId="611B6FA5" w14:textId="77777777" w:rsidR="004C6658" w:rsidRPr="004C6658" w:rsidRDefault="004C6658" w:rsidP="004C665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w:t>
      </w:r>
    </w:p>
    <w:p w14:paraId="74970606" w14:textId="77777777" w:rsidR="004C6658" w:rsidRPr="004C6658" w:rsidRDefault="004C6658" w:rsidP="004C665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w:t>
      </w:r>
    </w:p>
    <w:p w14:paraId="60CF0266" w14:textId="77777777" w:rsidR="004C6658" w:rsidRPr="004C6658" w:rsidRDefault="004C6658" w:rsidP="004C665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PE Ratio </w:t>
      </w:r>
    </w:p>
    <w:p w14:paraId="009BE464" w14:textId="77777777" w:rsidR="004C6658" w:rsidRPr="004C6658" w:rsidRDefault="004C6658" w:rsidP="004C665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w:t>
      </w:r>
    </w:p>
    <w:p w14:paraId="779581ED" w14:textId="77777777" w:rsidR="004C6658" w:rsidRPr="004C6658" w:rsidRDefault="004C6658" w:rsidP="004C665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Earnings Trend </w:t>
      </w:r>
    </w:p>
    <w:p w14:paraId="3DA66AB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BE945C5">
          <v:rect id="_x0000_i1165" style="width:0;height:1.5pt" o:hralign="center" o:hrstd="t" o:hr="t" fillcolor="#a0a0a0" stroked="f"/>
        </w:pict>
      </w:r>
    </w:p>
    <w:p w14:paraId="3459D3F7"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14. Metadata</w:t>
      </w:r>
    </w:p>
    <w:p w14:paraId="7525758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3919E0B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NSE Financial Results</w:t>
      </w:r>
    </w:p>
    <w:p w14:paraId="30CE498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74E8C99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Backend</w:t>
      </w:r>
    </w:p>
    <w:p w14:paraId="2189989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36B0B04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Quarterly</w:t>
      </w:r>
    </w:p>
    <w:p w14:paraId="336672B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7C4B02A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64B0F73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7409B8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33FF873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F26957E">
          <v:rect id="_x0000_i1166" style="width:0;height:1.5pt" o:hralign="center" o:hrstd="t" o:hr="t" fillcolor="#a0a0a0" stroked="f"/>
        </w:pict>
      </w:r>
    </w:p>
    <w:p w14:paraId="6CF22675"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20BA578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27BCCE28" w14:textId="77777777" w:rsidR="004C6658" w:rsidRPr="004C6658" w:rsidRDefault="004C6658" w:rsidP="004C665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EPS </w:t>
      </w:r>
    </w:p>
    <w:p w14:paraId="113D8E87" w14:textId="77777777" w:rsidR="004C6658" w:rsidRPr="004C6658" w:rsidRDefault="004C6658" w:rsidP="004C665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Previous EPS </w:t>
      </w:r>
    </w:p>
    <w:p w14:paraId="01919B27" w14:textId="77777777" w:rsidR="004C6658" w:rsidRPr="004C6658" w:rsidRDefault="004C6658" w:rsidP="004C665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 </w:t>
      </w:r>
    </w:p>
    <w:p w14:paraId="49F9CCEE" w14:textId="77777777" w:rsidR="004C6658" w:rsidRPr="004C6658" w:rsidRDefault="004C6658" w:rsidP="004C665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EPS Growth </w:t>
      </w:r>
    </w:p>
    <w:p w14:paraId="0F37B549" w14:textId="77777777" w:rsidR="004C6658" w:rsidRPr="004C6658" w:rsidRDefault="004C6658" w:rsidP="004C665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673262E5" w14:textId="77777777" w:rsidR="004C6658" w:rsidRPr="004C6658" w:rsidRDefault="004C6658" w:rsidP="004C665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Confidence </w:t>
      </w:r>
    </w:p>
    <w:p w14:paraId="1308DFEF" w14:textId="77777777" w:rsidR="004C6658" w:rsidRPr="004C6658" w:rsidRDefault="004C6658" w:rsidP="004C665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5683872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If the previous-period EPS is zero or negative, avoid percentage calculation and display </w:t>
      </w:r>
      <w:r w:rsidRPr="004C6658">
        <w:rPr>
          <w:rFonts w:ascii="Times New Roman" w:eastAsia="Times New Roman" w:hAnsi="Times New Roman" w:cs="Times New Roman"/>
          <w:b/>
          <w:bCs/>
          <w:sz w:val="24"/>
          <w:szCs w:val="24"/>
        </w:rPr>
        <w:t>"Not Available"</w:t>
      </w:r>
      <w:r w:rsidRPr="004C6658">
        <w:rPr>
          <w:rFonts w:ascii="Times New Roman" w:eastAsia="Times New Roman" w:hAnsi="Times New Roman" w:cs="Times New Roman"/>
          <w:sz w:val="24"/>
          <w:szCs w:val="24"/>
        </w:rPr>
        <w:t xml:space="preserve"> or apply an alternate comparison rule to prevent misleading results.</w:t>
      </w:r>
    </w:p>
    <w:p w14:paraId="0EE4A6E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641F796">
          <v:rect id="_x0000_i1167" style="width:0;height:1.5pt" o:hralign="center" o:hrstd="t" o:hr="t" fillcolor="#a0a0a0" stroked="f"/>
        </w:pict>
      </w:r>
    </w:p>
    <w:p w14:paraId="74E3CD8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 xml:space="preserve">16. Praxis Engine Integration </w:t>
      </w:r>
      <w:r w:rsidRPr="004C6658">
        <w:rPr>
          <w:rFonts w:ascii="Segoe UI Emoji" w:eastAsia="Times New Roman" w:hAnsi="Segoe UI Emoji" w:cs="Segoe UI Emoji"/>
          <w:b/>
          <w:bCs/>
          <w:kern w:val="36"/>
          <w:sz w:val="48"/>
          <w:szCs w:val="48"/>
        </w:rPr>
        <w:t>⭐</w:t>
      </w:r>
    </w:p>
    <w:p w14:paraId="625167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680410F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 (Configurable)</w:t>
      </w:r>
    </w:p>
    <w:p w14:paraId="7F0BFD3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Relative Importance</w:t>
      </w:r>
    </w:p>
    <w:p w14:paraId="09FE223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Very High</w:t>
      </w:r>
    </w:p>
    <w:p w14:paraId="7574505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0A3B96D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Corporate Earnings Growth</w:t>
      </w:r>
    </w:p>
    <w:p w14:paraId="2B17740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3DCAFEE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 whether company earnings are improving over time.</w:t>
      </w:r>
    </w:p>
    <w:p w14:paraId="2FA257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01F2C48D" w14:textId="77777777" w:rsidR="004C6658" w:rsidRPr="004C6658" w:rsidRDefault="004C6658" w:rsidP="004C665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EPS Growth </w:t>
      </w:r>
    </w:p>
    <w:p w14:paraId="596B107D" w14:textId="77777777" w:rsidR="004C6658" w:rsidRPr="004C6658" w:rsidRDefault="004C6658" w:rsidP="004C665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Revenue Growth </w:t>
      </w:r>
    </w:p>
    <w:p w14:paraId="7B647F4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5972A40C" w14:textId="77777777" w:rsidR="004C6658" w:rsidRPr="004C6658" w:rsidRDefault="004C6658" w:rsidP="004C665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Negative EPS Growth </w:t>
      </w:r>
    </w:p>
    <w:p w14:paraId="1E0C4C7C" w14:textId="77777777" w:rsidR="004C6658" w:rsidRPr="004C6658" w:rsidRDefault="004C6658" w:rsidP="004C665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Declining Profit Growth </w:t>
      </w:r>
    </w:p>
    <w:p w14:paraId="58DEE8A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Display Priority</w:t>
      </w:r>
    </w:p>
    <w:p w14:paraId="7A8FD33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7AA7A81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BC4163A">
          <v:rect id="_x0000_i1168" style="width:0;height:1.5pt" o:hralign="center" o:hrstd="t" o:hr="t" fillcolor="#a0a0a0" stroked="f"/>
        </w:pict>
      </w:r>
    </w:p>
    <w:p w14:paraId="0CE79D5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17. Praxis Recommendation</w:t>
      </w:r>
    </w:p>
    <w:p w14:paraId="2C8D0F7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EPS Growth should be the </w:t>
      </w:r>
      <w:r w:rsidRPr="004C6658">
        <w:rPr>
          <w:rFonts w:ascii="Times New Roman" w:eastAsia="Times New Roman" w:hAnsi="Times New Roman" w:cs="Times New Roman"/>
          <w:b/>
          <w:bCs/>
          <w:sz w:val="24"/>
          <w:szCs w:val="24"/>
        </w:rPr>
        <w:t>primary growth indicator</w:t>
      </w:r>
      <w:r w:rsidRPr="004C6658">
        <w:rPr>
          <w:rFonts w:ascii="Times New Roman" w:eastAsia="Times New Roman" w:hAnsi="Times New Roman" w:cs="Times New Roman"/>
          <w:sz w:val="24"/>
          <w:szCs w:val="24"/>
        </w:rPr>
        <w:t xml:space="preserve"> within the Fundamentals module.</w:t>
      </w:r>
    </w:p>
    <w:p w14:paraId="3A972CC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Growth Hierarchy</w:t>
      </w:r>
    </w:p>
    <w:p w14:paraId="549DEBB7" w14:textId="77777777" w:rsidR="004C6658" w:rsidRPr="004C6658" w:rsidRDefault="004C6658" w:rsidP="004C665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EPS Growth </w:t>
      </w:r>
    </w:p>
    <w:p w14:paraId="4968BD5F" w14:textId="77777777" w:rsidR="004C6658" w:rsidRPr="004C6658" w:rsidRDefault="004C6658" w:rsidP="004C665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Revenue Growth </w:t>
      </w:r>
    </w:p>
    <w:p w14:paraId="5235C2F2" w14:textId="77777777" w:rsidR="004C6658" w:rsidRPr="004C6658" w:rsidRDefault="004C6658" w:rsidP="004C665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Profit Growth </w:t>
      </w:r>
    </w:p>
    <w:p w14:paraId="7384AB28" w14:textId="77777777" w:rsidR="004C6658" w:rsidRPr="004C6658" w:rsidRDefault="004C6658" w:rsidP="004C665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GDP Growth </w:t>
      </w:r>
    </w:p>
    <w:p w14:paraId="43A7174A"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7C35522A" w14:textId="77777777" w:rsidR="004C6658" w:rsidRPr="004C6658" w:rsidRDefault="004C6658" w:rsidP="004C665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&gt; 20% + Revenue Growth Positive → Increase Growth Score. </w:t>
      </w:r>
    </w:p>
    <w:p w14:paraId="249DFEC2" w14:textId="77777777" w:rsidR="004C6658" w:rsidRPr="004C6658" w:rsidRDefault="004C6658" w:rsidP="004C665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Consecutive quarterly EPS growth → Increase Fundamentals confidence. </w:t>
      </w:r>
    </w:p>
    <w:p w14:paraId="5C4328B9" w14:textId="77777777" w:rsidR="004C6658" w:rsidRPr="004C6658" w:rsidRDefault="004C6658" w:rsidP="004C665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Negative EPS Growth + Declining Profit Growth → Reduce Growth Score. </w:t>
      </w:r>
    </w:p>
    <w:p w14:paraId="177E2FA7" w14:textId="77777777" w:rsidR="004C6658" w:rsidRPr="004C6658" w:rsidRDefault="004C6658" w:rsidP="004C665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Confirm EPS Growth with Revenue Growth to distinguish genuine business growth from one-time earnings improvements. </w:t>
      </w:r>
    </w:p>
    <w:p w14:paraId="5EF6E977" w14:textId="5BC3F381"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should be one of the highest-weighted indicators in the </w:t>
      </w:r>
      <w:r w:rsidRPr="004C6658">
        <w:rPr>
          <w:rFonts w:ascii="Times New Roman" w:eastAsia="Times New Roman" w:hAnsi="Times New Roman" w:cs="Times New Roman"/>
          <w:b/>
          <w:bCs/>
          <w:sz w:val="24"/>
          <w:szCs w:val="24"/>
        </w:rPr>
        <w:t>Growth</w:t>
      </w:r>
      <w:r w:rsidRPr="004C6658">
        <w:rPr>
          <w:rFonts w:ascii="Times New Roman" w:eastAsia="Times New Roman" w:hAnsi="Times New Roman" w:cs="Times New Roman"/>
          <w:sz w:val="24"/>
          <w:szCs w:val="24"/>
        </w:rPr>
        <w:t xml:space="preserve"> category, directly influencing the </w:t>
      </w:r>
      <w:r w:rsidRPr="004C6658">
        <w:rPr>
          <w:rFonts w:ascii="Times New Roman" w:eastAsia="Times New Roman" w:hAnsi="Times New Roman" w:cs="Times New Roman"/>
          <w:b/>
          <w:bCs/>
          <w:sz w:val="24"/>
          <w:szCs w:val="24"/>
        </w:rPr>
        <w:t>Fundamentals Score</w:t>
      </w:r>
      <w:r w:rsidRPr="004C6658">
        <w:rPr>
          <w:rFonts w:ascii="Times New Roman" w:eastAsia="Times New Roman" w:hAnsi="Times New Roman" w:cs="Times New Roman"/>
          <w:sz w:val="24"/>
          <w:szCs w:val="24"/>
        </w:rPr>
        <w:t xml:space="preserve"> and helping validate whether current market valuations are supported by improving corporate earnings.</w:t>
      </w:r>
    </w:p>
    <w:p w14:paraId="07618C1C" w14:textId="4448C565"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6C98883" w14:textId="6C86D4BE"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B9C5DFC" w14:textId="08CE41D3"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6BBFF4BF" w14:textId="3E1D2CF6"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052B0AA" w14:textId="7F500E52"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D425235" w14:textId="34588B34"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43E11C76" w14:textId="2E0DBB27"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FD18A4D" w14:textId="04B3A297"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7A711C92" w14:textId="60620333"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B21A69A" w14:textId="45012B13"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8DE5C88" w14:textId="6590A512"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7919914E" w14:textId="77777777" w:rsidR="002B50C2" w:rsidRPr="004C6658"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218781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C6658">
        <w:rPr>
          <w:rFonts w:ascii="Times New Roman" w:eastAsia="Times New Roman" w:hAnsi="Times New Roman" w:cs="Times New Roman"/>
          <w:b/>
          <w:bCs/>
          <w:color w:val="FF0000"/>
          <w:kern w:val="36"/>
          <w:sz w:val="48"/>
          <w:szCs w:val="48"/>
        </w:rPr>
        <w:lastRenderedPageBreak/>
        <w:t>6. Revenue Growth</w:t>
      </w:r>
    </w:p>
    <w:p w14:paraId="6FC4BED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Growth</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69D9EA76"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68049F1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Revenue Growth</w:t>
      </w:r>
    </w:p>
    <w:p w14:paraId="1457F04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Revenue Growth</w:t>
      </w:r>
    </w:p>
    <w:p w14:paraId="0CA8984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3AE5904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Growth</w:t>
      </w:r>
    </w:p>
    <w:p w14:paraId="13DD33D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281A612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the percentage increase or decrease in revenue compared to the previous comparable reporting period. It indicates whether the underlying business is expanding through higher sales.</w:t>
      </w:r>
    </w:p>
    <w:p w14:paraId="170CCDF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6145245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Reported Revenue (Sales)</w:t>
      </w:r>
    </w:p>
    <w:p w14:paraId="348FE14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0EC1C85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(Core Growth Indicator)</w:t>
      </w:r>
    </w:p>
    <w:p w14:paraId="3B308FB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510764C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23B32B8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2B9A653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After every quarterly financial </w:t>
      </w:r>
      <w:proofErr w:type="gramStart"/>
      <w:r w:rsidRPr="004C6658">
        <w:rPr>
          <w:rFonts w:ascii="Times New Roman" w:eastAsia="Times New Roman" w:hAnsi="Times New Roman" w:cs="Times New Roman"/>
          <w:sz w:val="24"/>
          <w:szCs w:val="24"/>
        </w:rPr>
        <w:t>results</w:t>
      </w:r>
      <w:proofErr w:type="gramEnd"/>
      <w:r w:rsidRPr="004C6658">
        <w:rPr>
          <w:rFonts w:ascii="Times New Roman" w:eastAsia="Times New Roman" w:hAnsi="Times New Roman" w:cs="Times New Roman"/>
          <w:sz w:val="24"/>
          <w:szCs w:val="24"/>
        </w:rPr>
        <w:t>.</w:t>
      </w:r>
    </w:p>
    <w:p w14:paraId="5D2AA4A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47FBB68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Revenue Growth is one of the cleanest indicators of business expansion. Unlike EPS, it is less affected by accounting adjustments, making it an excellent confirmation of sustainable growth.</w:t>
      </w:r>
    </w:p>
    <w:p w14:paraId="1E95DEF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3BC1DE9">
          <v:rect id="_x0000_i1185" style="width:0;height:1.5pt" o:hralign="center" o:hrstd="t" o:hr="t" fillcolor="#a0a0a0" stroked="f"/>
        </w:pict>
      </w:r>
    </w:p>
    <w:p w14:paraId="76976A9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2. Data Requirements</w:t>
      </w:r>
    </w:p>
    <w:p w14:paraId="29E214C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6143E6FD" w14:textId="77777777" w:rsidR="004C6658" w:rsidRPr="004C6658" w:rsidRDefault="004C6658" w:rsidP="004C665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Revenue </w:t>
      </w:r>
    </w:p>
    <w:p w14:paraId="050169CE" w14:textId="77777777" w:rsidR="004C6658" w:rsidRPr="004C6658" w:rsidRDefault="004C6658" w:rsidP="004C665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Previous Comparable Revenue </w:t>
      </w:r>
    </w:p>
    <w:p w14:paraId="2244BAE9" w14:textId="77777777" w:rsidR="004C6658" w:rsidRPr="004C6658" w:rsidRDefault="004C6658" w:rsidP="004C665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 </w:t>
      </w:r>
    </w:p>
    <w:p w14:paraId="41C34387" w14:textId="77777777" w:rsidR="004C6658" w:rsidRPr="004C6658" w:rsidRDefault="004C6658" w:rsidP="004C665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Revenue Growth </w:t>
      </w:r>
    </w:p>
    <w:p w14:paraId="7B02656F"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25FA59E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 Quarterly Reports</w:t>
      </w:r>
    </w:p>
    <w:p w14:paraId="105788B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0924F59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 Years</w:t>
      </w:r>
    </w:p>
    <w:p w14:paraId="69EDF678"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69155346" w14:textId="77777777" w:rsidR="004C6658" w:rsidRPr="004C6658" w:rsidRDefault="004C6658" w:rsidP="004C665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Financial Results </w:t>
      </w:r>
    </w:p>
    <w:p w14:paraId="7228A408" w14:textId="77777777" w:rsidR="004C6658" w:rsidRPr="004C6658" w:rsidRDefault="004C6658" w:rsidP="004C665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Company Financial Statements </w:t>
      </w:r>
    </w:p>
    <w:p w14:paraId="1C29AD8F" w14:textId="77777777" w:rsidR="004C6658" w:rsidRPr="004C6658" w:rsidRDefault="004C6658" w:rsidP="004C665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Annual Reports </w:t>
      </w:r>
    </w:p>
    <w:p w14:paraId="05F41B1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2D45ECC">
          <v:rect id="_x0000_i1186" style="width:0;height:1.5pt" o:hralign="center" o:hrstd="t" o:hr="t" fillcolor="#a0a0a0" stroked="f"/>
        </w:pict>
      </w:r>
    </w:p>
    <w:p w14:paraId="00C040E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6A85FDC8"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3165E023"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Revenue Growth (%) =</w:t>
      </w:r>
    </w:p>
    <w:p w14:paraId="2C547509"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((Current Revenue − Previous Revenue) / Previous Revenue) × 100</w:t>
      </w:r>
    </w:p>
    <w:p w14:paraId="3F1A9756"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7A2C9980" w14:textId="77777777" w:rsidR="004C6658" w:rsidRPr="004C6658" w:rsidRDefault="004C6658" w:rsidP="004C665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the latest reported revenue. </w:t>
      </w:r>
    </w:p>
    <w:p w14:paraId="1C09CCD9" w14:textId="77777777" w:rsidR="004C6658" w:rsidRPr="004C6658" w:rsidRDefault="004C6658" w:rsidP="004C665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the comparable previous-period revenue (preferably YoY). </w:t>
      </w:r>
    </w:p>
    <w:p w14:paraId="3F04525C" w14:textId="77777777" w:rsidR="004C6658" w:rsidRPr="004C6658" w:rsidRDefault="004C6658" w:rsidP="004C665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Revenue Growth. </w:t>
      </w:r>
    </w:p>
    <w:p w14:paraId="23D86FBC" w14:textId="77777777" w:rsidR="004C6658" w:rsidRPr="004C6658" w:rsidRDefault="004C6658" w:rsidP="004C665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historical growth. </w:t>
      </w:r>
    </w:p>
    <w:p w14:paraId="414350BF" w14:textId="77777777" w:rsidR="004C6658" w:rsidRPr="004C6658" w:rsidRDefault="004C6658" w:rsidP="004C665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Growth Score. </w:t>
      </w:r>
    </w:p>
    <w:p w14:paraId="4E7D73DF"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3DD30C9A" w14:textId="77777777" w:rsidR="004C6658" w:rsidRPr="004C6658" w:rsidRDefault="004C6658" w:rsidP="004C665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Prefer </w:t>
      </w:r>
      <w:r w:rsidRPr="004C6658">
        <w:rPr>
          <w:rFonts w:ascii="Times New Roman" w:eastAsia="Times New Roman" w:hAnsi="Times New Roman" w:cs="Times New Roman"/>
          <w:b/>
          <w:bCs/>
          <w:sz w:val="24"/>
          <w:szCs w:val="24"/>
        </w:rPr>
        <w:t>Year-over-Year (YoY)</w:t>
      </w:r>
      <w:r w:rsidRPr="004C6658">
        <w:rPr>
          <w:rFonts w:ascii="Times New Roman" w:eastAsia="Times New Roman" w:hAnsi="Times New Roman" w:cs="Times New Roman"/>
          <w:sz w:val="24"/>
          <w:szCs w:val="24"/>
        </w:rPr>
        <w:t xml:space="preserve"> comparison over Quarter-over-Quarter. </w:t>
      </w:r>
    </w:p>
    <w:p w14:paraId="64973A92" w14:textId="77777777" w:rsidR="004C6658" w:rsidRPr="004C6658" w:rsidRDefault="004C6658" w:rsidP="004C665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consolidated revenue whenever available. </w:t>
      </w:r>
    </w:p>
    <w:p w14:paraId="18AEEFF2" w14:textId="77777777" w:rsidR="004C6658" w:rsidRPr="004C6658" w:rsidRDefault="004C6658" w:rsidP="004C665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Ignore revenue changes caused solely by accounting restatements. </w:t>
      </w:r>
    </w:p>
    <w:p w14:paraId="0A37E8E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84561FE">
          <v:rect id="_x0000_i1187" style="width:0;height:1.5pt" o:hralign="center" o:hrstd="t" o:hr="t" fillcolor="#a0a0a0" stroked="f"/>
        </w:pict>
      </w:r>
    </w:p>
    <w:p w14:paraId="1DEE1B5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529CA2E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Growth</w:t>
      </w:r>
    </w:p>
    <w:p w14:paraId="5E21D21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Revenue Growth (%)</w:t>
      </w:r>
    </w:p>
    <w:p w14:paraId="52852D8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Revenue</w:t>
      </w:r>
    </w:p>
    <w:p w14:paraId="5A30228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Latest Reported Revenue</w:t>
      </w:r>
    </w:p>
    <w:p w14:paraId="03A88AE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Previous Revenue</w:t>
      </w:r>
    </w:p>
    <w:p w14:paraId="73E48F4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Comparable Previous Revenue</w:t>
      </w:r>
    </w:p>
    <w:p w14:paraId="225AC50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0F459D2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7CAA7B1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33411BB7" w14:textId="77777777" w:rsidR="004C6658" w:rsidRPr="004C6658" w:rsidRDefault="004C6658" w:rsidP="004C665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63D106C8" w14:textId="77777777" w:rsidR="004C6658" w:rsidRPr="004C6658" w:rsidRDefault="004C6658" w:rsidP="004C665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64FE158C" w14:textId="77777777" w:rsidR="004C6658" w:rsidRPr="004C6658" w:rsidRDefault="004C6658" w:rsidP="004C665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028D957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0CABEED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Confidence</w:t>
      </w:r>
    </w:p>
    <w:p w14:paraId="3AF77F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43D24D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75E33B9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8CD3BB8">
          <v:rect id="_x0000_i1188" style="width:0;height:1.5pt" o:hralign="center" o:hrstd="t" o:hr="t" fillcolor="#a0a0a0" stroked="f"/>
        </w:pict>
      </w:r>
    </w:p>
    <w:p w14:paraId="29714B4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34"/>
        <w:gridCol w:w="1509"/>
      </w:tblGrid>
      <w:tr w:rsidR="004C6658" w:rsidRPr="004C6658" w14:paraId="51B48D2A" w14:textId="77777777" w:rsidTr="004C6658">
        <w:trPr>
          <w:tblHeader/>
          <w:tblCellSpacing w:w="15" w:type="dxa"/>
        </w:trPr>
        <w:tc>
          <w:tcPr>
            <w:tcW w:w="0" w:type="auto"/>
            <w:vAlign w:val="center"/>
            <w:hideMark/>
          </w:tcPr>
          <w:p w14:paraId="7A6274CD"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Condition</w:t>
            </w:r>
          </w:p>
        </w:tc>
        <w:tc>
          <w:tcPr>
            <w:tcW w:w="0" w:type="auto"/>
            <w:vAlign w:val="center"/>
            <w:hideMark/>
          </w:tcPr>
          <w:p w14:paraId="2E27E6A4"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4BC7F952"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04ACF9C3" w14:textId="77777777" w:rsidTr="004C6658">
        <w:trPr>
          <w:tblCellSpacing w:w="15" w:type="dxa"/>
        </w:trPr>
        <w:tc>
          <w:tcPr>
            <w:tcW w:w="0" w:type="auto"/>
            <w:vAlign w:val="center"/>
            <w:hideMark/>
          </w:tcPr>
          <w:p w14:paraId="16985DF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&gt; 20%</w:t>
            </w:r>
          </w:p>
        </w:tc>
        <w:tc>
          <w:tcPr>
            <w:tcW w:w="0" w:type="auto"/>
            <w:vAlign w:val="center"/>
            <w:hideMark/>
          </w:tcPr>
          <w:p w14:paraId="6E58F70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66090FB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377DF9DA" w14:textId="77777777" w:rsidTr="004C6658">
        <w:trPr>
          <w:tblCellSpacing w:w="15" w:type="dxa"/>
        </w:trPr>
        <w:tc>
          <w:tcPr>
            <w:tcW w:w="0" w:type="auto"/>
            <w:vAlign w:val="center"/>
            <w:hideMark/>
          </w:tcPr>
          <w:p w14:paraId="7AF6613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10–20%</w:t>
            </w:r>
          </w:p>
        </w:tc>
        <w:tc>
          <w:tcPr>
            <w:tcW w:w="0" w:type="auto"/>
            <w:vAlign w:val="center"/>
            <w:hideMark/>
          </w:tcPr>
          <w:p w14:paraId="58FD523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094858A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170A7DC7" w14:textId="77777777" w:rsidTr="004C6658">
        <w:trPr>
          <w:tblCellSpacing w:w="15" w:type="dxa"/>
        </w:trPr>
        <w:tc>
          <w:tcPr>
            <w:tcW w:w="0" w:type="auto"/>
            <w:vAlign w:val="center"/>
            <w:hideMark/>
          </w:tcPr>
          <w:p w14:paraId="76E6EB5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Growth 0–10%</w:t>
            </w:r>
          </w:p>
        </w:tc>
        <w:tc>
          <w:tcPr>
            <w:tcW w:w="0" w:type="auto"/>
            <w:vAlign w:val="center"/>
            <w:hideMark/>
          </w:tcPr>
          <w:p w14:paraId="13DF964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0395708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70579807" w14:textId="77777777" w:rsidTr="004C6658">
        <w:trPr>
          <w:tblCellSpacing w:w="15" w:type="dxa"/>
        </w:trPr>
        <w:tc>
          <w:tcPr>
            <w:tcW w:w="0" w:type="auto"/>
            <w:vAlign w:val="center"/>
            <w:hideMark/>
          </w:tcPr>
          <w:p w14:paraId="0887FE8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-10% to 0%</w:t>
            </w:r>
          </w:p>
        </w:tc>
        <w:tc>
          <w:tcPr>
            <w:tcW w:w="0" w:type="auto"/>
            <w:vAlign w:val="center"/>
            <w:hideMark/>
          </w:tcPr>
          <w:p w14:paraId="643B721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5794539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706AB22D" w14:textId="77777777" w:rsidTr="004C6658">
        <w:trPr>
          <w:tblCellSpacing w:w="15" w:type="dxa"/>
        </w:trPr>
        <w:tc>
          <w:tcPr>
            <w:tcW w:w="0" w:type="auto"/>
            <w:vAlign w:val="center"/>
            <w:hideMark/>
          </w:tcPr>
          <w:p w14:paraId="6B702C0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&lt; -10%</w:t>
            </w:r>
          </w:p>
        </w:tc>
        <w:tc>
          <w:tcPr>
            <w:tcW w:w="0" w:type="auto"/>
            <w:vAlign w:val="center"/>
            <w:hideMark/>
          </w:tcPr>
          <w:p w14:paraId="49558FD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727AE9D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484261F5"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35B4C65A" w14:textId="77777777" w:rsidR="004C6658" w:rsidRPr="004C6658" w:rsidRDefault="004C6658" w:rsidP="004C665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Consistent revenue growth is preferred over volatile growth. </w:t>
      </w:r>
    </w:p>
    <w:p w14:paraId="732A3612" w14:textId="77777777" w:rsidR="004C6658" w:rsidRPr="004C6658" w:rsidRDefault="004C6658" w:rsidP="004C665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revenue growth strengthens the Growth Score. </w:t>
      </w:r>
    </w:p>
    <w:p w14:paraId="35694667" w14:textId="77777777" w:rsidR="004C6658" w:rsidRPr="004C6658" w:rsidRDefault="004C6658" w:rsidP="004C665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Declining revenue should reduce the Fundamentals Score. </w:t>
      </w:r>
    </w:p>
    <w:p w14:paraId="22BEAC9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478D1CC">
          <v:rect id="_x0000_i1189" style="width:0;height:1.5pt" o:hralign="center" o:hrstd="t" o:hr="t" fillcolor="#a0a0a0" stroked="f"/>
        </w:pict>
      </w:r>
    </w:p>
    <w:p w14:paraId="07F1030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440D6D3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Revenue Growth &gt;10%</w:t>
      </w:r>
    </w:p>
    <w:p w14:paraId="5223E31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45CC03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Revenue Growth 0–10%</w:t>
      </w:r>
    </w:p>
    <w:p w14:paraId="3EA2F86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0D1FF7C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Revenue Growth</w:t>
      </w:r>
    </w:p>
    <w:p w14:paraId="1E70A8B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63063DA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Multiple Consecutive Positive Quarters</w:t>
      </w:r>
    </w:p>
    <w:p w14:paraId="0177946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p w14:paraId="6384BC0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A152B50">
          <v:rect id="_x0000_i1190" style="width:0;height:1.5pt" o:hralign="center" o:hrstd="t" o:hr="t" fillcolor="#a0a0a0" stroked="f"/>
        </w:pict>
      </w:r>
    </w:p>
    <w:p w14:paraId="762E7AD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702B59A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4A1C3E7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85%</w:t>
      </w:r>
    </w:p>
    <w:p w14:paraId="3894C4AE"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3E4A073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Four consecutive positive quarters</w:t>
      </w:r>
    </w:p>
    <w:p w14:paraId="39030E0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+5% Audited financial statements</w:t>
      </w:r>
    </w:p>
    <w:p w14:paraId="453D64CD"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5F50F2E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3F83470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Restated financial results</w:t>
      </w:r>
    </w:p>
    <w:p w14:paraId="2A47EF5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One-time business restructuring</w:t>
      </w:r>
    </w:p>
    <w:p w14:paraId="24B4DD3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4997DC0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p w14:paraId="61DFD55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6308A00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5CEF3D0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92BA2B6">
          <v:rect id="_x0000_i1191" style="width:0;height:1.5pt" o:hralign="center" o:hrstd="t" o:hr="t" fillcolor="#a0a0a0" stroked="f"/>
        </w:pict>
      </w:r>
    </w:p>
    <w:p w14:paraId="6105EAC5"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3B0C799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68A21AA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2DE66A3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7B85941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4E9068C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1510ED3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45693D0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715744E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4-Quarter Average Score</w:t>
      </w:r>
    </w:p>
    <w:p w14:paraId="3BFA57EF"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0E0C50C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Declining</w:t>
      </w:r>
    </w:p>
    <w:p w14:paraId="0982C94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Weak</w:t>
      </w:r>
    </w:p>
    <w:p w14:paraId="7970F92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60–80 → Stable</w:t>
      </w:r>
    </w:p>
    <w:p w14:paraId="7E13C5E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80–100 → Strong Growth</w:t>
      </w:r>
    </w:p>
    <w:p w14:paraId="579D171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A0DE354">
          <v:rect id="_x0000_i1192" style="width:0;height:1.5pt" o:hralign="center" o:hrstd="t" o:hr="t" fillcolor="#a0a0a0" stroked="f"/>
        </w:pict>
      </w:r>
    </w:p>
    <w:p w14:paraId="408BF99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9. Dual Trend Chart</w:t>
      </w:r>
    </w:p>
    <w:p w14:paraId="54F3EC9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2CC7BCD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05A52EA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2CFA566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Revenue Growth (%)</w:t>
      </w:r>
    </w:p>
    <w:p w14:paraId="1AD1F36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0372A60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605859E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387E847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Last 8 Quarterly Updates</w:t>
      </w:r>
    </w:p>
    <w:p w14:paraId="68AD430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59F1C71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After every quarterly financial report.</w:t>
      </w:r>
    </w:p>
    <w:p w14:paraId="2B6FFC9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1D6E4BB">
          <v:rect id="_x0000_i1193" style="width:0;height:1.5pt" o:hralign="center" o:hrstd="t" o:hr="t" fillcolor="#a0a0a0" stroked="f"/>
        </w:pict>
      </w:r>
    </w:p>
    <w:p w14:paraId="02395BD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6D85D3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Growth Above 20%</w:t>
      </w:r>
    </w:p>
    <w:p w14:paraId="420421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business is expanding rapidly with strong sales growth.</w:t>
      </w:r>
    </w:p>
    <w:p w14:paraId="339635C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Growth Between 10% and 20%</w:t>
      </w:r>
    </w:p>
    <w:p w14:paraId="2499BB0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revenue growth remains healthy and supports future earnings.</w:t>
      </w:r>
    </w:p>
    <w:p w14:paraId="38A7F9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Growth Between 0% and 10%</w:t>
      </w:r>
    </w:p>
    <w:p w14:paraId="1F1D1DB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sales continue to grow but at a moderate pace.</w:t>
      </w:r>
    </w:p>
    <w:p w14:paraId="3B09D59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Growth</w:t>
      </w:r>
    </w:p>
    <w:p w14:paraId="0354C39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Explain that declining revenue indicates weakening business demand.</w:t>
      </w:r>
    </w:p>
    <w:p w14:paraId="65E09D1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Low Confidence</w:t>
      </w:r>
    </w:p>
    <w:p w14:paraId="74F6A93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Mention that incomplete or outdated financial data may reduce reliability.</w:t>
      </w:r>
    </w:p>
    <w:p w14:paraId="35C750A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C11C441">
          <v:rect id="_x0000_i1194" style="width:0;height:1.5pt" o:hralign="center" o:hrstd="t" o:hr="t" fillcolor="#a0a0a0" stroked="f"/>
        </w:pict>
      </w:r>
    </w:p>
    <w:p w14:paraId="3A6D8882"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171AB068" w14:textId="77777777" w:rsidR="004C6658" w:rsidRPr="004C6658" w:rsidRDefault="004C6658" w:rsidP="004C665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Measures business expansion. </w:t>
      </w:r>
    </w:p>
    <w:p w14:paraId="75EE3CB3" w14:textId="77777777" w:rsidR="004C6658" w:rsidRPr="004C6658" w:rsidRDefault="004C6658" w:rsidP="004C665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Confirms demand for products and services. </w:t>
      </w:r>
    </w:p>
    <w:p w14:paraId="4F9BA4B3" w14:textId="77777777" w:rsidR="004C6658" w:rsidRPr="004C6658" w:rsidRDefault="004C6658" w:rsidP="004C665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Validates earnings growth. </w:t>
      </w:r>
    </w:p>
    <w:p w14:paraId="210A42AB" w14:textId="77777777" w:rsidR="004C6658" w:rsidRPr="004C6658" w:rsidRDefault="004C6658" w:rsidP="004C665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Indicates long-term business momentum. </w:t>
      </w:r>
    </w:p>
    <w:p w14:paraId="21AC5338" w14:textId="77777777" w:rsidR="004C6658" w:rsidRPr="004C6658" w:rsidRDefault="004C6658" w:rsidP="004C665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Less affected by accounting adjustments than EPS. </w:t>
      </w:r>
    </w:p>
    <w:p w14:paraId="6B014E8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0A2E827">
          <v:rect id="_x0000_i1195" style="width:0;height:1.5pt" o:hralign="center" o:hrstd="t" o:hr="t" fillcolor="#a0a0a0" stroked="f"/>
        </w:pict>
      </w:r>
    </w:p>
    <w:p w14:paraId="2C2F74C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33A0C6C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39F7504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5FCFC1A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404437C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141C6B3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2148FC7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080AF80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27DA6D0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0196684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022A92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Evaluating business growth trends.</w:t>
      </w:r>
    </w:p>
    <w:p w14:paraId="363C7F0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49E10A3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Yes</w:t>
      </w:r>
    </w:p>
    <w:p w14:paraId="595197B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pict w14:anchorId="04B0E16F">
          <v:rect id="_x0000_i1196" style="width:0;height:1.5pt" o:hralign="center" o:hrstd="t" o:hr="t" fillcolor="#a0a0a0" stroked="f"/>
        </w:pict>
      </w:r>
    </w:p>
    <w:p w14:paraId="2A3699C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13. Supporting Indicators</w:t>
      </w:r>
    </w:p>
    <w:p w14:paraId="0BB74882" w14:textId="77777777" w:rsidR="004C6658" w:rsidRPr="004C6658" w:rsidRDefault="004C6658" w:rsidP="004C66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w:t>
      </w:r>
    </w:p>
    <w:p w14:paraId="11656072" w14:textId="77777777" w:rsidR="004C6658" w:rsidRPr="004C6658" w:rsidRDefault="004C6658" w:rsidP="004C66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w:t>
      </w:r>
    </w:p>
    <w:p w14:paraId="7931B83F" w14:textId="77777777" w:rsidR="004C6658" w:rsidRPr="004C6658" w:rsidRDefault="004C6658" w:rsidP="004C66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Operating Margin </w:t>
      </w:r>
    </w:p>
    <w:p w14:paraId="037649FE" w14:textId="77777777" w:rsidR="004C6658" w:rsidRPr="004C6658" w:rsidRDefault="004C6658" w:rsidP="004C66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Margin </w:t>
      </w:r>
    </w:p>
    <w:p w14:paraId="6C01478C" w14:textId="77777777" w:rsidR="004C6658" w:rsidRPr="004C6658" w:rsidRDefault="004C6658" w:rsidP="004C665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Forward PE </w:t>
      </w:r>
    </w:p>
    <w:p w14:paraId="0822C17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0C51AD2">
          <v:rect id="_x0000_i1197" style="width:0;height:1.5pt" o:hralign="center" o:hrstd="t" o:hr="t" fillcolor="#a0a0a0" stroked="f"/>
        </w:pict>
      </w:r>
    </w:p>
    <w:p w14:paraId="3865CD8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14. Metadata</w:t>
      </w:r>
    </w:p>
    <w:p w14:paraId="348A63D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3C25515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NSE Financial Results</w:t>
      </w:r>
    </w:p>
    <w:p w14:paraId="7EADC0A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6AC4CF4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Backend</w:t>
      </w:r>
    </w:p>
    <w:p w14:paraId="1B501C4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6B5988A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Quarterly</w:t>
      </w:r>
    </w:p>
    <w:p w14:paraId="64DCB66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024F57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38D6024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0522A36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1CE2B08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4A2B1CD">
          <v:rect id="_x0000_i1198" style="width:0;height:1.5pt" o:hralign="center" o:hrstd="t" o:hr="t" fillcolor="#a0a0a0" stroked="f"/>
        </w:pict>
      </w:r>
    </w:p>
    <w:p w14:paraId="3F9C1C2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62F061C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3AE3DAD2" w14:textId="77777777" w:rsidR="004C6658" w:rsidRPr="004C6658" w:rsidRDefault="004C6658" w:rsidP="004C66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Revenue </w:t>
      </w:r>
    </w:p>
    <w:p w14:paraId="524E87B9" w14:textId="77777777" w:rsidR="004C6658" w:rsidRPr="004C6658" w:rsidRDefault="004C6658" w:rsidP="004C66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Previous Revenue </w:t>
      </w:r>
    </w:p>
    <w:p w14:paraId="29B9B174" w14:textId="77777777" w:rsidR="004C6658" w:rsidRPr="004C6658" w:rsidRDefault="004C6658" w:rsidP="004C66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 </w:t>
      </w:r>
    </w:p>
    <w:p w14:paraId="53D98289" w14:textId="77777777" w:rsidR="004C6658" w:rsidRPr="004C6658" w:rsidRDefault="004C6658" w:rsidP="004C66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Historical Revenue Growth </w:t>
      </w:r>
    </w:p>
    <w:p w14:paraId="5A71A1FA" w14:textId="77777777" w:rsidR="004C6658" w:rsidRPr="004C6658" w:rsidRDefault="004C6658" w:rsidP="004C66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545FD65A" w14:textId="77777777" w:rsidR="004C6658" w:rsidRPr="004C6658" w:rsidRDefault="004C6658" w:rsidP="004C66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Confidence </w:t>
      </w:r>
    </w:p>
    <w:p w14:paraId="7BAF0F10" w14:textId="77777777" w:rsidR="004C6658" w:rsidRPr="004C6658" w:rsidRDefault="004C6658" w:rsidP="004C665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05E1C6E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Prefer consolidated financial statements. If previous-period revenue is unavailable or zero, return </w:t>
      </w:r>
      <w:r w:rsidRPr="004C6658">
        <w:rPr>
          <w:rFonts w:ascii="Times New Roman" w:eastAsia="Times New Roman" w:hAnsi="Times New Roman" w:cs="Times New Roman"/>
          <w:b/>
          <w:bCs/>
          <w:sz w:val="24"/>
          <w:szCs w:val="24"/>
        </w:rPr>
        <w:t>"Insufficient Data"</w:t>
      </w:r>
      <w:r w:rsidRPr="004C6658">
        <w:rPr>
          <w:rFonts w:ascii="Times New Roman" w:eastAsia="Times New Roman" w:hAnsi="Times New Roman" w:cs="Times New Roman"/>
          <w:sz w:val="24"/>
          <w:szCs w:val="24"/>
        </w:rPr>
        <w:t xml:space="preserve"> instead of calculating growth.</w:t>
      </w:r>
    </w:p>
    <w:p w14:paraId="41979F7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08BF94C">
          <v:rect id="_x0000_i1199" style="width:0;height:1.5pt" o:hralign="center" o:hrstd="t" o:hr="t" fillcolor="#a0a0a0" stroked="f"/>
        </w:pict>
      </w:r>
    </w:p>
    <w:p w14:paraId="70CEAB5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 xml:space="preserve">16. Praxis Engine Integration </w:t>
      </w:r>
      <w:r w:rsidRPr="004C6658">
        <w:rPr>
          <w:rFonts w:ascii="Segoe UI Emoji" w:eastAsia="Times New Roman" w:hAnsi="Segoe UI Emoji" w:cs="Segoe UI Emoji"/>
          <w:b/>
          <w:bCs/>
          <w:kern w:val="36"/>
          <w:sz w:val="48"/>
          <w:szCs w:val="48"/>
        </w:rPr>
        <w:t>⭐</w:t>
      </w:r>
    </w:p>
    <w:p w14:paraId="4390318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0DC7CFF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 (Configurable)</w:t>
      </w:r>
    </w:p>
    <w:p w14:paraId="4581459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Relative Importance</w:t>
      </w:r>
    </w:p>
    <w:p w14:paraId="0B57810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Very High</w:t>
      </w:r>
    </w:p>
    <w:p w14:paraId="36FECFB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6872E92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Business Growth Assessment</w:t>
      </w:r>
    </w:p>
    <w:p w14:paraId="1B67894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6E0A829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Evaluate whether business sales are expanding consistently.</w:t>
      </w:r>
    </w:p>
    <w:p w14:paraId="2441E41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0ED7B6B3" w14:textId="77777777" w:rsidR="004C6658" w:rsidRPr="004C6658" w:rsidRDefault="004C6658" w:rsidP="004C665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Revenue Growth </w:t>
      </w:r>
    </w:p>
    <w:p w14:paraId="0488A5EE" w14:textId="77777777" w:rsidR="004C6658" w:rsidRPr="004C6658" w:rsidRDefault="004C6658" w:rsidP="004C665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EPS Growth </w:t>
      </w:r>
    </w:p>
    <w:p w14:paraId="0952581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3709CF15" w14:textId="77777777" w:rsidR="004C6658" w:rsidRPr="004C6658" w:rsidRDefault="004C6658" w:rsidP="004C665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Negative Revenue Growth </w:t>
      </w:r>
    </w:p>
    <w:p w14:paraId="0E5A2DFA" w14:textId="77777777" w:rsidR="004C6658" w:rsidRPr="004C6658" w:rsidRDefault="004C6658" w:rsidP="004C665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Declining Profit Growth </w:t>
      </w:r>
    </w:p>
    <w:p w14:paraId="34A27F0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Display Priority</w:t>
      </w:r>
    </w:p>
    <w:p w14:paraId="58EFF3A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08632BC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4E78CFC">
          <v:rect id="_x0000_i1200" style="width:0;height:1.5pt" o:hralign="center" o:hrstd="t" o:hr="t" fillcolor="#a0a0a0" stroked="f"/>
        </w:pict>
      </w:r>
    </w:p>
    <w:p w14:paraId="5F93508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17. Praxis Recommendation</w:t>
      </w:r>
    </w:p>
    <w:p w14:paraId="31851FB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should act as the </w:t>
      </w:r>
      <w:r w:rsidRPr="004C6658">
        <w:rPr>
          <w:rFonts w:ascii="Times New Roman" w:eastAsia="Times New Roman" w:hAnsi="Times New Roman" w:cs="Times New Roman"/>
          <w:b/>
          <w:bCs/>
          <w:sz w:val="24"/>
          <w:szCs w:val="24"/>
        </w:rPr>
        <w:t>primary business expansion indicator</w:t>
      </w:r>
      <w:r w:rsidRPr="004C6658">
        <w:rPr>
          <w:rFonts w:ascii="Times New Roman" w:eastAsia="Times New Roman" w:hAnsi="Times New Roman" w:cs="Times New Roman"/>
          <w:sz w:val="24"/>
          <w:szCs w:val="24"/>
        </w:rPr>
        <w:t xml:space="preserve"> in the Growth category.</w:t>
      </w:r>
    </w:p>
    <w:p w14:paraId="5B1E6CB2"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Growth Hierarchy</w:t>
      </w:r>
    </w:p>
    <w:p w14:paraId="393CD1DD" w14:textId="77777777" w:rsidR="004C6658" w:rsidRPr="004C6658" w:rsidRDefault="004C6658" w:rsidP="004C665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EPS Growth </w:t>
      </w:r>
    </w:p>
    <w:p w14:paraId="6D4BE605" w14:textId="77777777" w:rsidR="004C6658" w:rsidRPr="004C6658" w:rsidRDefault="004C6658" w:rsidP="004C665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Revenue Growth </w:t>
      </w:r>
    </w:p>
    <w:p w14:paraId="13C44CBF" w14:textId="77777777" w:rsidR="004C6658" w:rsidRPr="004C6658" w:rsidRDefault="004C6658" w:rsidP="004C665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Profit Growth </w:t>
      </w:r>
    </w:p>
    <w:p w14:paraId="6CC109D6" w14:textId="77777777" w:rsidR="004C6658" w:rsidRPr="004C6658" w:rsidRDefault="004C6658" w:rsidP="004C665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GDP Growth </w:t>
      </w:r>
    </w:p>
    <w:p w14:paraId="44A33766"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44912A2F" w14:textId="77777777" w:rsidR="004C6658" w:rsidRPr="004C6658" w:rsidRDefault="004C6658" w:rsidP="004C665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&gt;15% + EPS Growth Positive → Increase Growth Score. </w:t>
      </w:r>
    </w:p>
    <w:p w14:paraId="100C16A8" w14:textId="77777777" w:rsidR="004C6658" w:rsidRPr="004C6658" w:rsidRDefault="004C6658" w:rsidP="004C665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Positive + Improving Operating Margin → High-confidence business expansion. </w:t>
      </w:r>
    </w:p>
    <w:p w14:paraId="3ACDECBE" w14:textId="77777777" w:rsidR="004C6658" w:rsidRPr="004C6658" w:rsidRDefault="004C6658" w:rsidP="004C665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Negative + Declining Profit Growth → Reduce Growth Score. </w:t>
      </w:r>
    </w:p>
    <w:p w14:paraId="09001A55" w14:textId="77777777" w:rsidR="004C6658" w:rsidRPr="004C6658" w:rsidRDefault="004C6658" w:rsidP="004C665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Strong EPS Growth without Revenue Growth → Lower confidence and flag possible non-operational earnings improvement. </w:t>
      </w:r>
    </w:p>
    <w:p w14:paraId="63FED22B" w14:textId="64E86182"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should directly influence the </w:t>
      </w:r>
      <w:r w:rsidRPr="004C6658">
        <w:rPr>
          <w:rFonts w:ascii="Times New Roman" w:eastAsia="Times New Roman" w:hAnsi="Times New Roman" w:cs="Times New Roman"/>
          <w:b/>
          <w:bCs/>
          <w:sz w:val="24"/>
          <w:szCs w:val="24"/>
        </w:rPr>
        <w:t>Growth Score</w:t>
      </w:r>
      <w:r w:rsidRPr="004C6658">
        <w:rPr>
          <w:rFonts w:ascii="Times New Roman" w:eastAsia="Times New Roman" w:hAnsi="Times New Roman" w:cs="Times New Roman"/>
          <w:sz w:val="24"/>
          <w:szCs w:val="24"/>
        </w:rPr>
        <w:t xml:space="preserve"> and act as a validation layer for EPS Growth, ensuring that improving earnings are supported by genuine business expansion rather than one-time gains or accounting adjustments.</w:t>
      </w:r>
    </w:p>
    <w:p w14:paraId="41F1A1F3" w14:textId="6DDECC6E"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17557A0B" w14:textId="4537C8FE"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8269FAE" w14:textId="4CC87CCC"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42688CDB" w14:textId="3FF072DE"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673892A" w14:textId="1961D3EC"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90BB908" w14:textId="31C65FDE"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2589A12" w14:textId="3C1B76E3"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04ACADD9" w14:textId="6F9606F7"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69962737" w14:textId="77777777" w:rsidR="002B50C2" w:rsidRPr="004C6658"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657111C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C6658">
        <w:rPr>
          <w:rFonts w:ascii="Times New Roman" w:eastAsia="Times New Roman" w:hAnsi="Times New Roman" w:cs="Times New Roman"/>
          <w:b/>
          <w:bCs/>
          <w:color w:val="FF0000"/>
          <w:kern w:val="36"/>
          <w:sz w:val="48"/>
          <w:szCs w:val="48"/>
        </w:rPr>
        <w:lastRenderedPageBreak/>
        <w:t>7. Profit Growth</w:t>
      </w:r>
    </w:p>
    <w:p w14:paraId="3DC368D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Growth</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0C98E0E3"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5FF8187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Profit Growth</w:t>
      </w:r>
    </w:p>
    <w:p w14:paraId="4BCF695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Profit Growth</w:t>
      </w:r>
    </w:p>
    <w:p w14:paraId="6F082B5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27732CB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Growth</w:t>
      </w:r>
    </w:p>
    <w:p w14:paraId="0887B51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593BCF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the percentage growth in Net Profit compared to the previous comparable reporting period. It indicates whether companies are becoming more profitable over time after accounting for all operating expenses, taxes, and interest.</w:t>
      </w:r>
    </w:p>
    <w:p w14:paraId="668DD9C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6AE78DD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Net Profit (PAT - Profit After Tax)</w:t>
      </w:r>
    </w:p>
    <w:p w14:paraId="50394AF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40FCF7A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(Core Growth Indicator)</w:t>
      </w:r>
    </w:p>
    <w:p w14:paraId="43B5EEC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35952C3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36CE2C7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1E8CE66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After every quarterly financial </w:t>
      </w:r>
      <w:proofErr w:type="gramStart"/>
      <w:r w:rsidRPr="004C6658">
        <w:rPr>
          <w:rFonts w:ascii="Times New Roman" w:eastAsia="Times New Roman" w:hAnsi="Times New Roman" w:cs="Times New Roman"/>
          <w:sz w:val="24"/>
          <w:szCs w:val="24"/>
        </w:rPr>
        <w:t>results</w:t>
      </w:r>
      <w:proofErr w:type="gramEnd"/>
      <w:r w:rsidRPr="004C6658">
        <w:rPr>
          <w:rFonts w:ascii="Times New Roman" w:eastAsia="Times New Roman" w:hAnsi="Times New Roman" w:cs="Times New Roman"/>
          <w:sz w:val="24"/>
          <w:szCs w:val="24"/>
        </w:rPr>
        <w:t>.</w:t>
      </w:r>
    </w:p>
    <w:p w14:paraId="1E703CC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52D8C16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Profit Growth should always be evaluated alongside Revenue Growth. Rising profits supported by rising revenue indicate healthy business expansion, while profit growth without revenue growth may result from temporary cost reductions or one-time gains.</w:t>
      </w:r>
    </w:p>
    <w:p w14:paraId="6080C38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5BF1B5A">
          <v:rect id="_x0000_i1217" style="width:0;height:1.5pt" o:hralign="center" o:hrstd="t" o:hr="t" fillcolor="#a0a0a0" stroked="f"/>
        </w:pict>
      </w:r>
    </w:p>
    <w:p w14:paraId="46DA82A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2. Data Requirements</w:t>
      </w:r>
    </w:p>
    <w:p w14:paraId="47D28A92"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731AD755" w14:textId="77777777" w:rsidR="004C6658" w:rsidRPr="004C6658" w:rsidRDefault="004C6658" w:rsidP="004C665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Net Profit </w:t>
      </w:r>
    </w:p>
    <w:p w14:paraId="67C3BEFA" w14:textId="77777777" w:rsidR="004C6658" w:rsidRPr="004C6658" w:rsidRDefault="004C6658" w:rsidP="004C665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Previous Comparable Net Profit </w:t>
      </w:r>
    </w:p>
    <w:p w14:paraId="5B827AA0" w14:textId="77777777" w:rsidR="004C6658" w:rsidRPr="004C6658" w:rsidRDefault="004C6658" w:rsidP="004C665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 </w:t>
      </w:r>
    </w:p>
    <w:p w14:paraId="37A724FE" w14:textId="77777777" w:rsidR="004C6658" w:rsidRPr="004C6658" w:rsidRDefault="004C6658" w:rsidP="004C665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Profit Growth </w:t>
      </w:r>
    </w:p>
    <w:p w14:paraId="2242E816"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7BCE563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 Quarterly Reports</w:t>
      </w:r>
    </w:p>
    <w:p w14:paraId="35CEDEC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5C45BEA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 Years</w:t>
      </w:r>
    </w:p>
    <w:p w14:paraId="7AAEF8C2"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258A1540" w14:textId="77777777" w:rsidR="004C6658" w:rsidRPr="004C6658" w:rsidRDefault="004C6658" w:rsidP="004C665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Financial Results </w:t>
      </w:r>
    </w:p>
    <w:p w14:paraId="3D5E0BF2" w14:textId="77777777" w:rsidR="004C6658" w:rsidRPr="004C6658" w:rsidRDefault="004C6658" w:rsidP="004C665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Company Financial Statements </w:t>
      </w:r>
    </w:p>
    <w:p w14:paraId="5BFD18A1" w14:textId="77777777" w:rsidR="004C6658" w:rsidRPr="004C6658" w:rsidRDefault="004C6658" w:rsidP="004C665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Annual Reports </w:t>
      </w:r>
    </w:p>
    <w:p w14:paraId="17A6D0E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F88F25D">
          <v:rect id="_x0000_i1218" style="width:0;height:1.5pt" o:hralign="center" o:hrstd="t" o:hr="t" fillcolor="#a0a0a0" stroked="f"/>
        </w:pict>
      </w:r>
    </w:p>
    <w:p w14:paraId="75A8DD6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6A43583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349C2A0C"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Profit Growth (%) =</w:t>
      </w:r>
    </w:p>
    <w:p w14:paraId="6605CFB2"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((Current Net Profit − Previous Net Profit) / Previous Net Profit) × 100</w:t>
      </w:r>
    </w:p>
    <w:p w14:paraId="07FDC87E"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2E0141AC" w14:textId="77777777" w:rsidR="004C6658" w:rsidRPr="004C6658" w:rsidRDefault="004C6658" w:rsidP="004C665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the latest reported Net Profit. </w:t>
      </w:r>
    </w:p>
    <w:p w14:paraId="01412A4C" w14:textId="77777777" w:rsidR="004C6658" w:rsidRPr="004C6658" w:rsidRDefault="004C6658" w:rsidP="004C665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the comparable previous-period Net Profit (YoY preferred). </w:t>
      </w:r>
    </w:p>
    <w:p w14:paraId="3C004BAC" w14:textId="77777777" w:rsidR="004C6658" w:rsidRPr="004C6658" w:rsidRDefault="004C6658" w:rsidP="004C665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Profit Growth. </w:t>
      </w:r>
    </w:p>
    <w:p w14:paraId="7263E9D0" w14:textId="77777777" w:rsidR="004C6658" w:rsidRPr="004C6658" w:rsidRDefault="004C6658" w:rsidP="004C665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historical growth. </w:t>
      </w:r>
    </w:p>
    <w:p w14:paraId="7E0DBE2E" w14:textId="77777777" w:rsidR="004C6658" w:rsidRPr="004C6658" w:rsidRDefault="004C6658" w:rsidP="004C665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Growth Score. </w:t>
      </w:r>
    </w:p>
    <w:p w14:paraId="7045E105"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43D675D3" w14:textId="77777777" w:rsidR="004C6658" w:rsidRPr="004C6658" w:rsidRDefault="004C6658" w:rsidP="004C665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Prefer </w:t>
      </w:r>
      <w:r w:rsidRPr="004C6658">
        <w:rPr>
          <w:rFonts w:ascii="Times New Roman" w:eastAsia="Times New Roman" w:hAnsi="Times New Roman" w:cs="Times New Roman"/>
          <w:b/>
          <w:bCs/>
          <w:sz w:val="24"/>
          <w:szCs w:val="24"/>
        </w:rPr>
        <w:t>Year-over-Year (YoY)</w:t>
      </w:r>
      <w:r w:rsidRPr="004C6658">
        <w:rPr>
          <w:rFonts w:ascii="Times New Roman" w:eastAsia="Times New Roman" w:hAnsi="Times New Roman" w:cs="Times New Roman"/>
          <w:sz w:val="24"/>
          <w:szCs w:val="24"/>
        </w:rPr>
        <w:t xml:space="preserve"> comparison. </w:t>
      </w:r>
    </w:p>
    <w:p w14:paraId="157306FB" w14:textId="77777777" w:rsidR="004C6658" w:rsidRPr="004C6658" w:rsidRDefault="004C6658" w:rsidP="004C665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consolidated financial statements whenever available. </w:t>
      </w:r>
    </w:p>
    <w:p w14:paraId="78DF912A" w14:textId="77777777" w:rsidR="004C6658" w:rsidRPr="004C6658" w:rsidRDefault="004C6658" w:rsidP="004C665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Exclude extraordinary or one-time gains where possible. </w:t>
      </w:r>
    </w:p>
    <w:p w14:paraId="33D0EB2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3C682C6">
          <v:rect id="_x0000_i1219" style="width:0;height:1.5pt" o:hralign="center" o:hrstd="t" o:hr="t" fillcolor="#a0a0a0" stroked="f"/>
        </w:pict>
      </w:r>
    </w:p>
    <w:p w14:paraId="70D8EFA2"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4D6DFED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Growth</w:t>
      </w:r>
    </w:p>
    <w:p w14:paraId="0FD6EBB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Profit Growth (%)</w:t>
      </w:r>
    </w:p>
    <w:p w14:paraId="431D318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Profit</w:t>
      </w:r>
    </w:p>
    <w:p w14:paraId="5202F44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Latest Net Profit</w:t>
      </w:r>
    </w:p>
    <w:p w14:paraId="5661D32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Previous Profit</w:t>
      </w:r>
    </w:p>
    <w:p w14:paraId="01EF7CE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Comparable Previous Net Profit</w:t>
      </w:r>
    </w:p>
    <w:p w14:paraId="5B987B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03C86F7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3B69359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4E3AE53C" w14:textId="77777777" w:rsidR="004C6658" w:rsidRPr="004C6658" w:rsidRDefault="004C6658" w:rsidP="004C665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44790BC8" w14:textId="77777777" w:rsidR="004C6658" w:rsidRPr="004C6658" w:rsidRDefault="004C6658" w:rsidP="004C665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72C5E174" w14:textId="77777777" w:rsidR="004C6658" w:rsidRPr="004C6658" w:rsidRDefault="004C6658" w:rsidP="004C665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2C670B4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0827E76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Confidence</w:t>
      </w:r>
    </w:p>
    <w:p w14:paraId="7DE4262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34980BD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480C26E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193A71E">
          <v:rect id="_x0000_i1220" style="width:0;height:1.5pt" o:hralign="center" o:hrstd="t" o:hr="t" fillcolor="#a0a0a0" stroked="f"/>
        </w:pict>
      </w:r>
    </w:p>
    <w:p w14:paraId="153E45C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634"/>
        <w:gridCol w:w="1509"/>
      </w:tblGrid>
      <w:tr w:rsidR="004C6658" w:rsidRPr="004C6658" w14:paraId="6085FC03" w14:textId="77777777" w:rsidTr="004C6658">
        <w:trPr>
          <w:tblHeader/>
          <w:tblCellSpacing w:w="15" w:type="dxa"/>
        </w:trPr>
        <w:tc>
          <w:tcPr>
            <w:tcW w:w="0" w:type="auto"/>
            <w:vAlign w:val="center"/>
            <w:hideMark/>
          </w:tcPr>
          <w:p w14:paraId="11081B3F"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Condition</w:t>
            </w:r>
          </w:p>
        </w:tc>
        <w:tc>
          <w:tcPr>
            <w:tcW w:w="0" w:type="auto"/>
            <w:vAlign w:val="center"/>
            <w:hideMark/>
          </w:tcPr>
          <w:p w14:paraId="7F09F096"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3B5FAD3E"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71796DFB" w14:textId="77777777" w:rsidTr="004C6658">
        <w:trPr>
          <w:tblCellSpacing w:w="15" w:type="dxa"/>
        </w:trPr>
        <w:tc>
          <w:tcPr>
            <w:tcW w:w="0" w:type="auto"/>
            <w:vAlign w:val="center"/>
            <w:hideMark/>
          </w:tcPr>
          <w:p w14:paraId="0F21ECC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&gt; 20%</w:t>
            </w:r>
          </w:p>
        </w:tc>
        <w:tc>
          <w:tcPr>
            <w:tcW w:w="0" w:type="auto"/>
            <w:vAlign w:val="center"/>
            <w:hideMark/>
          </w:tcPr>
          <w:p w14:paraId="2385B1D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5B0532C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51E26B8D" w14:textId="77777777" w:rsidTr="004C6658">
        <w:trPr>
          <w:tblCellSpacing w:w="15" w:type="dxa"/>
        </w:trPr>
        <w:tc>
          <w:tcPr>
            <w:tcW w:w="0" w:type="auto"/>
            <w:vAlign w:val="center"/>
            <w:hideMark/>
          </w:tcPr>
          <w:p w14:paraId="5A7D1BC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10–20%</w:t>
            </w:r>
          </w:p>
        </w:tc>
        <w:tc>
          <w:tcPr>
            <w:tcW w:w="0" w:type="auto"/>
            <w:vAlign w:val="center"/>
            <w:hideMark/>
          </w:tcPr>
          <w:p w14:paraId="0C9FD38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6A83806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5FC444B2" w14:textId="77777777" w:rsidTr="004C6658">
        <w:trPr>
          <w:tblCellSpacing w:w="15" w:type="dxa"/>
        </w:trPr>
        <w:tc>
          <w:tcPr>
            <w:tcW w:w="0" w:type="auto"/>
            <w:vAlign w:val="center"/>
            <w:hideMark/>
          </w:tcPr>
          <w:p w14:paraId="7644E28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Growth 0–10%</w:t>
            </w:r>
          </w:p>
        </w:tc>
        <w:tc>
          <w:tcPr>
            <w:tcW w:w="0" w:type="auto"/>
            <w:vAlign w:val="center"/>
            <w:hideMark/>
          </w:tcPr>
          <w:p w14:paraId="4BB33AD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35E6512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4F3297EF" w14:textId="77777777" w:rsidTr="004C6658">
        <w:trPr>
          <w:tblCellSpacing w:w="15" w:type="dxa"/>
        </w:trPr>
        <w:tc>
          <w:tcPr>
            <w:tcW w:w="0" w:type="auto"/>
            <w:vAlign w:val="center"/>
            <w:hideMark/>
          </w:tcPr>
          <w:p w14:paraId="078C405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-10% to 0%</w:t>
            </w:r>
          </w:p>
        </w:tc>
        <w:tc>
          <w:tcPr>
            <w:tcW w:w="0" w:type="auto"/>
            <w:vAlign w:val="center"/>
            <w:hideMark/>
          </w:tcPr>
          <w:p w14:paraId="2A8D6E7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0ED2FCA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06C578FE" w14:textId="77777777" w:rsidTr="004C6658">
        <w:trPr>
          <w:tblCellSpacing w:w="15" w:type="dxa"/>
        </w:trPr>
        <w:tc>
          <w:tcPr>
            <w:tcW w:w="0" w:type="auto"/>
            <w:vAlign w:val="center"/>
            <w:hideMark/>
          </w:tcPr>
          <w:p w14:paraId="62FB97C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&lt; -10%</w:t>
            </w:r>
          </w:p>
        </w:tc>
        <w:tc>
          <w:tcPr>
            <w:tcW w:w="0" w:type="auto"/>
            <w:vAlign w:val="center"/>
            <w:hideMark/>
          </w:tcPr>
          <w:p w14:paraId="68FB3D2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09651AE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60BF6BC8"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2A96CABF" w14:textId="77777777" w:rsidR="004C6658" w:rsidRPr="004C6658" w:rsidRDefault="004C6658" w:rsidP="004C665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Sustained profit growth improves the Fundamentals Score. </w:t>
      </w:r>
    </w:p>
    <w:p w14:paraId="75ECDB39" w14:textId="77777777" w:rsidR="004C6658" w:rsidRPr="004C6658" w:rsidRDefault="004C6658" w:rsidP="004C665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Stable profit growth is preferred over highly volatile earnings. </w:t>
      </w:r>
    </w:p>
    <w:p w14:paraId="1AA311BF" w14:textId="77777777" w:rsidR="004C6658" w:rsidRPr="004C6658" w:rsidRDefault="004C6658" w:rsidP="004C665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Negative growth should reduce the Growth Score. </w:t>
      </w:r>
    </w:p>
    <w:p w14:paraId="7CEC7F8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87F04C9">
          <v:rect id="_x0000_i1221" style="width:0;height:1.5pt" o:hralign="center" o:hrstd="t" o:hr="t" fillcolor="#a0a0a0" stroked="f"/>
        </w:pict>
      </w:r>
    </w:p>
    <w:p w14:paraId="17E6937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03B472F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Profit Growth &gt;10%</w:t>
      </w:r>
    </w:p>
    <w:p w14:paraId="3CABE1D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2904136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Profit Growth 0–10%</w:t>
      </w:r>
    </w:p>
    <w:p w14:paraId="1C6A356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318EC2F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Profit Growth</w:t>
      </w:r>
    </w:p>
    <w:p w14:paraId="4CD9AFA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56348F8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Multiple Consecutive Positive Quarters</w:t>
      </w:r>
    </w:p>
    <w:p w14:paraId="3973238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p w14:paraId="1126EB0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BE77986">
          <v:rect id="_x0000_i1222" style="width:0;height:1.5pt" o:hralign="center" o:hrstd="t" o:hr="t" fillcolor="#a0a0a0" stroked="f"/>
        </w:pict>
      </w:r>
    </w:p>
    <w:p w14:paraId="1D1438F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2BDA8DD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7A801B5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85%</w:t>
      </w:r>
    </w:p>
    <w:p w14:paraId="1FA6A9B6"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57C9666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Four consecutive profitable quarters</w:t>
      </w:r>
    </w:p>
    <w:p w14:paraId="6469B17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+5% Revenue Growth also positive</w:t>
      </w:r>
    </w:p>
    <w:p w14:paraId="45C90ED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Audited financial statements</w:t>
      </w:r>
    </w:p>
    <w:p w14:paraId="4D4B69A8"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61212F2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511B55F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One-time exceptional gain</w:t>
      </w:r>
    </w:p>
    <w:p w14:paraId="20BED52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Financial restatement</w:t>
      </w:r>
    </w:p>
    <w:p w14:paraId="540417E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3C14DCF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p w14:paraId="076ED65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422187D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1B64505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A2DCFBE">
          <v:rect id="_x0000_i1223" style="width:0;height:1.5pt" o:hralign="center" o:hrstd="t" o:hr="t" fillcolor="#a0a0a0" stroked="f"/>
        </w:pict>
      </w:r>
    </w:p>
    <w:p w14:paraId="726A02C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67F94D7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621E42B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3DF2814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1B568B5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622C367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55322D0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00F5349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59EE50C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4-Quarter Average Score</w:t>
      </w:r>
    </w:p>
    <w:p w14:paraId="269EB62C"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31BF71E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Declining</w:t>
      </w:r>
    </w:p>
    <w:p w14:paraId="188276E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Weak</w:t>
      </w:r>
    </w:p>
    <w:p w14:paraId="6019362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60–80 → Stable</w:t>
      </w:r>
    </w:p>
    <w:p w14:paraId="423FE1D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80–100 → Strong Growth</w:t>
      </w:r>
    </w:p>
    <w:p w14:paraId="27C6F2B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A875921">
          <v:rect id="_x0000_i1224" style="width:0;height:1.5pt" o:hralign="center" o:hrstd="t" o:hr="t" fillcolor="#a0a0a0" stroked="f"/>
        </w:pict>
      </w:r>
    </w:p>
    <w:p w14:paraId="165AC7A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9. Dual Trend Chart</w:t>
      </w:r>
    </w:p>
    <w:p w14:paraId="33AB063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431A926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6D6F16C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59CA250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Profit Growth (%)</w:t>
      </w:r>
    </w:p>
    <w:p w14:paraId="3AFAD80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443D782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053654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105BE7D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Last 8 Quarterly Updates</w:t>
      </w:r>
    </w:p>
    <w:p w14:paraId="30D8E46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0BBF85C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After every quarterly financial report.</w:t>
      </w:r>
    </w:p>
    <w:p w14:paraId="4D7C2A3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5732E2A">
          <v:rect id="_x0000_i1225" style="width:0;height:1.5pt" o:hralign="center" o:hrstd="t" o:hr="t" fillcolor="#a0a0a0" stroked="f"/>
        </w:pict>
      </w:r>
    </w:p>
    <w:p w14:paraId="2F6D452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0E0368C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Growth Above 20%</w:t>
      </w:r>
    </w:p>
    <w:p w14:paraId="33D657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profitability is improving significantly and supports stronger fundamentals.</w:t>
      </w:r>
    </w:p>
    <w:p w14:paraId="40E1199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Growth Between 10% and 20%</w:t>
      </w:r>
    </w:p>
    <w:p w14:paraId="169F9B2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profit growth remains healthy.</w:t>
      </w:r>
    </w:p>
    <w:p w14:paraId="04103D8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Growth Between 0% and 10%</w:t>
      </w:r>
    </w:p>
    <w:p w14:paraId="7E1612E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profitability is improving at a modest pace.</w:t>
      </w:r>
    </w:p>
    <w:p w14:paraId="2FE0091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lastRenderedPageBreak/>
        <w:t>Negative Growth</w:t>
      </w:r>
    </w:p>
    <w:p w14:paraId="40C9F48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profits have declined compared to the previous reporting period.</w:t>
      </w:r>
    </w:p>
    <w:p w14:paraId="1EB7915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Low Confidence</w:t>
      </w:r>
    </w:p>
    <w:p w14:paraId="034FF22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Mention that one-time items or limited financial data may affect reliability.</w:t>
      </w:r>
    </w:p>
    <w:p w14:paraId="2D098E7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EBEDFAC">
          <v:rect id="_x0000_i1226" style="width:0;height:1.5pt" o:hralign="center" o:hrstd="t" o:hr="t" fillcolor="#a0a0a0" stroked="f"/>
        </w:pict>
      </w:r>
    </w:p>
    <w:p w14:paraId="62AA81C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4242BD3D" w14:textId="77777777" w:rsidR="004C6658" w:rsidRPr="004C6658" w:rsidRDefault="004C6658" w:rsidP="004C665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Measures improvement in business profitability. </w:t>
      </w:r>
    </w:p>
    <w:p w14:paraId="15629B3D" w14:textId="77777777" w:rsidR="004C6658" w:rsidRPr="004C6658" w:rsidRDefault="004C6658" w:rsidP="004C665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Confirms operational efficiency. </w:t>
      </w:r>
    </w:p>
    <w:p w14:paraId="02EA30FB" w14:textId="77777777" w:rsidR="004C6658" w:rsidRPr="004C6658" w:rsidRDefault="004C6658" w:rsidP="004C665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Supports long-term valuation. </w:t>
      </w:r>
    </w:p>
    <w:p w14:paraId="6D65BB0A" w14:textId="77777777" w:rsidR="004C6658" w:rsidRPr="004C6658" w:rsidRDefault="004C6658" w:rsidP="004C665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Helps identify sustainable earnings growth. </w:t>
      </w:r>
    </w:p>
    <w:p w14:paraId="72C54EC4" w14:textId="77777777" w:rsidR="004C6658" w:rsidRPr="004C6658" w:rsidRDefault="004C6658" w:rsidP="004C665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Validates overall business performance. </w:t>
      </w:r>
    </w:p>
    <w:p w14:paraId="166BA7C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B9777DD">
          <v:rect id="_x0000_i1227" style="width:0;height:1.5pt" o:hralign="center" o:hrstd="t" o:hr="t" fillcolor="#a0a0a0" stroked="f"/>
        </w:pict>
      </w:r>
    </w:p>
    <w:p w14:paraId="3B100011"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6FDF5B4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66BE6B9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323373B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7AEB6C8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34B0501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6AFD475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11A79FC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66A9DC8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1D7E003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05DAD0F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Evaluating long-term profitability trends.</w:t>
      </w:r>
    </w:p>
    <w:p w14:paraId="368E5F4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0EEAFE3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Yes</w:t>
      </w:r>
    </w:p>
    <w:p w14:paraId="682662E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CDE43D6">
          <v:rect id="_x0000_i1228" style="width:0;height:1.5pt" o:hralign="center" o:hrstd="t" o:hr="t" fillcolor="#a0a0a0" stroked="f"/>
        </w:pict>
      </w:r>
    </w:p>
    <w:p w14:paraId="23AC641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13. Supporting Indicators</w:t>
      </w:r>
    </w:p>
    <w:p w14:paraId="2787FCED" w14:textId="77777777" w:rsidR="004C6658" w:rsidRPr="004C6658" w:rsidRDefault="004C6658" w:rsidP="004C665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w:t>
      </w:r>
    </w:p>
    <w:p w14:paraId="26FEE9A4" w14:textId="77777777" w:rsidR="004C6658" w:rsidRPr="004C6658" w:rsidRDefault="004C6658" w:rsidP="004C665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w:t>
      </w:r>
    </w:p>
    <w:p w14:paraId="1C55EE61" w14:textId="77777777" w:rsidR="004C6658" w:rsidRPr="004C6658" w:rsidRDefault="004C6658" w:rsidP="004C665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Margin </w:t>
      </w:r>
    </w:p>
    <w:p w14:paraId="27A6C2C0" w14:textId="77777777" w:rsidR="004C6658" w:rsidRPr="004C6658" w:rsidRDefault="004C6658" w:rsidP="004C665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Operating Margin </w:t>
      </w:r>
    </w:p>
    <w:p w14:paraId="438A0C7A" w14:textId="77777777" w:rsidR="004C6658" w:rsidRPr="004C6658" w:rsidRDefault="004C6658" w:rsidP="004C665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w:t>
      </w:r>
    </w:p>
    <w:p w14:paraId="220D7E2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5DD2775">
          <v:rect id="_x0000_i1229" style="width:0;height:1.5pt" o:hralign="center" o:hrstd="t" o:hr="t" fillcolor="#a0a0a0" stroked="f"/>
        </w:pict>
      </w:r>
    </w:p>
    <w:p w14:paraId="7AADBC90"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14. Metadata</w:t>
      </w:r>
    </w:p>
    <w:p w14:paraId="7627E0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72CBBA7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NSE Financial Results</w:t>
      </w:r>
    </w:p>
    <w:p w14:paraId="0CBDAD1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63A726C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Backend</w:t>
      </w:r>
    </w:p>
    <w:p w14:paraId="1E88443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6CADBF3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Quarterly</w:t>
      </w:r>
    </w:p>
    <w:p w14:paraId="608E1EB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473C214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68D5646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5D78B0E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7A28968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03F8E9E">
          <v:rect id="_x0000_i1230" style="width:0;height:1.5pt" o:hralign="center" o:hrstd="t" o:hr="t" fillcolor="#a0a0a0" stroked="f"/>
        </w:pict>
      </w:r>
    </w:p>
    <w:p w14:paraId="0224248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3F9ABE7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2E88B5A5" w14:textId="77777777" w:rsidR="004C6658" w:rsidRPr="004C6658" w:rsidRDefault="004C6658" w:rsidP="004C665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Net Profit </w:t>
      </w:r>
    </w:p>
    <w:p w14:paraId="4DAD3516" w14:textId="77777777" w:rsidR="004C6658" w:rsidRPr="004C6658" w:rsidRDefault="004C6658" w:rsidP="004C665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Previous Net Profit </w:t>
      </w:r>
    </w:p>
    <w:p w14:paraId="08DA6509" w14:textId="77777777" w:rsidR="004C6658" w:rsidRPr="004C6658" w:rsidRDefault="004C6658" w:rsidP="004C665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 </w:t>
      </w:r>
    </w:p>
    <w:p w14:paraId="3D62CE28" w14:textId="77777777" w:rsidR="004C6658" w:rsidRPr="004C6658" w:rsidRDefault="004C6658" w:rsidP="004C665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Profit Growth </w:t>
      </w:r>
    </w:p>
    <w:p w14:paraId="128B9DBD" w14:textId="77777777" w:rsidR="004C6658" w:rsidRPr="004C6658" w:rsidRDefault="004C6658" w:rsidP="004C665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112F20E6" w14:textId="77777777" w:rsidR="004C6658" w:rsidRPr="004C6658" w:rsidRDefault="004C6658" w:rsidP="004C665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Confidence </w:t>
      </w:r>
    </w:p>
    <w:p w14:paraId="580DC4BC" w14:textId="77777777" w:rsidR="004C6658" w:rsidRPr="004C6658" w:rsidRDefault="004C6658" w:rsidP="004C665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23414E7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consolidated Profit After Tax (PAT) where available. If the previous-period profit is zero or negative, return </w:t>
      </w:r>
      <w:r w:rsidRPr="004C6658">
        <w:rPr>
          <w:rFonts w:ascii="Times New Roman" w:eastAsia="Times New Roman" w:hAnsi="Times New Roman" w:cs="Times New Roman"/>
          <w:b/>
          <w:bCs/>
          <w:sz w:val="24"/>
          <w:szCs w:val="24"/>
        </w:rPr>
        <w:t>"Insufficient Data"</w:t>
      </w:r>
      <w:r w:rsidRPr="004C6658">
        <w:rPr>
          <w:rFonts w:ascii="Times New Roman" w:eastAsia="Times New Roman" w:hAnsi="Times New Roman" w:cs="Times New Roman"/>
          <w:sz w:val="24"/>
          <w:szCs w:val="24"/>
        </w:rPr>
        <w:t xml:space="preserve"> or use an alternate comparison to avoid misleading percentage growth.</w:t>
      </w:r>
    </w:p>
    <w:p w14:paraId="1B6B1F5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14F1871">
          <v:rect id="_x0000_i1231" style="width:0;height:1.5pt" o:hralign="center" o:hrstd="t" o:hr="t" fillcolor="#a0a0a0" stroked="f"/>
        </w:pict>
      </w:r>
    </w:p>
    <w:p w14:paraId="779E21B9"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 xml:space="preserve">16. Praxis Engine Integration </w:t>
      </w:r>
      <w:r w:rsidRPr="004C6658">
        <w:rPr>
          <w:rFonts w:ascii="Segoe UI Emoji" w:eastAsia="Times New Roman" w:hAnsi="Segoe UI Emoji" w:cs="Segoe UI Emoji"/>
          <w:b/>
          <w:bCs/>
          <w:kern w:val="36"/>
          <w:sz w:val="48"/>
          <w:szCs w:val="48"/>
        </w:rPr>
        <w:t>⭐</w:t>
      </w:r>
    </w:p>
    <w:p w14:paraId="08809D3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491CD75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 (Configurable)</w:t>
      </w:r>
    </w:p>
    <w:p w14:paraId="727E2E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Relative Importance</w:t>
      </w:r>
    </w:p>
    <w:p w14:paraId="6DDAF96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049F1DB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6743D6F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Profitability Growth Assessment</w:t>
      </w:r>
    </w:p>
    <w:p w14:paraId="309A814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325E0F1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 whether corporate profitability is improving over time.</w:t>
      </w:r>
    </w:p>
    <w:p w14:paraId="5D764CE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1E705E48" w14:textId="77777777" w:rsidR="004C6658" w:rsidRPr="004C6658" w:rsidRDefault="004C6658" w:rsidP="004C665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Profit Growth </w:t>
      </w:r>
    </w:p>
    <w:p w14:paraId="57DDC460" w14:textId="77777777" w:rsidR="004C6658" w:rsidRPr="004C6658" w:rsidRDefault="004C6658" w:rsidP="004C665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Revenue Growth </w:t>
      </w:r>
    </w:p>
    <w:p w14:paraId="71C3770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72B96349" w14:textId="77777777" w:rsidR="004C6658" w:rsidRPr="004C6658" w:rsidRDefault="004C6658" w:rsidP="004C665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Negative Profit Growth </w:t>
      </w:r>
    </w:p>
    <w:p w14:paraId="4D22E686" w14:textId="77777777" w:rsidR="004C6658" w:rsidRPr="004C6658" w:rsidRDefault="004C6658" w:rsidP="004C665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Declining Net Margin </w:t>
      </w:r>
    </w:p>
    <w:p w14:paraId="4EF2780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Display Priority</w:t>
      </w:r>
    </w:p>
    <w:p w14:paraId="46F353B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7FE0B0D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pict w14:anchorId="4269871C">
          <v:rect id="_x0000_i1232" style="width:0;height:1.5pt" o:hralign="center" o:hrstd="t" o:hr="t" fillcolor="#a0a0a0" stroked="f"/>
        </w:pict>
      </w:r>
    </w:p>
    <w:p w14:paraId="69EDC60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17. Praxis Recommendation</w:t>
      </w:r>
    </w:p>
    <w:p w14:paraId="61D3002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should act as the </w:t>
      </w:r>
      <w:r w:rsidRPr="004C6658">
        <w:rPr>
          <w:rFonts w:ascii="Times New Roman" w:eastAsia="Times New Roman" w:hAnsi="Times New Roman" w:cs="Times New Roman"/>
          <w:b/>
          <w:bCs/>
          <w:sz w:val="24"/>
          <w:szCs w:val="24"/>
        </w:rPr>
        <w:t>profitability growth indicator</w:t>
      </w:r>
      <w:r w:rsidRPr="004C6658">
        <w:rPr>
          <w:rFonts w:ascii="Times New Roman" w:eastAsia="Times New Roman" w:hAnsi="Times New Roman" w:cs="Times New Roman"/>
          <w:sz w:val="24"/>
          <w:szCs w:val="24"/>
        </w:rPr>
        <w:t xml:space="preserve"> within the Growth category.</w:t>
      </w:r>
    </w:p>
    <w:p w14:paraId="76B939BE"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Growth Hierarchy</w:t>
      </w:r>
    </w:p>
    <w:p w14:paraId="3AE937F8" w14:textId="77777777" w:rsidR="004C6658" w:rsidRPr="004C6658" w:rsidRDefault="004C6658" w:rsidP="004C665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EPS Growth </w:t>
      </w:r>
    </w:p>
    <w:p w14:paraId="2014E802" w14:textId="77777777" w:rsidR="004C6658" w:rsidRPr="004C6658" w:rsidRDefault="004C6658" w:rsidP="004C665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Revenue Growth </w:t>
      </w:r>
    </w:p>
    <w:p w14:paraId="5D155011" w14:textId="77777777" w:rsidR="004C6658" w:rsidRPr="004C6658" w:rsidRDefault="004C6658" w:rsidP="004C665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Profit Growth </w:t>
      </w:r>
    </w:p>
    <w:p w14:paraId="15AD96FC" w14:textId="77777777" w:rsidR="004C6658" w:rsidRPr="004C6658" w:rsidRDefault="004C6658" w:rsidP="004C665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GDP Growth </w:t>
      </w:r>
    </w:p>
    <w:p w14:paraId="3F86103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152929E9" w14:textId="77777777" w:rsidR="004C6658" w:rsidRPr="004C6658" w:rsidRDefault="004C6658" w:rsidP="004C66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&gt;15% + Revenue Growth Positive → Increase Growth Score. </w:t>
      </w:r>
    </w:p>
    <w:p w14:paraId="673982E5" w14:textId="77777777" w:rsidR="004C6658" w:rsidRPr="004C6658" w:rsidRDefault="004C6658" w:rsidP="004C66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 Expanding Net Margin → High-confidence business improvement. </w:t>
      </w:r>
    </w:p>
    <w:p w14:paraId="245F6E53" w14:textId="77777777" w:rsidR="004C6658" w:rsidRPr="004C6658" w:rsidRDefault="004C6658" w:rsidP="004C66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Negative + Revenue Growth Negative → Reduce Growth Score significantly. </w:t>
      </w:r>
    </w:p>
    <w:p w14:paraId="7C18258A" w14:textId="77777777" w:rsidR="004C6658" w:rsidRPr="004C6658" w:rsidRDefault="004C6658" w:rsidP="004C665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Strong Profit Growth without Revenue Growth → Reduce confidence and flag potential one-time gains or cost-cutting effects. </w:t>
      </w:r>
    </w:p>
    <w:p w14:paraId="45651299" w14:textId="406B61FD"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should strengthen the </w:t>
      </w:r>
      <w:r w:rsidRPr="004C6658">
        <w:rPr>
          <w:rFonts w:ascii="Times New Roman" w:eastAsia="Times New Roman" w:hAnsi="Times New Roman" w:cs="Times New Roman"/>
          <w:b/>
          <w:bCs/>
          <w:sz w:val="24"/>
          <w:szCs w:val="24"/>
        </w:rPr>
        <w:t>Growth Score</w:t>
      </w:r>
      <w:r w:rsidRPr="004C6658">
        <w:rPr>
          <w:rFonts w:ascii="Times New Roman" w:eastAsia="Times New Roman" w:hAnsi="Times New Roman" w:cs="Times New Roman"/>
          <w:sz w:val="24"/>
          <w:szCs w:val="24"/>
        </w:rPr>
        <w:t xml:space="preserve"> by measuring improvements in corporate profitability and should be confirmed with Revenue Growth and Margin indicators before assigning a strong bullish outlook.</w:t>
      </w:r>
    </w:p>
    <w:p w14:paraId="729B0E29" w14:textId="417B2046"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2B91EE21" w14:textId="18693385"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16EA2C64" w14:textId="30B5BF36"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47754E03" w14:textId="7A3EA94B"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50F1AB24" w14:textId="623F5885"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3333DB5B" w14:textId="67730141"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42041A97" w14:textId="327CF5FD"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7EF5AA4C" w14:textId="31931913" w:rsidR="002B50C2"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7335C44B" w14:textId="77777777" w:rsidR="002B50C2" w:rsidRPr="004C6658" w:rsidRDefault="002B50C2" w:rsidP="004C6658">
      <w:pPr>
        <w:spacing w:before="100" w:beforeAutospacing="1" w:after="100" w:afterAutospacing="1" w:line="240" w:lineRule="auto"/>
        <w:rPr>
          <w:rFonts w:ascii="Times New Roman" w:eastAsia="Times New Roman" w:hAnsi="Times New Roman" w:cs="Times New Roman"/>
          <w:sz w:val="24"/>
          <w:szCs w:val="24"/>
        </w:rPr>
      </w:pPr>
    </w:p>
    <w:p w14:paraId="1EBF6180"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C6658">
        <w:rPr>
          <w:rFonts w:ascii="Times New Roman" w:eastAsia="Times New Roman" w:hAnsi="Times New Roman" w:cs="Times New Roman"/>
          <w:b/>
          <w:bCs/>
          <w:color w:val="FF0000"/>
          <w:kern w:val="36"/>
          <w:sz w:val="48"/>
          <w:szCs w:val="48"/>
        </w:rPr>
        <w:lastRenderedPageBreak/>
        <w:t>8. GDP Growth</w:t>
      </w:r>
    </w:p>
    <w:p w14:paraId="2F0C1DA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Growth</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7ED970D1"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76C9FF2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GDP Growth</w:t>
      </w:r>
    </w:p>
    <w:p w14:paraId="3E4D82E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GDP Growth</w:t>
      </w:r>
    </w:p>
    <w:p w14:paraId="3EA3EA1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3158CFE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Growth</w:t>
      </w:r>
    </w:p>
    <w:p w14:paraId="372C65F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3D50DCD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the annual growth rate of India's Gross Domestic Product (GDP). It serves as a macroeconomic indicator of overall economic expansion and provides long-term context for equity market performance.</w:t>
      </w:r>
    </w:p>
    <w:p w14:paraId="6236219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51B2874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Real GDP Growth Rate</w:t>
      </w:r>
    </w:p>
    <w:p w14:paraId="48FB785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7244967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(Macro Growth Indicator)</w:t>
      </w:r>
    </w:p>
    <w:p w14:paraId="4C4E476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7215F5F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4F8AADE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163E130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Quarterly (or whenever official GDP data is released)</w:t>
      </w:r>
    </w:p>
    <w:p w14:paraId="666C5EB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667A594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GDP Growth reflects the strength of the overall economy rather than individual companies. It should influence the Fundamentals Score with a lower weight than company-specific growth indicators such as EPS Growth and Revenue Growth.</w:t>
      </w:r>
    </w:p>
    <w:p w14:paraId="7EC0384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695A394">
          <v:rect id="_x0000_i1249" style="width:0;height:1.5pt" o:hralign="center" o:hrstd="t" o:hr="t" fillcolor="#a0a0a0" stroked="f"/>
        </w:pict>
      </w:r>
    </w:p>
    <w:p w14:paraId="2F3D130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2. Data Requirements</w:t>
      </w:r>
    </w:p>
    <w:p w14:paraId="550FD5C6"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5B88EBCA" w14:textId="77777777" w:rsidR="004C6658" w:rsidRPr="004C6658" w:rsidRDefault="004C6658" w:rsidP="004C665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GDP Growth (%) </w:t>
      </w:r>
    </w:p>
    <w:p w14:paraId="2ECA7C93" w14:textId="77777777" w:rsidR="004C6658" w:rsidRPr="004C6658" w:rsidRDefault="004C6658" w:rsidP="004C665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Previous GDP Growth (%) </w:t>
      </w:r>
    </w:p>
    <w:p w14:paraId="2919E53A" w14:textId="77777777" w:rsidR="004C6658" w:rsidRPr="004C6658" w:rsidRDefault="004C6658" w:rsidP="004C665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GDP Growth </w:t>
      </w:r>
    </w:p>
    <w:p w14:paraId="617BA308"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5F2A564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 Quarterly Reports</w:t>
      </w:r>
    </w:p>
    <w:p w14:paraId="763BC81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6E78EBD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Years</w:t>
      </w:r>
    </w:p>
    <w:p w14:paraId="2FFC286A"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77A742D8" w14:textId="77777777" w:rsidR="004C6658" w:rsidRPr="004C6658" w:rsidRDefault="004C6658" w:rsidP="004C665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Ministry of Statistics &amp; </w:t>
      </w:r>
      <w:proofErr w:type="spellStart"/>
      <w:r w:rsidRPr="004C6658">
        <w:rPr>
          <w:rFonts w:ascii="Times New Roman" w:eastAsia="Times New Roman" w:hAnsi="Times New Roman" w:cs="Times New Roman"/>
          <w:sz w:val="24"/>
          <w:szCs w:val="24"/>
        </w:rPr>
        <w:t>Programme</w:t>
      </w:r>
      <w:proofErr w:type="spellEnd"/>
      <w:r w:rsidRPr="004C6658">
        <w:rPr>
          <w:rFonts w:ascii="Times New Roman" w:eastAsia="Times New Roman" w:hAnsi="Times New Roman" w:cs="Times New Roman"/>
          <w:sz w:val="24"/>
          <w:szCs w:val="24"/>
        </w:rPr>
        <w:t xml:space="preserve"> Implementation (</w:t>
      </w:r>
      <w:proofErr w:type="spellStart"/>
      <w:r w:rsidRPr="004C6658">
        <w:rPr>
          <w:rFonts w:ascii="Times New Roman" w:eastAsia="Times New Roman" w:hAnsi="Times New Roman" w:cs="Times New Roman"/>
          <w:sz w:val="24"/>
          <w:szCs w:val="24"/>
        </w:rPr>
        <w:t>MoSPI</w:t>
      </w:r>
      <w:proofErr w:type="spellEnd"/>
      <w:r w:rsidRPr="004C6658">
        <w:rPr>
          <w:rFonts w:ascii="Times New Roman" w:eastAsia="Times New Roman" w:hAnsi="Times New Roman" w:cs="Times New Roman"/>
          <w:sz w:val="24"/>
          <w:szCs w:val="24"/>
        </w:rPr>
        <w:t xml:space="preserve">) </w:t>
      </w:r>
    </w:p>
    <w:p w14:paraId="66BC5E97" w14:textId="77777777" w:rsidR="004C6658" w:rsidRPr="004C6658" w:rsidRDefault="004C6658" w:rsidP="004C665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RBI </w:t>
      </w:r>
    </w:p>
    <w:p w14:paraId="6385A616" w14:textId="77777777" w:rsidR="004C6658" w:rsidRPr="004C6658" w:rsidRDefault="004C6658" w:rsidP="004C665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Government of India </w:t>
      </w:r>
    </w:p>
    <w:p w14:paraId="1941950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5B137A3">
          <v:rect id="_x0000_i1250" style="width:0;height:1.5pt" o:hralign="center" o:hrstd="t" o:hr="t" fillcolor="#a0a0a0" stroked="f"/>
        </w:pict>
      </w:r>
    </w:p>
    <w:p w14:paraId="03FEEAC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6580FDAD"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2090B097"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GDP Growth (%) =</w:t>
      </w:r>
    </w:p>
    <w:p w14:paraId="69D3430E"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((Current GDP − Previous GDP) / Previous GDP) × 100</w:t>
      </w:r>
    </w:p>
    <w:p w14:paraId="68C064BF"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37E5EC79" w14:textId="77777777" w:rsidR="004C6658" w:rsidRPr="004C6658" w:rsidRDefault="004C6658" w:rsidP="004C665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the latest official GDP Growth. </w:t>
      </w:r>
    </w:p>
    <w:p w14:paraId="0AADA5D1" w14:textId="77777777" w:rsidR="004C6658" w:rsidRPr="004C6658" w:rsidRDefault="004C6658" w:rsidP="004C665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the previous comparable period. </w:t>
      </w:r>
    </w:p>
    <w:p w14:paraId="42BEFDD2" w14:textId="77777777" w:rsidR="004C6658" w:rsidRPr="004C6658" w:rsidRDefault="004C6658" w:rsidP="004C665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historical GDP trends. </w:t>
      </w:r>
    </w:p>
    <w:p w14:paraId="341C324A" w14:textId="77777777" w:rsidR="004C6658" w:rsidRPr="004C6658" w:rsidRDefault="004C6658" w:rsidP="004C665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Growth Score. </w:t>
      </w:r>
    </w:p>
    <w:p w14:paraId="38C201EC"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05D087B1" w14:textId="77777777" w:rsidR="004C6658" w:rsidRPr="004C6658" w:rsidRDefault="004C6658" w:rsidP="004C665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w:t>
      </w:r>
      <w:r w:rsidRPr="004C6658">
        <w:rPr>
          <w:rFonts w:ascii="Times New Roman" w:eastAsia="Times New Roman" w:hAnsi="Times New Roman" w:cs="Times New Roman"/>
          <w:b/>
          <w:bCs/>
          <w:sz w:val="24"/>
          <w:szCs w:val="24"/>
        </w:rPr>
        <w:t>Real GDP Growth</w:t>
      </w:r>
      <w:r w:rsidRPr="004C6658">
        <w:rPr>
          <w:rFonts w:ascii="Times New Roman" w:eastAsia="Times New Roman" w:hAnsi="Times New Roman" w:cs="Times New Roman"/>
          <w:sz w:val="24"/>
          <w:szCs w:val="24"/>
        </w:rPr>
        <w:t xml:space="preserve"> rather than Nominal GDP. </w:t>
      </w:r>
    </w:p>
    <w:p w14:paraId="2BF23352" w14:textId="77777777" w:rsidR="004C6658" w:rsidRPr="004C6658" w:rsidRDefault="004C6658" w:rsidP="004C665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Prefer Year-over-Year (YoY) growth. </w:t>
      </w:r>
    </w:p>
    <w:p w14:paraId="05A7961A" w14:textId="77777777" w:rsidR="004C6658" w:rsidRPr="004C6658" w:rsidRDefault="004C6658" w:rsidP="004C665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only official government data. </w:t>
      </w:r>
    </w:p>
    <w:p w14:paraId="0936179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pict w14:anchorId="0AB03E03">
          <v:rect id="_x0000_i1251" style="width:0;height:1.5pt" o:hralign="center" o:hrstd="t" o:hr="t" fillcolor="#a0a0a0" stroked="f"/>
        </w:pict>
      </w:r>
    </w:p>
    <w:p w14:paraId="7B340C3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16C6813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Growth</w:t>
      </w:r>
    </w:p>
    <w:p w14:paraId="5856E0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GDP Growth (%)</w:t>
      </w:r>
    </w:p>
    <w:p w14:paraId="17E34B6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Previous Growth</w:t>
      </w:r>
    </w:p>
    <w:p w14:paraId="05D1AB6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Previous Comparable GDP Growth</w:t>
      </w:r>
    </w:p>
    <w:p w14:paraId="57AA671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Historical Average</w:t>
      </w:r>
    </w:p>
    <w:p w14:paraId="3F41A5D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Historical GDP Growth</w:t>
      </w:r>
    </w:p>
    <w:p w14:paraId="5482E8D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3D2B568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42A2308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632CCEE9" w14:textId="77777777" w:rsidR="004C6658" w:rsidRPr="004C6658" w:rsidRDefault="004C6658" w:rsidP="004C665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490AA400" w14:textId="77777777" w:rsidR="004C6658" w:rsidRPr="004C6658" w:rsidRDefault="004C6658" w:rsidP="004C665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3842684C" w14:textId="77777777" w:rsidR="004C6658" w:rsidRPr="004C6658" w:rsidRDefault="004C6658" w:rsidP="004C665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66A7EC5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5322E9C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Macro Confidence</w:t>
      </w:r>
    </w:p>
    <w:p w14:paraId="7D6F29C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2CA33A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w:t>
      </w:r>
    </w:p>
    <w:p w14:paraId="0D18320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647ABBE">
          <v:rect id="_x0000_i1252" style="width:0;height:1.5pt" o:hralign="center" o:hrstd="t" o:hr="t" fillcolor="#a0a0a0" stroked="f"/>
        </w:pict>
      </w:r>
    </w:p>
    <w:p w14:paraId="7444C6A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634"/>
        <w:gridCol w:w="1509"/>
      </w:tblGrid>
      <w:tr w:rsidR="004C6658" w:rsidRPr="004C6658" w14:paraId="48A25F5D" w14:textId="77777777" w:rsidTr="004C6658">
        <w:trPr>
          <w:tblHeader/>
          <w:tblCellSpacing w:w="15" w:type="dxa"/>
        </w:trPr>
        <w:tc>
          <w:tcPr>
            <w:tcW w:w="0" w:type="auto"/>
            <w:vAlign w:val="center"/>
            <w:hideMark/>
          </w:tcPr>
          <w:p w14:paraId="0D86F6A1"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Condition</w:t>
            </w:r>
          </w:p>
        </w:tc>
        <w:tc>
          <w:tcPr>
            <w:tcW w:w="0" w:type="auto"/>
            <w:vAlign w:val="center"/>
            <w:hideMark/>
          </w:tcPr>
          <w:p w14:paraId="0DB023E2"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395D3AB7"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10B67C55" w14:textId="77777777" w:rsidTr="004C6658">
        <w:trPr>
          <w:tblCellSpacing w:w="15" w:type="dxa"/>
        </w:trPr>
        <w:tc>
          <w:tcPr>
            <w:tcW w:w="0" w:type="auto"/>
            <w:vAlign w:val="center"/>
            <w:hideMark/>
          </w:tcPr>
          <w:p w14:paraId="1831474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&gt; 8%</w:t>
            </w:r>
          </w:p>
        </w:tc>
        <w:tc>
          <w:tcPr>
            <w:tcW w:w="0" w:type="auto"/>
            <w:vAlign w:val="center"/>
            <w:hideMark/>
          </w:tcPr>
          <w:p w14:paraId="358950F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6FF4784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2E943132" w14:textId="77777777" w:rsidTr="004C6658">
        <w:trPr>
          <w:tblCellSpacing w:w="15" w:type="dxa"/>
        </w:trPr>
        <w:tc>
          <w:tcPr>
            <w:tcW w:w="0" w:type="auto"/>
            <w:vAlign w:val="center"/>
            <w:hideMark/>
          </w:tcPr>
          <w:p w14:paraId="43CC823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6–8%</w:t>
            </w:r>
          </w:p>
        </w:tc>
        <w:tc>
          <w:tcPr>
            <w:tcW w:w="0" w:type="auto"/>
            <w:vAlign w:val="center"/>
            <w:hideMark/>
          </w:tcPr>
          <w:p w14:paraId="17ABB6A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318AA2C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235D25F3" w14:textId="77777777" w:rsidTr="004C6658">
        <w:trPr>
          <w:tblCellSpacing w:w="15" w:type="dxa"/>
        </w:trPr>
        <w:tc>
          <w:tcPr>
            <w:tcW w:w="0" w:type="auto"/>
            <w:vAlign w:val="center"/>
            <w:hideMark/>
          </w:tcPr>
          <w:p w14:paraId="063010C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4–6%</w:t>
            </w:r>
          </w:p>
        </w:tc>
        <w:tc>
          <w:tcPr>
            <w:tcW w:w="0" w:type="auto"/>
            <w:vAlign w:val="center"/>
            <w:hideMark/>
          </w:tcPr>
          <w:p w14:paraId="7D004BF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0F6EA92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3CE6FB9F" w14:textId="77777777" w:rsidTr="004C6658">
        <w:trPr>
          <w:tblCellSpacing w:w="15" w:type="dxa"/>
        </w:trPr>
        <w:tc>
          <w:tcPr>
            <w:tcW w:w="0" w:type="auto"/>
            <w:vAlign w:val="center"/>
            <w:hideMark/>
          </w:tcPr>
          <w:p w14:paraId="4785A5C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Growth 2–4%</w:t>
            </w:r>
          </w:p>
        </w:tc>
        <w:tc>
          <w:tcPr>
            <w:tcW w:w="0" w:type="auto"/>
            <w:vAlign w:val="center"/>
            <w:hideMark/>
          </w:tcPr>
          <w:p w14:paraId="6D34CC1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1D861BD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3C3ED1A2" w14:textId="77777777" w:rsidTr="004C6658">
        <w:trPr>
          <w:tblCellSpacing w:w="15" w:type="dxa"/>
        </w:trPr>
        <w:tc>
          <w:tcPr>
            <w:tcW w:w="0" w:type="auto"/>
            <w:vAlign w:val="center"/>
            <w:hideMark/>
          </w:tcPr>
          <w:p w14:paraId="044FC78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Growth &lt; 2%</w:t>
            </w:r>
          </w:p>
        </w:tc>
        <w:tc>
          <w:tcPr>
            <w:tcW w:w="0" w:type="auto"/>
            <w:vAlign w:val="center"/>
            <w:hideMark/>
          </w:tcPr>
          <w:p w14:paraId="03A715F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3C02388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50FCF7BC"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13B8D6DE" w14:textId="77777777" w:rsidR="004C6658" w:rsidRPr="004C6658" w:rsidRDefault="004C6658" w:rsidP="004C665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Higher GDP Growth generally supports long-term equity markets. </w:t>
      </w:r>
    </w:p>
    <w:p w14:paraId="3517C7E2" w14:textId="77777777" w:rsidR="004C6658" w:rsidRPr="004C6658" w:rsidRDefault="004C6658" w:rsidP="004C665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GDP should have a lower weight than company earnings. </w:t>
      </w:r>
    </w:p>
    <w:p w14:paraId="6C5BFCA5" w14:textId="77777777" w:rsidR="004C6658" w:rsidRPr="004C6658" w:rsidRDefault="004C6658" w:rsidP="004C665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Economic recessions should significantly reduce the score. </w:t>
      </w:r>
    </w:p>
    <w:p w14:paraId="1FF8341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69469C6">
          <v:rect id="_x0000_i1253" style="width:0;height:1.5pt" o:hralign="center" o:hrstd="t" o:hr="t" fillcolor="#a0a0a0" stroked="f"/>
        </w:pict>
      </w:r>
    </w:p>
    <w:p w14:paraId="0FF30A6F"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79E4010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GDP Growth &gt;6%</w:t>
      </w:r>
    </w:p>
    <w:p w14:paraId="3B07D53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368C567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GDP Growth 4–6%</w:t>
      </w:r>
    </w:p>
    <w:p w14:paraId="40DDA36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11D2FC5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GDP Growth &lt;4%</w:t>
      </w:r>
    </w:p>
    <w:p w14:paraId="66275F7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0F86F5A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GDP Growth</w:t>
      </w:r>
    </w:p>
    <w:p w14:paraId="478A1CA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p w14:paraId="187ABDA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6AA8AED">
          <v:rect id="_x0000_i1254" style="width:0;height:1.5pt" o:hralign="center" o:hrstd="t" o:hr="t" fillcolor="#a0a0a0" stroked="f"/>
        </w:pict>
      </w:r>
    </w:p>
    <w:p w14:paraId="37C9F72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5A1C2E7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062FA97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90%</w:t>
      </w:r>
    </w:p>
    <w:p w14:paraId="6D859F22"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3A36D8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Official Government release</w:t>
      </w:r>
    </w:p>
    <w:p w14:paraId="65104E3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Consecutive GDP improvement</w:t>
      </w:r>
    </w:p>
    <w:p w14:paraId="3D95E80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lastRenderedPageBreak/>
        <w:t>Decrease Confidence</w:t>
      </w:r>
    </w:p>
    <w:p w14:paraId="3AF3300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1E86746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Preliminary estimate</w:t>
      </w:r>
    </w:p>
    <w:p w14:paraId="272D6B6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147E97F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70%</w:t>
      </w:r>
    </w:p>
    <w:p w14:paraId="57991CD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27F39DA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99%</w:t>
      </w:r>
    </w:p>
    <w:p w14:paraId="47F4B33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7A07033">
          <v:rect id="_x0000_i1255" style="width:0;height:1.5pt" o:hralign="center" o:hrstd="t" o:hr="t" fillcolor="#a0a0a0" stroked="f"/>
        </w:pict>
      </w:r>
    </w:p>
    <w:p w14:paraId="118C15C2"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462B5F9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08FFBCF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5601FD2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255A2A7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0F1D15B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69D7D8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1888C6F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5244B8F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4-Quarter Average Score</w:t>
      </w:r>
    </w:p>
    <w:p w14:paraId="31786BB1"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73C8333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Weak Economy</w:t>
      </w:r>
    </w:p>
    <w:p w14:paraId="62620E5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Slow Growth</w:t>
      </w:r>
    </w:p>
    <w:p w14:paraId="66CBEF9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60–80 → Stable Growth</w:t>
      </w:r>
    </w:p>
    <w:p w14:paraId="38B3A6E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80–100 → Strong Growth</w:t>
      </w:r>
    </w:p>
    <w:p w14:paraId="5F17FD4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0FD4704">
          <v:rect id="_x0000_i1256" style="width:0;height:1.5pt" o:hralign="center" o:hrstd="t" o:hr="t" fillcolor="#a0a0a0" stroked="f"/>
        </w:pict>
      </w:r>
    </w:p>
    <w:p w14:paraId="365D9B6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9. Dual Trend Chart</w:t>
      </w:r>
    </w:p>
    <w:p w14:paraId="401FF19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2483537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5D26E05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377A369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GDP Growth (%)</w:t>
      </w:r>
    </w:p>
    <w:p w14:paraId="668CFA6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496FEA9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65873EC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1081352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Last 8 Quarterly Releases</w:t>
      </w:r>
    </w:p>
    <w:p w14:paraId="47E134F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25B8F39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After every official GDP release.</w:t>
      </w:r>
    </w:p>
    <w:p w14:paraId="4365D33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F9A5345">
          <v:rect id="_x0000_i1257" style="width:0;height:1.5pt" o:hralign="center" o:hrstd="t" o:hr="t" fillcolor="#a0a0a0" stroked="f"/>
        </w:pict>
      </w:r>
    </w:p>
    <w:p w14:paraId="34653D1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2AE4D60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GDP Growth Above 8%</w:t>
      </w:r>
    </w:p>
    <w:p w14:paraId="27F4638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economy is expanding strongly, supporting long-term corporate earnings.</w:t>
      </w:r>
    </w:p>
    <w:p w14:paraId="659AEB5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GDP Growth Between 6% and 8%</w:t>
      </w:r>
    </w:p>
    <w:p w14:paraId="034426E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economic growth remains healthy.</w:t>
      </w:r>
    </w:p>
    <w:p w14:paraId="689536C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GDP Growth Between 4% and 6%</w:t>
      </w:r>
    </w:p>
    <w:p w14:paraId="3F630F0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economy is growing at a stable pace.</w:t>
      </w:r>
    </w:p>
    <w:p w14:paraId="5643E9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GDP Growth Below 4%</w:t>
      </w:r>
    </w:p>
    <w:p w14:paraId="0650F82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economic momentum has slowed and may affect future corporate earnings.</w:t>
      </w:r>
    </w:p>
    <w:p w14:paraId="6B4C0AB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GDP Growth</w:t>
      </w:r>
    </w:p>
    <w:p w14:paraId="5F43EA9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Explain that the economy is contracting, increasing long-term market risk.</w:t>
      </w:r>
    </w:p>
    <w:p w14:paraId="4B8A9FA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E7970B6">
          <v:rect id="_x0000_i1258" style="width:0;height:1.5pt" o:hralign="center" o:hrstd="t" o:hr="t" fillcolor="#a0a0a0" stroked="f"/>
        </w:pict>
      </w:r>
    </w:p>
    <w:p w14:paraId="201BC7D9"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64CEA52C" w14:textId="77777777" w:rsidR="004C6658" w:rsidRPr="004C6658" w:rsidRDefault="004C6658" w:rsidP="004C665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Measures overall economic health. </w:t>
      </w:r>
    </w:p>
    <w:p w14:paraId="66A384EA" w14:textId="77777777" w:rsidR="004C6658" w:rsidRPr="004C6658" w:rsidRDefault="004C6658" w:rsidP="004C665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Supports long-term market direction. </w:t>
      </w:r>
    </w:p>
    <w:p w14:paraId="2A2EEF7C" w14:textId="77777777" w:rsidR="004C6658" w:rsidRPr="004C6658" w:rsidRDefault="004C6658" w:rsidP="004C665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Influences corporate earnings growth. </w:t>
      </w:r>
    </w:p>
    <w:p w14:paraId="65A61FCB" w14:textId="77777777" w:rsidR="004C6658" w:rsidRPr="004C6658" w:rsidRDefault="004C6658" w:rsidP="004C665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Provides macroeconomic context for valuations. </w:t>
      </w:r>
    </w:p>
    <w:p w14:paraId="311E8DFB" w14:textId="77777777" w:rsidR="004C6658" w:rsidRPr="004C6658" w:rsidRDefault="004C6658" w:rsidP="004C665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Helps assess economic cycles. </w:t>
      </w:r>
    </w:p>
    <w:p w14:paraId="7C39AAD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3E5A64B">
          <v:rect id="_x0000_i1259" style="width:0;height:1.5pt" o:hralign="center" o:hrstd="t" o:hr="t" fillcolor="#a0a0a0" stroked="f"/>
        </w:pict>
      </w:r>
    </w:p>
    <w:p w14:paraId="4B5C50C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2F93A53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4E359D9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79EBCB0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65D89A3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41A125B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5E2FDED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6D852C1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28F9082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74B9C66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15FD7D9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Long-term macroeconomic analysis.</w:t>
      </w:r>
    </w:p>
    <w:p w14:paraId="38C8D75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0BFAD0C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Yes</w:t>
      </w:r>
    </w:p>
    <w:p w14:paraId="3027E21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C298394">
          <v:rect id="_x0000_i1260" style="width:0;height:1.5pt" o:hralign="center" o:hrstd="t" o:hr="t" fillcolor="#a0a0a0" stroked="f"/>
        </w:pict>
      </w:r>
    </w:p>
    <w:p w14:paraId="0518917A"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13. Supporting Indicators</w:t>
      </w:r>
    </w:p>
    <w:p w14:paraId="1A91ACFF" w14:textId="77777777" w:rsidR="004C6658" w:rsidRPr="004C6658" w:rsidRDefault="004C6658" w:rsidP="004C665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EPS Growth </w:t>
      </w:r>
    </w:p>
    <w:p w14:paraId="61A6648A" w14:textId="77777777" w:rsidR="004C6658" w:rsidRPr="004C6658" w:rsidRDefault="004C6658" w:rsidP="004C665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Growth </w:t>
      </w:r>
    </w:p>
    <w:p w14:paraId="476BDAEC" w14:textId="77777777" w:rsidR="004C6658" w:rsidRPr="004C6658" w:rsidRDefault="004C6658" w:rsidP="004C665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w:t>
      </w:r>
    </w:p>
    <w:p w14:paraId="0FBA72F1" w14:textId="77777777" w:rsidR="004C6658" w:rsidRPr="004C6658" w:rsidRDefault="004C6658" w:rsidP="004C665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Market Cap to GDP </w:t>
      </w:r>
    </w:p>
    <w:p w14:paraId="7ED84DE8" w14:textId="77777777" w:rsidR="004C6658" w:rsidRPr="004C6658" w:rsidRDefault="004C6658" w:rsidP="004C665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FII/DII Flow </w:t>
      </w:r>
    </w:p>
    <w:p w14:paraId="4B31ACA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FA9BA07">
          <v:rect id="_x0000_i1261" style="width:0;height:1.5pt" o:hralign="center" o:hrstd="t" o:hr="t" fillcolor="#a0a0a0" stroked="f"/>
        </w:pict>
      </w:r>
    </w:p>
    <w:p w14:paraId="4BB84CF7"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14. Metadata</w:t>
      </w:r>
    </w:p>
    <w:p w14:paraId="786D8D9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1DDD25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sz w:val="24"/>
          <w:szCs w:val="24"/>
        </w:rPr>
        <w:t>MoSPI</w:t>
      </w:r>
      <w:proofErr w:type="spellEnd"/>
      <w:r w:rsidRPr="004C6658">
        <w:rPr>
          <w:rFonts w:ascii="Times New Roman" w:eastAsia="Times New Roman" w:hAnsi="Times New Roman" w:cs="Times New Roman"/>
          <w:sz w:val="24"/>
          <w:szCs w:val="24"/>
        </w:rPr>
        <w:t xml:space="preserve"> / RBI</w:t>
      </w:r>
    </w:p>
    <w:p w14:paraId="47E83B6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333B317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Official Government Data</w:t>
      </w:r>
    </w:p>
    <w:p w14:paraId="00E5564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792CD16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Quarterly</w:t>
      </w:r>
    </w:p>
    <w:p w14:paraId="4769C81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402EDD5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60EF615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5A776DE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32BF079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D5282BA">
          <v:rect id="_x0000_i1262" style="width:0;height:1.5pt" o:hralign="center" o:hrstd="t" o:hr="t" fillcolor="#a0a0a0" stroked="f"/>
        </w:pict>
      </w:r>
    </w:p>
    <w:p w14:paraId="6592DDD5"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4E55142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30F261CD" w14:textId="77777777" w:rsidR="004C6658" w:rsidRPr="004C6658" w:rsidRDefault="004C6658" w:rsidP="004C665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GDP Growth </w:t>
      </w:r>
    </w:p>
    <w:p w14:paraId="5D9EBC34" w14:textId="77777777" w:rsidR="004C6658" w:rsidRPr="004C6658" w:rsidRDefault="004C6658" w:rsidP="004C665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Previous GDP Growth </w:t>
      </w:r>
    </w:p>
    <w:p w14:paraId="2DA702B7" w14:textId="77777777" w:rsidR="004C6658" w:rsidRPr="004C6658" w:rsidRDefault="004C6658" w:rsidP="004C665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GDP Growth </w:t>
      </w:r>
    </w:p>
    <w:p w14:paraId="7B1FE890" w14:textId="77777777" w:rsidR="004C6658" w:rsidRPr="004C6658" w:rsidRDefault="004C6658" w:rsidP="004C665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1229E476" w14:textId="77777777" w:rsidR="004C6658" w:rsidRPr="004C6658" w:rsidRDefault="004C6658" w:rsidP="004C665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Confidence </w:t>
      </w:r>
    </w:p>
    <w:p w14:paraId="6C2E37FD" w14:textId="77777777" w:rsidR="004C6658" w:rsidRPr="004C6658" w:rsidRDefault="004C6658" w:rsidP="004C665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4426DCC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Update only after official GDP releases. Cache historical values for trend analysis and quarterly comparisons.</w:t>
      </w:r>
    </w:p>
    <w:p w14:paraId="21F1499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16DC76D">
          <v:rect id="_x0000_i1263" style="width:0;height:1.5pt" o:hralign="center" o:hrstd="t" o:hr="t" fillcolor="#a0a0a0" stroked="f"/>
        </w:pict>
      </w:r>
    </w:p>
    <w:p w14:paraId="409FEFC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 xml:space="preserve">16. Praxis Engine Integration </w:t>
      </w:r>
      <w:r w:rsidRPr="004C6658">
        <w:rPr>
          <w:rFonts w:ascii="Segoe UI Emoji" w:eastAsia="Times New Roman" w:hAnsi="Segoe UI Emoji" w:cs="Segoe UI Emoji"/>
          <w:b/>
          <w:bCs/>
          <w:kern w:val="36"/>
          <w:sz w:val="48"/>
          <w:szCs w:val="48"/>
        </w:rPr>
        <w:t>⭐</w:t>
      </w:r>
    </w:p>
    <w:p w14:paraId="52BE96A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74A6A46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 (Configurable)</w:t>
      </w:r>
    </w:p>
    <w:p w14:paraId="37FE5A3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Relative Importance</w:t>
      </w:r>
    </w:p>
    <w:p w14:paraId="33D8A70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w:t>
      </w:r>
    </w:p>
    <w:p w14:paraId="198BD1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23E519F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Macroeconomic Growth Assessment</w:t>
      </w:r>
    </w:p>
    <w:p w14:paraId="2723134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07A70A6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 the strength of the Indian economy and provide macroeconomic context to the Fundamentals module.</w:t>
      </w:r>
    </w:p>
    <w:p w14:paraId="2E47883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094225B7" w14:textId="77777777" w:rsidR="004C6658" w:rsidRPr="004C6658" w:rsidRDefault="004C6658" w:rsidP="004C665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GDP Growth above 6% </w:t>
      </w:r>
    </w:p>
    <w:p w14:paraId="49AD8EA2" w14:textId="77777777" w:rsidR="004C6658" w:rsidRPr="004C6658" w:rsidRDefault="004C6658" w:rsidP="004C665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Corporate Earnings Growth </w:t>
      </w:r>
    </w:p>
    <w:p w14:paraId="2245BCB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68646BA0" w14:textId="77777777" w:rsidR="004C6658" w:rsidRPr="004C6658" w:rsidRDefault="004C6658" w:rsidP="004C665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GDP Growth below 4% </w:t>
      </w:r>
    </w:p>
    <w:p w14:paraId="6F81C219" w14:textId="77777777" w:rsidR="004C6658" w:rsidRPr="004C6658" w:rsidRDefault="004C6658" w:rsidP="004C665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Weak Corporate Earnings </w:t>
      </w:r>
    </w:p>
    <w:p w14:paraId="6000254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Display Priority</w:t>
      </w:r>
    </w:p>
    <w:p w14:paraId="00A2F9B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w:t>
      </w:r>
    </w:p>
    <w:p w14:paraId="0752FB6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B8880BB">
          <v:rect id="_x0000_i1264" style="width:0;height:1.5pt" o:hralign="center" o:hrstd="t" o:hr="t" fillcolor="#a0a0a0" stroked="f"/>
        </w:pict>
      </w:r>
    </w:p>
    <w:p w14:paraId="1582BBE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17. Praxis Recommendation</w:t>
      </w:r>
    </w:p>
    <w:p w14:paraId="536EDE4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GDP Growth should serve as the </w:t>
      </w:r>
      <w:r w:rsidRPr="004C6658">
        <w:rPr>
          <w:rFonts w:ascii="Times New Roman" w:eastAsia="Times New Roman" w:hAnsi="Times New Roman" w:cs="Times New Roman"/>
          <w:b/>
          <w:bCs/>
          <w:sz w:val="24"/>
          <w:szCs w:val="24"/>
        </w:rPr>
        <w:t>macroeconomic growth indicator</w:t>
      </w:r>
      <w:r w:rsidRPr="004C6658">
        <w:rPr>
          <w:rFonts w:ascii="Times New Roman" w:eastAsia="Times New Roman" w:hAnsi="Times New Roman" w:cs="Times New Roman"/>
          <w:sz w:val="24"/>
          <w:szCs w:val="24"/>
        </w:rPr>
        <w:t xml:space="preserve"> within the Growth category.</w:t>
      </w:r>
    </w:p>
    <w:p w14:paraId="5F520DB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lastRenderedPageBreak/>
        <w:t>Growth Hierarchy</w:t>
      </w:r>
    </w:p>
    <w:p w14:paraId="69E50563" w14:textId="77777777" w:rsidR="004C6658" w:rsidRPr="004C6658" w:rsidRDefault="004C6658" w:rsidP="004C665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EPS Growth </w:t>
      </w:r>
    </w:p>
    <w:p w14:paraId="120C93FD" w14:textId="77777777" w:rsidR="004C6658" w:rsidRPr="004C6658" w:rsidRDefault="004C6658" w:rsidP="004C665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Revenue Growth </w:t>
      </w:r>
    </w:p>
    <w:p w14:paraId="07960F67" w14:textId="77777777" w:rsidR="004C6658" w:rsidRPr="004C6658" w:rsidRDefault="004C6658" w:rsidP="004C665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Profit Growth </w:t>
      </w:r>
    </w:p>
    <w:p w14:paraId="22D9A8A1" w14:textId="77777777" w:rsidR="004C6658" w:rsidRPr="004C6658" w:rsidRDefault="004C6658" w:rsidP="004C665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GDP Growth </w:t>
      </w:r>
    </w:p>
    <w:p w14:paraId="1326E38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55F3B757" w14:textId="77777777" w:rsidR="004C6658" w:rsidRPr="004C6658" w:rsidRDefault="004C6658" w:rsidP="004C665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GDP Growth &gt;6% + Positive Corporate Earnings → Increase Growth Score. </w:t>
      </w:r>
    </w:p>
    <w:p w14:paraId="01CD63C5" w14:textId="77777777" w:rsidR="004C6658" w:rsidRPr="004C6658" w:rsidRDefault="004C6658" w:rsidP="004C665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Improving GDP Growth + Rising FII Inflows → Increase Fundamentals confidence. </w:t>
      </w:r>
    </w:p>
    <w:p w14:paraId="3F7923E7" w14:textId="77777777" w:rsidR="004C6658" w:rsidRPr="004C6658" w:rsidRDefault="004C6658" w:rsidP="004C665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GDP Growth below 4% + Weak Earnings Growth → Reduce Growth Score. </w:t>
      </w:r>
    </w:p>
    <w:p w14:paraId="25633C9F" w14:textId="77777777" w:rsidR="004C6658" w:rsidRPr="004C6658" w:rsidRDefault="004C6658" w:rsidP="004C665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GDP Growth as a </w:t>
      </w:r>
      <w:r w:rsidRPr="004C6658">
        <w:rPr>
          <w:rFonts w:ascii="Times New Roman" w:eastAsia="Times New Roman" w:hAnsi="Times New Roman" w:cs="Times New Roman"/>
          <w:b/>
          <w:bCs/>
          <w:sz w:val="24"/>
          <w:szCs w:val="24"/>
        </w:rPr>
        <w:t>macro confirmation indicator</w:t>
      </w:r>
      <w:r w:rsidRPr="004C6658">
        <w:rPr>
          <w:rFonts w:ascii="Times New Roman" w:eastAsia="Times New Roman" w:hAnsi="Times New Roman" w:cs="Times New Roman"/>
          <w:sz w:val="24"/>
          <w:szCs w:val="24"/>
        </w:rPr>
        <w:t xml:space="preserve">, not as a standalone market timing signal. </w:t>
      </w:r>
    </w:p>
    <w:p w14:paraId="6B197939" w14:textId="4019472D"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GDP Growth should provide economic context for the </w:t>
      </w:r>
      <w:r w:rsidRPr="004C6658">
        <w:rPr>
          <w:rFonts w:ascii="Times New Roman" w:eastAsia="Times New Roman" w:hAnsi="Times New Roman" w:cs="Times New Roman"/>
          <w:b/>
          <w:bCs/>
          <w:sz w:val="24"/>
          <w:szCs w:val="24"/>
        </w:rPr>
        <w:t>Growth Score</w:t>
      </w:r>
      <w:r w:rsidRPr="004C6658">
        <w:rPr>
          <w:rFonts w:ascii="Times New Roman" w:eastAsia="Times New Roman" w:hAnsi="Times New Roman" w:cs="Times New Roman"/>
          <w:sz w:val="24"/>
          <w:szCs w:val="24"/>
        </w:rPr>
        <w:t xml:space="preserve"> and complement company-level indicators rather than dominate the Fundamentals module.</w:t>
      </w:r>
    </w:p>
    <w:p w14:paraId="24CC625D" w14:textId="4FE65B88"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535250C3" w14:textId="17F1394F"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1C3057D4" w14:textId="05A6287A"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526B763C" w14:textId="7FA3B230"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45F7C5D6" w14:textId="4D6D79E2"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7BE9B674" w14:textId="50097ACC"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16B8CB4A" w14:textId="4A5B8DEE"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3560B835" w14:textId="5A878D70"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1D49E6C5" w14:textId="3726C851"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65DFA078" w14:textId="4F1BFBA7"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7F920A42" w14:textId="20A088F4"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49B2BF99" w14:textId="696D2AF1"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1C156201" w14:textId="77777777" w:rsidR="00E11FEB" w:rsidRPr="004C6658"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6E4BBD77"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C6658">
        <w:rPr>
          <w:rFonts w:ascii="Times New Roman" w:eastAsia="Times New Roman" w:hAnsi="Times New Roman" w:cs="Times New Roman"/>
          <w:b/>
          <w:bCs/>
          <w:color w:val="FF0000"/>
          <w:kern w:val="36"/>
          <w:sz w:val="48"/>
          <w:szCs w:val="48"/>
        </w:rPr>
        <w:lastRenderedPageBreak/>
        <w:t>9. Return on Equity (ROE)</w:t>
      </w:r>
    </w:p>
    <w:p w14:paraId="6AB0801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Profitability</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102E773B"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61A0BE7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Return on Equity</w:t>
      </w:r>
    </w:p>
    <w:p w14:paraId="6EB8BA1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ROE</w:t>
      </w:r>
    </w:p>
    <w:p w14:paraId="3FC902A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1D771D3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Profitability</w:t>
      </w:r>
    </w:p>
    <w:p w14:paraId="7DA9172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5AE93DC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how efficiently a company generates profits using shareholders' equity. It indicates management's ability to create returns from invested capital.</w:t>
      </w:r>
    </w:p>
    <w:p w14:paraId="40F2FD3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44E7FFB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Net Profit After Tax (PAT) and Shareholders' Equity</w:t>
      </w:r>
    </w:p>
    <w:p w14:paraId="134AE5A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3B5A0CE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(Core Profitability Indicator)</w:t>
      </w:r>
    </w:p>
    <w:p w14:paraId="08AD680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7F7C051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53DD3B6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693D6AE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After every quarterly financial </w:t>
      </w:r>
      <w:proofErr w:type="gramStart"/>
      <w:r w:rsidRPr="004C6658">
        <w:rPr>
          <w:rFonts w:ascii="Times New Roman" w:eastAsia="Times New Roman" w:hAnsi="Times New Roman" w:cs="Times New Roman"/>
          <w:sz w:val="24"/>
          <w:szCs w:val="24"/>
        </w:rPr>
        <w:t>results</w:t>
      </w:r>
      <w:proofErr w:type="gramEnd"/>
      <w:r w:rsidRPr="004C6658">
        <w:rPr>
          <w:rFonts w:ascii="Times New Roman" w:eastAsia="Times New Roman" w:hAnsi="Times New Roman" w:cs="Times New Roman"/>
          <w:sz w:val="24"/>
          <w:szCs w:val="24"/>
        </w:rPr>
        <w:t>.</w:t>
      </w:r>
    </w:p>
    <w:p w14:paraId="743A59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7D820E0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ROE should always be evaluated together with the PB Ratio. A high ROE can justify a premium valuation, while a low ROE combined with a high PB Ratio may indicate an overvalued market.</w:t>
      </w:r>
    </w:p>
    <w:p w14:paraId="0161485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F703607">
          <v:rect id="_x0000_i1281" style="width:0;height:1.5pt" o:hralign="center" o:hrstd="t" o:hr="t" fillcolor="#a0a0a0" stroked="f"/>
        </w:pict>
      </w:r>
    </w:p>
    <w:p w14:paraId="0C21CA37"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2. Data Requirements</w:t>
      </w:r>
    </w:p>
    <w:p w14:paraId="07575CD4"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3D90DC83" w14:textId="77777777" w:rsidR="004C6658" w:rsidRPr="004C6658" w:rsidRDefault="004C6658" w:rsidP="004C665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Profit After Tax (PAT) </w:t>
      </w:r>
    </w:p>
    <w:p w14:paraId="79686537" w14:textId="77777777" w:rsidR="004C6658" w:rsidRPr="004C6658" w:rsidRDefault="004C6658" w:rsidP="004C665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Average Shareholders' Equity </w:t>
      </w:r>
    </w:p>
    <w:p w14:paraId="34FFEC69" w14:textId="77777777" w:rsidR="004C6658" w:rsidRPr="004C6658" w:rsidRDefault="004C6658" w:rsidP="004C665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ROE (%) </w:t>
      </w:r>
    </w:p>
    <w:p w14:paraId="591D54AE" w14:textId="77777777" w:rsidR="004C6658" w:rsidRPr="004C6658" w:rsidRDefault="004C6658" w:rsidP="004C665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ROE </w:t>
      </w:r>
    </w:p>
    <w:p w14:paraId="55467D90"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0C4BDBC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 Quarterly Reports</w:t>
      </w:r>
    </w:p>
    <w:p w14:paraId="553BFCD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795EEAB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 Years</w:t>
      </w:r>
    </w:p>
    <w:p w14:paraId="495F53EF"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6923CF90" w14:textId="77777777" w:rsidR="004C6658" w:rsidRPr="004C6658" w:rsidRDefault="004C6658" w:rsidP="004C665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Financial Results </w:t>
      </w:r>
    </w:p>
    <w:p w14:paraId="1DDEBC0E" w14:textId="77777777" w:rsidR="004C6658" w:rsidRPr="004C6658" w:rsidRDefault="004C6658" w:rsidP="004C665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Company Financial Statements </w:t>
      </w:r>
    </w:p>
    <w:p w14:paraId="04E1186A" w14:textId="77777777" w:rsidR="004C6658" w:rsidRPr="004C6658" w:rsidRDefault="004C6658" w:rsidP="004C665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Annual Reports </w:t>
      </w:r>
    </w:p>
    <w:p w14:paraId="4A725E3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ED5990F">
          <v:rect id="_x0000_i1282" style="width:0;height:1.5pt" o:hralign="center" o:hrstd="t" o:hr="t" fillcolor="#a0a0a0" stroked="f"/>
        </w:pict>
      </w:r>
    </w:p>
    <w:p w14:paraId="2096522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41DA9602"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79B99D85"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ROE (%) =</w:t>
      </w:r>
    </w:p>
    <w:p w14:paraId="60DCEC81"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(Net Profit After Tax ÷ Average Shareholders' Equity) × 100</w:t>
      </w:r>
    </w:p>
    <w:p w14:paraId="1669EE01"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78DC475E" w14:textId="77777777" w:rsidR="004C6658" w:rsidRPr="004C6658" w:rsidRDefault="004C6658" w:rsidP="004C665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Net Profit After Tax. </w:t>
      </w:r>
    </w:p>
    <w:p w14:paraId="35AAEB64" w14:textId="77777777" w:rsidR="004C6658" w:rsidRPr="004C6658" w:rsidRDefault="004C6658" w:rsidP="004C665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Average Shareholders' Equity. </w:t>
      </w:r>
    </w:p>
    <w:p w14:paraId="79153A1C" w14:textId="77777777" w:rsidR="004C6658" w:rsidRPr="004C6658" w:rsidRDefault="004C6658" w:rsidP="004C665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ROE. </w:t>
      </w:r>
    </w:p>
    <w:p w14:paraId="3E633BC2" w14:textId="77777777" w:rsidR="004C6658" w:rsidRPr="004C6658" w:rsidRDefault="004C6658" w:rsidP="004C665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historical ROE. </w:t>
      </w:r>
    </w:p>
    <w:p w14:paraId="7FF8576A" w14:textId="77777777" w:rsidR="004C6658" w:rsidRPr="004C6658" w:rsidRDefault="004C6658" w:rsidP="004C665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Profitability Score. </w:t>
      </w:r>
    </w:p>
    <w:p w14:paraId="753E8AD2"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7B608A4E" w14:textId="77777777" w:rsidR="004C6658" w:rsidRPr="004C6658" w:rsidRDefault="004C6658" w:rsidP="004C665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w:t>
      </w:r>
      <w:r w:rsidRPr="004C6658">
        <w:rPr>
          <w:rFonts w:ascii="Times New Roman" w:eastAsia="Times New Roman" w:hAnsi="Times New Roman" w:cs="Times New Roman"/>
          <w:b/>
          <w:bCs/>
          <w:sz w:val="24"/>
          <w:szCs w:val="24"/>
        </w:rPr>
        <w:t>Average Shareholders' Equity</w:t>
      </w:r>
      <w:r w:rsidRPr="004C6658">
        <w:rPr>
          <w:rFonts w:ascii="Times New Roman" w:eastAsia="Times New Roman" w:hAnsi="Times New Roman" w:cs="Times New Roman"/>
          <w:sz w:val="24"/>
          <w:szCs w:val="24"/>
        </w:rPr>
        <w:t xml:space="preserve"> where available. </w:t>
      </w:r>
    </w:p>
    <w:p w14:paraId="41A6C174" w14:textId="77777777" w:rsidR="004C6658" w:rsidRPr="004C6658" w:rsidRDefault="004C6658" w:rsidP="004C665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Prefer consolidated financial statements. </w:t>
      </w:r>
    </w:p>
    <w:p w14:paraId="3558675E" w14:textId="77777777" w:rsidR="004C6658" w:rsidRPr="004C6658" w:rsidRDefault="004C6658" w:rsidP="004C665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Compare against historical ROE trends rather than a single quarter. </w:t>
      </w:r>
    </w:p>
    <w:p w14:paraId="1B824E0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35DD195">
          <v:rect id="_x0000_i1283" style="width:0;height:1.5pt" o:hralign="center" o:hrstd="t" o:hr="t" fillcolor="#a0a0a0" stroked="f"/>
        </w:pict>
      </w:r>
    </w:p>
    <w:p w14:paraId="70F823F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7A88376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Value</w:t>
      </w:r>
    </w:p>
    <w:p w14:paraId="56C3777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ROE (%)</w:t>
      </w:r>
    </w:p>
    <w:p w14:paraId="23CAD77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Industry Benchmark</w:t>
      </w:r>
    </w:p>
    <w:p w14:paraId="37B9A64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Reference ROE</w:t>
      </w:r>
    </w:p>
    <w:p w14:paraId="682D0A1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Historical Average</w:t>
      </w:r>
    </w:p>
    <w:p w14:paraId="22EA2BA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Average ROE</w:t>
      </w:r>
    </w:p>
    <w:p w14:paraId="0C9A01E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0B470EE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40125DB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1BA169F5" w14:textId="77777777" w:rsidR="004C6658" w:rsidRPr="004C6658" w:rsidRDefault="004C6658" w:rsidP="004C665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1A6A8BE3" w14:textId="77777777" w:rsidR="004C6658" w:rsidRPr="004C6658" w:rsidRDefault="004C6658" w:rsidP="004C665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04853991" w14:textId="77777777" w:rsidR="004C6658" w:rsidRPr="004C6658" w:rsidRDefault="004C6658" w:rsidP="004C665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05FE28B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026C174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Profitability Confidence</w:t>
      </w:r>
    </w:p>
    <w:p w14:paraId="07C58D6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40CE925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4FD20AD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13E01CC">
          <v:rect id="_x0000_i1284" style="width:0;height:1.5pt" o:hralign="center" o:hrstd="t" o:hr="t" fillcolor="#a0a0a0" stroked="f"/>
        </w:pict>
      </w:r>
    </w:p>
    <w:p w14:paraId="47F69779"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34"/>
        <w:gridCol w:w="1509"/>
      </w:tblGrid>
      <w:tr w:rsidR="004C6658" w:rsidRPr="004C6658" w14:paraId="73A3E50C" w14:textId="77777777" w:rsidTr="004C6658">
        <w:trPr>
          <w:tblHeader/>
          <w:tblCellSpacing w:w="15" w:type="dxa"/>
        </w:trPr>
        <w:tc>
          <w:tcPr>
            <w:tcW w:w="0" w:type="auto"/>
            <w:vAlign w:val="center"/>
            <w:hideMark/>
          </w:tcPr>
          <w:p w14:paraId="5A1DCDBA"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ROE</w:t>
            </w:r>
          </w:p>
        </w:tc>
        <w:tc>
          <w:tcPr>
            <w:tcW w:w="0" w:type="auto"/>
            <w:vAlign w:val="center"/>
            <w:hideMark/>
          </w:tcPr>
          <w:p w14:paraId="446A516E"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3DC2C247"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67D2B818" w14:textId="77777777" w:rsidTr="004C6658">
        <w:trPr>
          <w:tblCellSpacing w:w="15" w:type="dxa"/>
        </w:trPr>
        <w:tc>
          <w:tcPr>
            <w:tcW w:w="0" w:type="auto"/>
            <w:vAlign w:val="center"/>
            <w:hideMark/>
          </w:tcPr>
          <w:p w14:paraId="7196F39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&gt;20%</w:t>
            </w:r>
          </w:p>
        </w:tc>
        <w:tc>
          <w:tcPr>
            <w:tcW w:w="0" w:type="auto"/>
            <w:vAlign w:val="center"/>
            <w:hideMark/>
          </w:tcPr>
          <w:p w14:paraId="470C005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3275AF4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5AFD56A9" w14:textId="77777777" w:rsidTr="004C6658">
        <w:trPr>
          <w:tblCellSpacing w:w="15" w:type="dxa"/>
        </w:trPr>
        <w:tc>
          <w:tcPr>
            <w:tcW w:w="0" w:type="auto"/>
            <w:vAlign w:val="center"/>
            <w:hideMark/>
          </w:tcPr>
          <w:p w14:paraId="19ED677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15–20%</w:t>
            </w:r>
          </w:p>
        </w:tc>
        <w:tc>
          <w:tcPr>
            <w:tcW w:w="0" w:type="auto"/>
            <w:vAlign w:val="center"/>
            <w:hideMark/>
          </w:tcPr>
          <w:p w14:paraId="43A7AFB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130C53F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108C2875" w14:textId="77777777" w:rsidTr="004C6658">
        <w:trPr>
          <w:tblCellSpacing w:w="15" w:type="dxa"/>
        </w:trPr>
        <w:tc>
          <w:tcPr>
            <w:tcW w:w="0" w:type="auto"/>
            <w:vAlign w:val="center"/>
            <w:hideMark/>
          </w:tcPr>
          <w:p w14:paraId="43F272E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10–15%</w:t>
            </w:r>
          </w:p>
        </w:tc>
        <w:tc>
          <w:tcPr>
            <w:tcW w:w="0" w:type="auto"/>
            <w:vAlign w:val="center"/>
            <w:hideMark/>
          </w:tcPr>
          <w:p w14:paraId="472DE14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46283BD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5E29637C" w14:textId="77777777" w:rsidTr="004C6658">
        <w:trPr>
          <w:tblCellSpacing w:w="15" w:type="dxa"/>
        </w:trPr>
        <w:tc>
          <w:tcPr>
            <w:tcW w:w="0" w:type="auto"/>
            <w:vAlign w:val="center"/>
            <w:hideMark/>
          </w:tcPr>
          <w:p w14:paraId="6BF8CE5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5–10%</w:t>
            </w:r>
          </w:p>
        </w:tc>
        <w:tc>
          <w:tcPr>
            <w:tcW w:w="0" w:type="auto"/>
            <w:vAlign w:val="center"/>
            <w:hideMark/>
          </w:tcPr>
          <w:p w14:paraId="430FF40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5610D0D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20C5ED76" w14:textId="77777777" w:rsidTr="004C6658">
        <w:trPr>
          <w:tblCellSpacing w:w="15" w:type="dxa"/>
        </w:trPr>
        <w:tc>
          <w:tcPr>
            <w:tcW w:w="0" w:type="auto"/>
            <w:vAlign w:val="center"/>
            <w:hideMark/>
          </w:tcPr>
          <w:p w14:paraId="74DA648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&lt;5%</w:t>
            </w:r>
          </w:p>
        </w:tc>
        <w:tc>
          <w:tcPr>
            <w:tcW w:w="0" w:type="auto"/>
            <w:vAlign w:val="center"/>
            <w:hideMark/>
          </w:tcPr>
          <w:p w14:paraId="794FC97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04F0B11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64338D40"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28BEB1BC" w14:textId="77777777" w:rsidR="004C6658" w:rsidRPr="004C6658" w:rsidRDefault="004C6658" w:rsidP="004C665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Higher ROE indicates stronger capital efficiency. </w:t>
      </w:r>
    </w:p>
    <w:p w14:paraId="36B538D6" w14:textId="77777777" w:rsidR="004C6658" w:rsidRPr="004C6658" w:rsidRDefault="004C6658" w:rsidP="004C665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Consistent ROE is preferred over temporary spikes. </w:t>
      </w:r>
    </w:p>
    <w:p w14:paraId="615244C7" w14:textId="77777777" w:rsidR="004C6658" w:rsidRPr="004C6658" w:rsidRDefault="004C6658" w:rsidP="004C665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Negative ROE should receive the minimum score. </w:t>
      </w:r>
    </w:p>
    <w:p w14:paraId="2C257AB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2D79939">
          <v:rect id="_x0000_i1285" style="width:0;height:1.5pt" o:hralign="center" o:hrstd="t" o:hr="t" fillcolor="#a0a0a0" stroked="f"/>
        </w:pict>
      </w:r>
    </w:p>
    <w:p w14:paraId="34E23C1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6628F8C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ROE Above 15%</w:t>
      </w:r>
    </w:p>
    <w:p w14:paraId="4CDBE43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2AD0207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ROE Between 10%–15%</w:t>
      </w:r>
    </w:p>
    <w:p w14:paraId="0D79B44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1105826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ROE Below 10%</w:t>
      </w:r>
    </w:p>
    <w:p w14:paraId="1B6859E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0D4D940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ROE</w:t>
      </w:r>
    </w:p>
    <w:p w14:paraId="7435020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p w14:paraId="309C6BF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41DD654">
          <v:rect id="_x0000_i1286" style="width:0;height:1.5pt" o:hralign="center" o:hrstd="t" o:hr="t" fillcolor="#a0a0a0" stroked="f"/>
        </w:pict>
      </w:r>
    </w:p>
    <w:p w14:paraId="7BE6A1E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59DDACC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2839249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85%</w:t>
      </w:r>
    </w:p>
    <w:p w14:paraId="333D3202"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4DB4545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Four consecutive profitable quarters</w:t>
      </w:r>
    </w:p>
    <w:p w14:paraId="1A1355E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+5% Audited financial statements</w:t>
      </w:r>
    </w:p>
    <w:p w14:paraId="72D28A4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Stable ROE trend</w:t>
      </w:r>
    </w:p>
    <w:p w14:paraId="120EC093"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5AFE7CA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7001D84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Negative equity</w:t>
      </w:r>
    </w:p>
    <w:p w14:paraId="11D411E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Large one-time profit adjustments</w:t>
      </w:r>
    </w:p>
    <w:p w14:paraId="0FBFEEF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513E381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p w14:paraId="5AFBA2F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02A72C2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6254BE6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7B43E51">
          <v:rect id="_x0000_i1287" style="width:0;height:1.5pt" o:hralign="center" o:hrstd="t" o:hr="t" fillcolor="#a0a0a0" stroked="f"/>
        </w:pict>
      </w:r>
    </w:p>
    <w:p w14:paraId="6818B1F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1670EF1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0591C17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43B8BAB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20DFE44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48467EC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537A1DC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0ED4A5A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0EE382B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4-Quarter Average Score</w:t>
      </w:r>
    </w:p>
    <w:p w14:paraId="491941F3"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6903E0F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Poor</w:t>
      </w:r>
    </w:p>
    <w:p w14:paraId="54DA4DD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Average</w:t>
      </w:r>
    </w:p>
    <w:p w14:paraId="55E89FA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60–80 → Good</w:t>
      </w:r>
    </w:p>
    <w:p w14:paraId="584170C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80–100 → Excellent</w:t>
      </w:r>
    </w:p>
    <w:p w14:paraId="61907B7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8C76F30">
          <v:rect id="_x0000_i1288" style="width:0;height:1.5pt" o:hralign="center" o:hrstd="t" o:hr="t" fillcolor="#a0a0a0" stroked="f"/>
        </w:pict>
      </w:r>
    </w:p>
    <w:p w14:paraId="7EDCDFF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9. Dual Trend Chart</w:t>
      </w:r>
    </w:p>
    <w:p w14:paraId="7A88E3D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709A8D1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7423BCA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1A08C13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ROE (%)</w:t>
      </w:r>
    </w:p>
    <w:p w14:paraId="5CE9022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7205056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45AC71A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03918AB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Last 8 Quarterly Updates</w:t>
      </w:r>
    </w:p>
    <w:p w14:paraId="0183169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1D05D08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After every quarterly financial report.</w:t>
      </w:r>
    </w:p>
    <w:p w14:paraId="031EB88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6013C09">
          <v:rect id="_x0000_i1289" style="width:0;height:1.5pt" o:hralign="center" o:hrstd="t" o:hr="t" fillcolor="#a0a0a0" stroked="f"/>
        </w:pict>
      </w:r>
    </w:p>
    <w:p w14:paraId="4C9A937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6118DC3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ROE Above 20%</w:t>
      </w:r>
    </w:p>
    <w:p w14:paraId="11C5332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company is generating excellent returns on shareholder capital.</w:t>
      </w:r>
    </w:p>
    <w:p w14:paraId="55490F3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ROE Between 15% and 20%</w:t>
      </w:r>
    </w:p>
    <w:p w14:paraId="6EDA01A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profitability remains strong.</w:t>
      </w:r>
    </w:p>
    <w:p w14:paraId="3C7E5ED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ROE Between 10% and 15%</w:t>
      </w:r>
    </w:p>
    <w:p w14:paraId="57099C5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profitability is healthy but has room for improvement.</w:t>
      </w:r>
    </w:p>
    <w:p w14:paraId="26BFE34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lastRenderedPageBreak/>
        <w:t>ROE Below 10%</w:t>
      </w:r>
    </w:p>
    <w:p w14:paraId="2A7F695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returns on shareholder equity are relatively weak.</w:t>
      </w:r>
    </w:p>
    <w:p w14:paraId="74FA330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ROE</w:t>
      </w:r>
    </w:p>
    <w:p w14:paraId="3D84ABB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company is currently destroying shareholder value.</w:t>
      </w:r>
    </w:p>
    <w:p w14:paraId="25BCAEC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868F691">
          <v:rect id="_x0000_i1290" style="width:0;height:1.5pt" o:hralign="center" o:hrstd="t" o:hr="t" fillcolor="#a0a0a0" stroked="f"/>
        </w:pict>
      </w:r>
    </w:p>
    <w:p w14:paraId="5288CDB9"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6549011B" w14:textId="77777777" w:rsidR="004C6658" w:rsidRPr="004C6658" w:rsidRDefault="004C6658" w:rsidP="004C665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Measures management efficiency. </w:t>
      </w:r>
    </w:p>
    <w:p w14:paraId="3CBC4CEA" w14:textId="77777777" w:rsidR="004C6658" w:rsidRPr="004C6658" w:rsidRDefault="004C6658" w:rsidP="004C665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Evaluates capital utilization. </w:t>
      </w:r>
    </w:p>
    <w:p w14:paraId="1EDF7A43" w14:textId="77777777" w:rsidR="004C6658" w:rsidRPr="004C6658" w:rsidRDefault="004C6658" w:rsidP="004C665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Supports valuation analysis. </w:t>
      </w:r>
    </w:p>
    <w:p w14:paraId="7E621A3A" w14:textId="77777777" w:rsidR="004C6658" w:rsidRPr="004C6658" w:rsidRDefault="004C6658" w:rsidP="004C665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Helps compare companies within the same sector. </w:t>
      </w:r>
    </w:p>
    <w:p w14:paraId="149524A0" w14:textId="77777777" w:rsidR="004C6658" w:rsidRPr="004C6658" w:rsidRDefault="004C6658" w:rsidP="004C665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Widely used by long-term investors. </w:t>
      </w:r>
    </w:p>
    <w:p w14:paraId="38AAC3D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DC7F597">
          <v:rect id="_x0000_i1291" style="width:0;height:1.5pt" o:hralign="center" o:hrstd="t" o:hr="t" fillcolor="#a0a0a0" stroked="f"/>
        </w:pict>
      </w:r>
    </w:p>
    <w:p w14:paraId="0A283EB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44FBA98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05A2B9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4EBA907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66461FC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2B3D94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7486D8B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7435643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3F52433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51E92F2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79C1EDE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Evaluating long-term profitability.</w:t>
      </w:r>
    </w:p>
    <w:p w14:paraId="1FD002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0A04296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Yes</w:t>
      </w:r>
    </w:p>
    <w:p w14:paraId="5CB60E5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B255E53">
          <v:rect id="_x0000_i1292" style="width:0;height:1.5pt" o:hralign="center" o:hrstd="t" o:hr="t" fillcolor="#a0a0a0" stroked="f"/>
        </w:pict>
      </w:r>
    </w:p>
    <w:p w14:paraId="4F5208D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13. Supporting Indicators</w:t>
      </w:r>
    </w:p>
    <w:p w14:paraId="1929C7AC" w14:textId="77777777" w:rsidR="004C6658" w:rsidRPr="004C6658" w:rsidRDefault="004C6658" w:rsidP="004C665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PB Ratio </w:t>
      </w:r>
    </w:p>
    <w:p w14:paraId="72DDC15C" w14:textId="77777777" w:rsidR="004C6658" w:rsidRPr="004C6658" w:rsidRDefault="004C6658" w:rsidP="004C665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ROCE </w:t>
      </w:r>
    </w:p>
    <w:p w14:paraId="404FE93F" w14:textId="77777777" w:rsidR="004C6658" w:rsidRPr="004C6658" w:rsidRDefault="004C6658" w:rsidP="004C665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Margin </w:t>
      </w:r>
    </w:p>
    <w:p w14:paraId="54B3F56B" w14:textId="77777777" w:rsidR="004C6658" w:rsidRPr="004C6658" w:rsidRDefault="004C6658" w:rsidP="004C665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w:t>
      </w:r>
    </w:p>
    <w:p w14:paraId="16DAFA6B" w14:textId="77777777" w:rsidR="004C6658" w:rsidRPr="004C6658" w:rsidRDefault="004C6658" w:rsidP="004C665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w:t>
      </w:r>
    </w:p>
    <w:p w14:paraId="69C5879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3A06009">
          <v:rect id="_x0000_i1293" style="width:0;height:1.5pt" o:hralign="center" o:hrstd="t" o:hr="t" fillcolor="#a0a0a0" stroked="f"/>
        </w:pict>
      </w:r>
    </w:p>
    <w:p w14:paraId="59F009A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14. Metadata</w:t>
      </w:r>
    </w:p>
    <w:p w14:paraId="68AECB9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14C5591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NSE Financial Results</w:t>
      </w:r>
    </w:p>
    <w:p w14:paraId="71F79D2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435493D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Backend</w:t>
      </w:r>
    </w:p>
    <w:p w14:paraId="1EB7B10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080F86A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Quarterly</w:t>
      </w:r>
    </w:p>
    <w:p w14:paraId="56AC989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3666CB5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2093DDC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63B05AA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7F92DBC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A90F07E">
          <v:rect id="_x0000_i1294" style="width:0;height:1.5pt" o:hralign="center" o:hrstd="t" o:hr="t" fillcolor="#a0a0a0" stroked="f"/>
        </w:pict>
      </w:r>
    </w:p>
    <w:p w14:paraId="4006986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5812180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49300E72" w14:textId="77777777" w:rsidR="004C6658" w:rsidRPr="004C6658" w:rsidRDefault="004C6658" w:rsidP="004C665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ROE </w:t>
      </w:r>
    </w:p>
    <w:p w14:paraId="53A6FFB5" w14:textId="77777777" w:rsidR="004C6658" w:rsidRPr="004C6658" w:rsidRDefault="004C6658" w:rsidP="004C665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Historical ROE </w:t>
      </w:r>
    </w:p>
    <w:p w14:paraId="48ACA9DB" w14:textId="77777777" w:rsidR="004C6658" w:rsidRPr="004C6658" w:rsidRDefault="004C6658" w:rsidP="004C665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Average Shareholders' Equity </w:t>
      </w:r>
    </w:p>
    <w:p w14:paraId="22FD0E01" w14:textId="77777777" w:rsidR="004C6658" w:rsidRPr="004C6658" w:rsidRDefault="004C6658" w:rsidP="004C665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610EEEDD" w14:textId="77777777" w:rsidR="004C6658" w:rsidRPr="004C6658" w:rsidRDefault="004C6658" w:rsidP="004C665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Confidence </w:t>
      </w:r>
    </w:p>
    <w:p w14:paraId="14EE7E76" w14:textId="77777777" w:rsidR="004C6658" w:rsidRPr="004C6658" w:rsidRDefault="004C6658" w:rsidP="004C665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1C76371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If Shareholders' Equity is zero or negative, return </w:t>
      </w:r>
      <w:r w:rsidRPr="004C6658">
        <w:rPr>
          <w:rFonts w:ascii="Times New Roman" w:eastAsia="Times New Roman" w:hAnsi="Times New Roman" w:cs="Times New Roman"/>
          <w:b/>
          <w:bCs/>
          <w:sz w:val="24"/>
          <w:szCs w:val="24"/>
        </w:rPr>
        <w:t>"Not Available"</w:t>
      </w:r>
      <w:r w:rsidRPr="004C6658">
        <w:rPr>
          <w:rFonts w:ascii="Times New Roman" w:eastAsia="Times New Roman" w:hAnsi="Times New Roman" w:cs="Times New Roman"/>
          <w:sz w:val="24"/>
          <w:szCs w:val="24"/>
        </w:rPr>
        <w:t xml:space="preserve"> and exclude the indicator from score calculation.</w:t>
      </w:r>
    </w:p>
    <w:p w14:paraId="7E2CD02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566E697">
          <v:rect id="_x0000_i1295" style="width:0;height:1.5pt" o:hralign="center" o:hrstd="t" o:hr="t" fillcolor="#a0a0a0" stroked="f"/>
        </w:pict>
      </w:r>
    </w:p>
    <w:p w14:paraId="183AAE6E"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 xml:space="preserve">16. Praxis Engine Integration </w:t>
      </w:r>
      <w:r w:rsidRPr="004C6658">
        <w:rPr>
          <w:rFonts w:ascii="Segoe UI Emoji" w:eastAsia="Times New Roman" w:hAnsi="Segoe UI Emoji" w:cs="Segoe UI Emoji"/>
          <w:b/>
          <w:bCs/>
          <w:kern w:val="36"/>
          <w:sz w:val="48"/>
          <w:szCs w:val="48"/>
        </w:rPr>
        <w:t>⭐</w:t>
      </w:r>
    </w:p>
    <w:p w14:paraId="1E427D6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77D221F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 (Configurable)</w:t>
      </w:r>
    </w:p>
    <w:p w14:paraId="536E3ED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Relative Importance</w:t>
      </w:r>
    </w:p>
    <w:p w14:paraId="476CF7B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Very High</w:t>
      </w:r>
    </w:p>
    <w:p w14:paraId="3A69451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738C29A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Profitability Assessment</w:t>
      </w:r>
    </w:p>
    <w:p w14:paraId="632671C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54E90E8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 management's ability to generate returns from shareholder capital.</w:t>
      </w:r>
    </w:p>
    <w:p w14:paraId="0BDE51D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6AF5886E" w14:textId="77777777" w:rsidR="004C6658" w:rsidRPr="004C6658" w:rsidRDefault="004C6658" w:rsidP="004C665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above 15% </w:t>
      </w:r>
    </w:p>
    <w:p w14:paraId="687FC511" w14:textId="77777777" w:rsidR="004C6658" w:rsidRPr="004C6658" w:rsidRDefault="004C6658" w:rsidP="004C665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Profit Growth </w:t>
      </w:r>
    </w:p>
    <w:p w14:paraId="08B8069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16E20B3A" w14:textId="77777777" w:rsidR="004C6658" w:rsidRPr="004C6658" w:rsidRDefault="004C6658" w:rsidP="004C665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below 10% </w:t>
      </w:r>
    </w:p>
    <w:p w14:paraId="78D57C45" w14:textId="77777777" w:rsidR="004C6658" w:rsidRPr="004C6658" w:rsidRDefault="004C6658" w:rsidP="004C665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Weak Profit Growth </w:t>
      </w:r>
    </w:p>
    <w:p w14:paraId="310D58D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Display Priority</w:t>
      </w:r>
    </w:p>
    <w:p w14:paraId="681691B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44E0F03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7A9205F">
          <v:rect id="_x0000_i1296" style="width:0;height:1.5pt" o:hralign="center" o:hrstd="t" o:hr="t" fillcolor="#a0a0a0" stroked="f"/>
        </w:pict>
      </w:r>
    </w:p>
    <w:p w14:paraId="046D87C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17. Praxis Recommendation</w:t>
      </w:r>
    </w:p>
    <w:p w14:paraId="78FE2CB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should be the </w:t>
      </w:r>
      <w:r w:rsidRPr="004C6658">
        <w:rPr>
          <w:rFonts w:ascii="Times New Roman" w:eastAsia="Times New Roman" w:hAnsi="Times New Roman" w:cs="Times New Roman"/>
          <w:b/>
          <w:bCs/>
          <w:sz w:val="24"/>
          <w:szCs w:val="24"/>
        </w:rPr>
        <w:t>primary profitability indicator</w:t>
      </w:r>
      <w:r w:rsidRPr="004C6658">
        <w:rPr>
          <w:rFonts w:ascii="Times New Roman" w:eastAsia="Times New Roman" w:hAnsi="Times New Roman" w:cs="Times New Roman"/>
          <w:sz w:val="24"/>
          <w:szCs w:val="24"/>
        </w:rPr>
        <w:t xml:space="preserve"> within the Fundamentals module.</w:t>
      </w:r>
    </w:p>
    <w:p w14:paraId="4A0733E3"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Profitability Hierarchy</w:t>
      </w:r>
    </w:p>
    <w:p w14:paraId="115E7498" w14:textId="77777777" w:rsidR="004C6658" w:rsidRPr="004C6658" w:rsidRDefault="004C6658" w:rsidP="004C665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ROE </w:t>
      </w:r>
    </w:p>
    <w:p w14:paraId="6FAB989F" w14:textId="77777777" w:rsidR="004C6658" w:rsidRPr="004C6658" w:rsidRDefault="004C6658" w:rsidP="004C665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ROCE </w:t>
      </w:r>
    </w:p>
    <w:p w14:paraId="250B0ED0" w14:textId="77777777" w:rsidR="004C6658" w:rsidRPr="004C6658" w:rsidRDefault="004C6658" w:rsidP="004C665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Net Margin </w:t>
      </w:r>
    </w:p>
    <w:p w14:paraId="34440F90" w14:textId="77777777" w:rsidR="004C6658" w:rsidRPr="004C6658" w:rsidRDefault="004C6658" w:rsidP="004C665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Operating Margin </w:t>
      </w:r>
    </w:p>
    <w:p w14:paraId="3215E486"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0CECC106" w14:textId="77777777" w:rsidR="004C6658" w:rsidRPr="004C6658" w:rsidRDefault="004C6658" w:rsidP="004C665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&gt;15% + PB Ratio below historical average → Increase Profitability Score. </w:t>
      </w:r>
    </w:p>
    <w:p w14:paraId="71B5BC92" w14:textId="77777777" w:rsidR="004C6658" w:rsidRPr="004C6658" w:rsidRDefault="004C6658" w:rsidP="004C665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&gt;20% + Positive EPS Growth → High-confidence profitability. </w:t>
      </w:r>
    </w:p>
    <w:p w14:paraId="6410327C" w14:textId="77777777" w:rsidR="004C6658" w:rsidRPr="004C6658" w:rsidRDefault="004C6658" w:rsidP="004C665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PB Ratio + Low ROE → Reduce Fundamentals Score due to valuation risk. </w:t>
      </w:r>
    </w:p>
    <w:p w14:paraId="5C6DAC37" w14:textId="77777777" w:rsidR="004C6658" w:rsidRPr="004C6658" w:rsidRDefault="004C6658" w:rsidP="004C665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Confirm ROE with ROCE before assigning a strong bullish profitability signal. </w:t>
      </w:r>
    </w:p>
    <w:p w14:paraId="7674ACC5" w14:textId="7B5D7CE7"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should be one of the highest-weighted indicators in the </w:t>
      </w:r>
      <w:r w:rsidRPr="004C6658">
        <w:rPr>
          <w:rFonts w:ascii="Times New Roman" w:eastAsia="Times New Roman" w:hAnsi="Times New Roman" w:cs="Times New Roman"/>
          <w:b/>
          <w:bCs/>
          <w:sz w:val="24"/>
          <w:szCs w:val="24"/>
        </w:rPr>
        <w:t>Profitability</w:t>
      </w:r>
      <w:r w:rsidRPr="004C6658">
        <w:rPr>
          <w:rFonts w:ascii="Times New Roman" w:eastAsia="Times New Roman" w:hAnsi="Times New Roman" w:cs="Times New Roman"/>
          <w:sz w:val="24"/>
          <w:szCs w:val="24"/>
        </w:rPr>
        <w:t xml:space="preserve"> category, directly influencing the </w:t>
      </w:r>
      <w:r w:rsidRPr="004C6658">
        <w:rPr>
          <w:rFonts w:ascii="Times New Roman" w:eastAsia="Times New Roman" w:hAnsi="Times New Roman" w:cs="Times New Roman"/>
          <w:b/>
          <w:bCs/>
          <w:sz w:val="24"/>
          <w:szCs w:val="24"/>
        </w:rPr>
        <w:t>Fundamentals Score</w:t>
      </w:r>
      <w:r w:rsidRPr="004C6658">
        <w:rPr>
          <w:rFonts w:ascii="Times New Roman" w:eastAsia="Times New Roman" w:hAnsi="Times New Roman" w:cs="Times New Roman"/>
          <w:sz w:val="24"/>
          <w:szCs w:val="24"/>
        </w:rPr>
        <w:t xml:space="preserve"> by measuring how efficiently shareholder capital is converted into profits.</w:t>
      </w:r>
    </w:p>
    <w:p w14:paraId="4C8DA121" w14:textId="706B4886"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5ECA3F34" w14:textId="0FE797EB"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42BBC6AC" w14:textId="38C18615"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7341A60C" w14:textId="388C1312"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70C464FD" w14:textId="39633ABE"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2ED1562E" w14:textId="2FE3DD4E"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53ADD4D3" w14:textId="4ECA742C"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47D7ADCD" w14:textId="383367F1"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2727538E" w14:textId="2ABD419C"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398ABB0A" w14:textId="1A363F68"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2E2B4B47" w14:textId="77777777" w:rsidR="00E11FEB" w:rsidRPr="004C6658"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077D755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color w:val="FF0000"/>
          <w:kern w:val="36"/>
          <w:sz w:val="48"/>
          <w:szCs w:val="48"/>
        </w:rPr>
        <w:lastRenderedPageBreak/>
        <w:t>10. Return on Capital Employed (ROCE)</w:t>
      </w:r>
    </w:p>
    <w:p w14:paraId="730BE8F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Profitability</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2AF6364F"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428E4D0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Return on Capital Employed</w:t>
      </w:r>
    </w:p>
    <w:p w14:paraId="682E586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ROCE</w:t>
      </w:r>
    </w:p>
    <w:p w14:paraId="5501D36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4218503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Profitability</w:t>
      </w:r>
    </w:p>
    <w:p w14:paraId="39CB1FF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4096C8A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how efficiently a company generates operating profit from the total capital employed in the business. It evaluates management's effectiveness in utilizing both equity and debt to generate returns.</w:t>
      </w:r>
    </w:p>
    <w:p w14:paraId="739BD0A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3B9FB24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EBIT (Earnings Before Interest &amp; Tax) and Capital Employed</w:t>
      </w:r>
    </w:p>
    <w:p w14:paraId="7886A54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607EA48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(Core Profitability Indicator)</w:t>
      </w:r>
    </w:p>
    <w:p w14:paraId="757B8B7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1FA230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2C32D5D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35423C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After every quarterly financial </w:t>
      </w:r>
      <w:proofErr w:type="gramStart"/>
      <w:r w:rsidRPr="004C6658">
        <w:rPr>
          <w:rFonts w:ascii="Times New Roman" w:eastAsia="Times New Roman" w:hAnsi="Times New Roman" w:cs="Times New Roman"/>
          <w:sz w:val="24"/>
          <w:szCs w:val="24"/>
        </w:rPr>
        <w:t>results</w:t>
      </w:r>
      <w:proofErr w:type="gramEnd"/>
      <w:r w:rsidRPr="004C6658">
        <w:rPr>
          <w:rFonts w:ascii="Times New Roman" w:eastAsia="Times New Roman" w:hAnsi="Times New Roman" w:cs="Times New Roman"/>
          <w:sz w:val="24"/>
          <w:szCs w:val="24"/>
        </w:rPr>
        <w:t>.</w:t>
      </w:r>
    </w:p>
    <w:p w14:paraId="4927FCD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1E1B3BB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ROCE is considered a broader profitability metric than ROE because it evaluates returns generated from the entire capital base rather than only shareholder equity.</w:t>
      </w:r>
    </w:p>
    <w:p w14:paraId="15CEA82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9A4546D">
          <v:rect id="_x0000_i1313" style="width:0;height:1.5pt" o:hralign="center" o:hrstd="t" o:hr="t" fillcolor="#a0a0a0" stroked="f"/>
        </w:pict>
      </w:r>
    </w:p>
    <w:p w14:paraId="3414F339"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2. Data Requirements</w:t>
      </w:r>
    </w:p>
    <w:p w14:paraId="22C3A781"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46FDB284" w14:textId="77777777" w:rsidR="004C6658" w:rsidRPr="004C6658" w:rsidRDefault="004C6658" w:rsidP="004C665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EBIT </w:t>
      </w:r>
    </w:p>
    <w:p w14:paraId="0DB643B4" w14:textId="77777777" w:rsidR="004C6658" w:rsidRPr="004C6658" w:rsidRDefault="004C6658" w:rsidP="004C665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Total Assets </w:t>
      </w:r>
    </w:p>
    <w:p w14:paraId="24500A63" w14:textId="77777777" w:rsidR="004C6658" w:rsidRPr="004C6658" w:rsidRDefault="004C6658" w:rsidP="004C665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Liabilities </w:t>
      </w:r>
    </w:p>
    <w:p w14:paraId="2DAB4212" w14:textId="77777777" w:rsidR="004C6658" w:rsidRPr="004C6658" w:rsidRDefault="004C6658" w:rsidP="004C665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Capital Employed </w:t>
      </w:r>
    </w:p>
    <w:p w14:paraId="1E1278AB" w14:textId="77777777" w:rsidR="004C6658" w:rsidRPr="004C6658" w:rsidRDefault="004C6658" w:rsidP="004C665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ROCE (%) </w:t>
      </w:r>
    </w:p>
    <w:p w14:paraId="45AC0094" w14:textId="77777777" w:rsidR="004C6658" w:rsidRPr="004C6658" w:rsidRDefault="004C6658" w:rsidP="004C665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ROCE </w:t>
      </w:r>
    </w:p>
    <w:p w14:paraId="729EFA0A"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57EB4E6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 Quarterly Reports</w:t>
      </w:r>
    </w:p>
    <w:p w14:paraId="792B166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0508A4C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 Years</w:t>
      </w:r>
    </w:p>
    <w:p w14:paraId="37A70558"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1D84D5A4" w14:textId="77777777" w:rsidR="004C6658" w:rsidRPr="004C6658" w:rsidRDefault="004C6658" w:rsidP="004C665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Financial Results </w:t>
      </w:r>
    </w:p>
    <w:p w14:paraId="0C04B1CC" w14:textId="77777777" w:rsidR="004C6658" w:rsidRPr="004C6658" w:rsidRDefault="004C6658" w:rsidP="004C665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Company Financial Statements </w:t>
      </w:r>
    </w:p>
    <w:p w14:paraId="2B25A1F2" w14:textId="77777777" w:rsidR="004C6658" w:rsidRPr="004C6658" w:rsidRDefault="004C6658" w:rsidP="004C665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Annual Reports </w:t>
      </w:r>
    </w:p>
    <w:p w14:paraId="5DC29BA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047A221">
          <v:rect id="_x0000_i1314" style="width:0;height:1.5pt" o:hralign="center" o:hrstd="t" o:hr="t" fillcolor="#a0a0a0" stroked="f"/>
        </w:pict>
      </w:r>
    </w:p>
    <w:p w14:paraId="0DDA2E3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062C821A"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7487CBCD"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ROCE (%) =</w:t>
      </w:r>
    </w:p>
    <w:p w14:paraId="18A265B2"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(EBIT ÷ Capital Employed) × 100</w:t>
      </w:r>
    </w:p>
    <w:p w14:paraId="292418A2"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D1D6D1"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Capital Employed =</w:t>
      </w:r>
    </w:p>
    <w:p w14:paraId="552AF334"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Total Assets − Current Liabilities</w:t>
      </w:r>
    </w:p>
    <w:p w14:paraId="6BC10594"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66FFE9FC" w14:textId="77777777" w:rsidR="004C6658" w:rsidRPr="004C6658" w:rsidRDefault="004C6658" w:rsidP="004C665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EBIT. </w:t>
      </w:r>
    </w:p>
    <w:p w14:paraId="02C0660E" w14:textId="77777777" w:rsidR="004C6658" w:rsidRPr="004C6658" w:rsidRDefault="004C6658" w:rsidP="004C665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Capital Employed. </w:t>
      </w:r>
    </w:p>
    <w:p w14:paraId="2A17E414" w14:textId="77777777" w:rsidR="004C6658" w:rsidRPr="004C6658" w:rsidRDefault="004C6658" w:rsidP="004C665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ROCE. </w:t>
      </w:r>
    </w:p>
    <w:p w14:paraId="7195A78F" w14:textId="77777777" w:rsidR="004C6658" w:rsidRPr="004C6658" w:rsidRDefault="004C6658" w:rsidP="004C665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historical ROCE. </w:t>
      </w:r>
    </w:p>
    <w:p w14:paraId="154A170E" w14:textId="77777777" w:rsidR="004C6658" w:rsidRPr="004C6658" w:rsidRDefault="004C6658" w:rsidP="004C665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Profitability Score. </w:t>
      </w:r>
    </w:p>
    <w:p w14:paraId="5663428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lastRenderedPageBreak/>
        <w:t>Notes</w:t>
      </w:r>
    </w:p>
    <w:p w14:paraId="38FC626E" w14:textId="77777777" w:rsidR="004C6658" w:rsidRPr="004C6658" w:rsidRDefault="004C6658" w:rsidP="004C665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the latest reported financial statements. </w:t>
      </w:r>
    </w:p>
    <w:p w14:paraId="4558D593" w14:textId="77777777" w:rsidR="004C6658" w:rsidRPr="004C6658" w:rsidRDefault="004C6658" w:rsidP="004C665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Prefer consolidated financials. </w:t>
      </w:r>
    </w:p>
    <w:p w14:paraId="7C064A68" w14:textId="77777777" w:rsidR="004C6658" w:rsidRPr="004C6658" w:rsidRDefault="004C6658" w:rsidP="004C665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ROCE against historical trends for consistency. </w:t>
      </w:r>
    </w:p>
    <w:p w14:paraId="1861681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7239F3B">
          <v:rect id="_x0000_i1315" style="width:0;height:1.5pt" o:hralign="center" o:hrstd="t" o:hr="t" fillcolor="#a0a0a0" stroked="f"/>
        </w:pict>
      </w:r>
    </w:p>
    <w:p w14:paraId="6BE36BB5"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0EA7FCC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Value</w:t>
      </w:r>
    </w:p>
    <w:p w14:paraId="5D99729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ROCE (%)</w:t>
      </w:r>
    </w:p>
    <w:p w14:paraId="62CD5D2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Capital Employed</w:t>
      </w:r>
    </w:p>
    <w:p w14:paraId="7B7B5C4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Capital Employed</w:t>
      </w:r>
    </w:p>
    <w:p w14:paraId="4690426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Historical Average</w:t>
      </w:r>
    </w:p>
    <w:p w14:paraId="2751044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Average ROCE</w:t>
      </w:r>
    </w:p>
    <w:p w14:paraId="6A1DBF8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12489C0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0697263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6FA1EC1C" w14:textId="77777777" w:rsidR="004C6658" w:rsidRPr="004C6658" w:rsidRDefault="004C6658" w:rsidP="004C665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31EBF019" w14:textId="77777777" w:rsidR="004C6658" w:rsidRPr="004C6658" w:rsidRDefault="004C6658" w:rsidP="004C665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4366C7B9" w14:textId="77777777" w:rsidR="004C6658" w:rsidRPr="004C6658" w:rsidRDefault="004C6658" w:rsidP="004C665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5908D97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438BEB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Profitability Confidence</w:t>
      </w:r>
    </w:p>
    <w:p w14:paraId="69E684F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4B87D57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351518F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CA09311">
          <v:rect id="_x0000_i1316" style="width:0;height:1.5pt" o:hralign="center" o:hrstd="t" o:hr="t" fillcolor="#a0a0a0" stroked="f"/>
        </w:pict>
      </w:r>
    </w:p>
    <w:p w14:paraId="056C64D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34"/>
        <w:gridCol w:w="1509"/>
      </w:tblGrid>
      <w:tr w:rsidR="004C6658" w:rsidRPr="004C6658" w14:paraId="1F6E27B0" w14:textId="77777777" w:rsidTr="004C6658">
        <w:trPr>
          <w:tblHeader/>
          <w:tblCellSpacing w:w="15" w:type="dxa"/>
        </w:trPr>
        <w:tc>
          <w:tcPr>
            <w:tcW w:w="0" w:type="auto"/>
            <w:vAlign w:val="center"/>
            <w:hideMark/>
          </w:tcPr>
          <w:p w14:paraId="2A64ADFF"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lastRenderedPageBreak/>
              <w:t>ROCE</w:t>
            </w:r>
          </w:p>
        </w:tc>
        <w:tc>
          <w:tcPr>
            <w:tcW w:w="0" w:type="auto"/>
            <w:vAlign w:val="center"/>
            <w:hideMark/>
          </w:tcPr>
          <w:p w14:paraId="7373E414"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4001C84E"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13A598C8" w14:textId="77777777" w:rsidTr="004C6658">
        <w:trPr>
          <w:tblCellSpacing w:w="15" w:type="dxa"/>
        </w:trPr>
        <w:tc>
          <w:tcPr>
            <w:tcW w:w="0" w:type="auto"/>
            <w:vAlign w:val="center"/>
            <w:hideMark/>
          </w:tcPr>
          <w:p w14:paraId="5FF54C2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&gt;20%</w:t>
            </w:r>
          </w:p>
        </w:tc>
        <w:tc>
          <w:tcPr>
            <w:tcW w:w="0" w:type="auto"/>
            <w:vAlign w:val="center"/>
            <w:hideMark/>
          </w:tcPr>
          <w:p w14:paraId="6076428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33E2821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3E859F08" w14:textId="77777777" w:rsidTr="004C6658">
        <w:trPr>
          <w:tblCellSpacing w:w="15" w:type="dxa"/>
        </w:trPr>
        <w:tc>
          <w:tcPr>
            <w:tcW w:w="0" w:type="auto"/>
            <w:vAlign w:val="center"/>
            <w:hideMark/>
          </w:tcPr>
          <w:p w14:paraId="52E2DDC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15–20%</w:t>
            </w:r>
          </w:p>
        </w:tc>
        <w:tc>
          <w:tcPr>
            <w:tcW w:w="0" w:type="auto"/>
            <w:vAlign w:val="center"/>
            <w:hideMark/>
          </w:tcPr>
          <w:p w14:paraId="6462690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2E639CD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41BEF7BB" w14:textId="77777777" w:rsidTr="004C6658">
        <w:trPr>
          <w:tblCellSpacing w:w="15" w:type="dxa"/>
        </w:trPr>
        <w:tc>
          <w:tcPr>
            <w:tcW w:w="0" w:type="auto"/>
            <w:vAlign w:val="center"/>
            <w:hideMark/>
          </w:tcPr>
          <w:p w14:paraId="2732BA1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10–15%</w:t>
            </w:r>
          </w:p>
        </w:tc>
        <w:tc>
          <w:tcPr>
            <w:tcW w:w="0" w:type="auto"/>
            <w:vAlign w:val="center"/>
            <w:hideMark/>
          </w:tcPr>
          <w:p w14:paraId="6019E96F"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5D1D227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7904F24B" w14:textId="77777777" w:rsidTr="004C6658">
        <w:trPr>
          <w:tblCellSpacing w:w="15" w:type="dxa"/>
        </w:trPr>
        <w:tc>
          <w:tcPr>
            <w:tcW w:w="0" w:type="auto"/>
            <w:vAlign w:val="center"/>
            <w:hideMark/>
          </w:tcPr>
          <w:p w14:paraId="5632A0F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5–10%</w:t>
            </w:r>
          </w:p>
        </w:tc>
        <w:tc>
          <w:tcPr>
            <w:tcW w:w="0" w:type="auto"/>
            <w:vAlign w:val="center"/>
            <w:hideMark/>
          </w:tcPr>
          <w:p w14:paraId="6F5704D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78629542"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6A81C45B" w14:textId="77777777" w:rsidTr="004C6658">
        <w:trPr>
          <w:tblCellSpacing w:w="15" w:type="dxa"/>
        </w:trPr>
        <w:tc>
          <w:tcPr>
            <w:tcW w:w="0" w:type="auto"/>
            <w:vAlign w:val="center"/>
            <w:hideMark/>
          </w:tcPr>
          <w:p w14:paraId="4DD0280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&lt;5%</w:t>
            </w:r>
          </w:p>
        </w:tc>
        <w:tc>
          <w:tcPr>
            <w:tcW w:w="0" w:type="auto"/>
            <w:vAlign w:val="center"/>
            <w:hideMark/>
          </w:tcPr>
          <w:p w14:paraId="459D377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3B669C2A"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0F56D3BE"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1105DD18" w14:textId="77777777" w:rsidR="004C6658" w:rsidRPr="004C6658" w:rsidRDefault="004C6658" w:rsidP="004C665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Higher ROCE indicates efficient capital utilization. </w:t>
      </w:r>
    </w:p>
    <w:p w14:paraId="28FF969F" w14:textId="77777777" w:rsidR="004C6658" w:rsidRPr="004C6658" w:rsidRDefault="004C6658" w:rsidP="004C665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Stable ROCE over multiple quarters is preferred. </w:t>
      </w:r>
    </w:p>
    <w:p w14:paraId="70420E60" w14:textId="77777777" w:rsidR="004C6658" w:rsidRPr="004C6658" w:rsidRDefault="004C6658" w:rsidP="004C665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Negative ROCE receives the minimum score. </w:t>
      </w:r>
    </w:p>
    <w:p w14:paraId="312E770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736DDF4">
          <v:rect id="_x0000_i1317" style="width:0;height:1.5pt" o:hralign="center" o:hrstd="t" o:hr="t" fillcolor="#a0a0a0" stroked="f"/>
        </w:pict>
      </w:r>
    </w:p>
    <w:p w14:paraId="5E9A296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5B34368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ROCE Above 15%</w:t>
      </w:r>
    </w:p>
    <w:p w14:paraId="7D1CC38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53857D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ROCE Between 10%–15%</w:t>
      </w:r>
    </w:p>
    <w:p w14:paraId="431BAE0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17F0D70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ROCE Below 10%</w:t>
      </w:r>
    </w:p>
    <w:p w14:paraId="0D760B2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04958D7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ROCE</w:t>
      </w:r>
    </w:p>
    <w:p w14:paraId="7860C29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p w14:paraId="33168CE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EED86E6">
          <v:rect id="_x0000_i1318" style="width:0;height:1.5pt" o:hralign="center" o:hrstd="t" o:hr="t" fillcolor="#a0a0a0" stroked="f"/>
        </w:pict>
      </w:r>
    </w:p>
    <w:p w14:paraId="03273BD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132EEE5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0A7932A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85%</w:t>
      </w:r>
    </w:p>
    <w:p w14:paraId="669A0FDB"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3F5F2BC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+5% Four consecutive profitable quarters</w:t>
      </w:r>
    </w:p>
    <w:p w14:paraId="4120899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Stable ROCE trend</w:t>
      </w:r>
    </w:p>
    <w:p w14:paraId="184AC36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Audited financial statements</w:t>
      </w:r>
    </w:p>
    <w:p w14:paraId="073697E4"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546DC10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1192C9B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Negative Capital Employed</w:t>
      </w:r>
    </w:p>
    <w:p w14:paraId="47503BD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One-time exceptional operating income</w:t>
      </w:r>
    </w:p>
    <w:p w14:paraId="6C150F0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7EEDA06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p w14:paraId="7D2EB5B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03FE909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57FDB99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95CF44D">
          <v:rect id="_x0000_i1319" style="width:0;height:1.5pt" o:hralign="center" o:hrstd="t" o:hr="t" fillcolor="#a0a0a0" stroked="f"/>
        </w:pict>
      </w:r>
    </w:p>
    <w:p w14:paraId="3BC67DD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48D5CD8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4D3BD2D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0B1497E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3013BD2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004B506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6458B98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3AD2C47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42C7EF9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4-Quarter Average Score</w:t>
      </w:r>
    </w:p>
    <w:p w14:paraId="0B3F059E"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0BC733C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Poor</w:t>
      </w:r>
    </w:p>
    <w:p w14:paraId="74190CD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30–60 → Average</w:t>
      </w:r>
    </w:p>
    <w:p w14:paraId="000D6D0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60–80 → Good</w:t>
      </w:r>
    </w:p>
    <w:p w14:paraId="1E1C0A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80–100 → Excellent</w:t>
      </w:r>
    </w:p>
    <w:p w14:paraId="34BFEE8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E152A81">
          <v:rect id="_x0000_i1320" style="width:0;height:1.5pt" o:hralign="center" o:hrstd="t" o:hr="t" fillcolor="#a0a0a0" stroked="f"/>
        </w:pict>
      </w:r>
    </w:p>
    <w:p w14:paraId="422F0B76"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9. Dual Trend Chart</w:t>
      </w:r>
    </w:p>
    <w:p w14:paraId="21D773D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61843E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29661DF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4D98446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ROCE (%)</w:t>
      </w:r>
    </w:p>
    <w:p w14:paraId="6584FBA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39B8415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6CB06FF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47C529A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Last 8 Quarterly Updates</w:t>
      </w:r>
    </w:p>
    <w:p w14:paraId="71DAF4E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77F245F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After every quarterly financial report.</w:t>
      </w:r>
    </w:p>
    <w:p w14:paraId="24720A7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7D0C6C5A">
          <v:rect id="_x0000_i1321" style="width:0;height:1.5pt" o:hralign="center" o:hrstd="t" o:hr="t" fillcolor="#a0a0a0" stroked="f"/>
        </w:pict>
      </w:r>
    </w:p>
    <w:p w14:paraId="4609327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69E16C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ROCE Above 20%</w:t>
      </w:r>
    </w:p>
    <w:p w14:paraId="0800B52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company is generating excellent returns from its total capital.</w:t>
      </w:r>
    </w:p>
    <w:p w14:paraId="1E3142E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ROCE Between 15% and 20%</w:t>
      </w:r>
    </w:p>
    <w:p w14:paraId="62DF52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capital utilization remains efficient.</w:t>
      </w:r>
    </w:p>
    <w:p w14:paraId="2C66613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ROCE Between 10% and 15%</w:t>
      </w:r>
    </w:p>
    <w:p w14:paraId="6EAD639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Explain that returns are healthy but have room for improvement.</w:t>
      </w:r>
    </w:p>
    <w:p w14:paraId="0CD33A9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ROCE Below 10%</w:t>
      </w:r>
    </w:p>
    <w:p w14:paraId="1E7B109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capital is being utilized inefficiently.</w:t>
      </w:r>
    </w:p>
    <w:p w14:paraId="7239307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ROCE</w:t>
      </w:r>
    </w:p>
    <w:p w14:paraId="170673B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business is failing to generate adequate operating returns.</w:t>
      </w:r>
    </w:p>
    <w:p w14:paraId="6D913B5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0A5C290">
          <v:rect id="_x0000_i1322" style="width:0;height:1.5pt" o:hralign="center" o:hrstd="t" o:hr="t" fillcolor="#a0a0a0" stroked="f"/>
        </w:pict>
      </w:r>
    </w:p>
    <w:p w14:paraId="779F7ED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3CD18A9E" w14:textId="77777777" w:rsidR="004C6658" w:rsidRPr="004C6658" w:rsidRDefault="004C6658" w:rsidP="004C665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Measures overall capital efficiency. </w:t>
      </w:r>
    </w:p>
    <w:p w14:paraId="4DBFB620" w14:textId="77777777" w:rsidR="004C6658" w:rsidRPr="004C6658" w:rsidRDefault="004C6658" w:rsidP="004C665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Evaluates operating performance. </w:t>
      </w:r>
    </w:p>
    <w:p w14:paraId="4EBAC496" w14:textId="77777777" w:rsidR="004C6658" w:rsidRPr="004C6658" w:rsidRDefault="004C6658" w:rsidP="004C665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Useful for comparing companies with different debt levels. </w:t>
      </w:r>
    </w:p>
    <w:p w14:paraId="6E149BF6" w14:textId="77777777" w:rsidR="004C6658" w:rsidRPr="004C6658" w:rsidRDefault="004C6658" w:rsidP="004C665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Supports long-term investment decisions. </w:t>
      </w:r>
    </w:p>
    <w:p w14:paraId="27B014AB" w14:textId="77777777" w:rsidR="004C6658" w:rsidRPr="004C6658" w:rsidRDefault="004C6658" w:rsidP="004C665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Complements ROE analysis. </w:t>
      </w:r>
    </w:p>
    <w:p w14:paraId="2915B7F8"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225F08B">
          <v:rect id="_x0000_i1323" style="width:0;height:1.5pt" o:hralign="center" o:hrstd="t" o:hr="t" fillcolor="#a0a0a0" stroked="f"/>
        </w:pict>
      </w:r>
    </w:p>
    <w:p w14:paraId="413F626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37AE39C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31EB11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21FF110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513C913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1B9C68E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5A71A2B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547CFC4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59E83FC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3DE2E63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44A7C08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Evaluating long-term capital efficiency.</w:t>
      </w:r>
    </w:p>
    <w:p w14:paraId="7291B30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lastRenderedPageBreak/>
        <w:t>Avoid Using Alone</w:t>
      </w:r>
    </w:p>
    <w:p w14:paraId="5A8D6E3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Yes</w:t>
      </w:r>
    </w:p>
    <w:p w14:paraId="7ECA95E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489E35C">
          <v:rect id="_x0000_i1324" style="width:0;height:1.5pt" o:hralign="center" o:hrstd="t" o:hr="t" fillcolor="#a0a0a0" stroked="f"/>
        </w:pict>
      </w:r>
    </w:p>
    <w:p w14:paraId="3CE5181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13. Supporting Indicators</w:t>
      </w:r>
    </w:p>
    <w:p w14:paraId="3BDA9A5A" w14:textId="77777777" w:rsidR="004C6658" w:rsidRPr="004C6658" w:rsidRDefault="004C6658" w:rsidP="004C665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w:t>
      </w:r>
    </w:p>
    <w:p w14:paraId="4C6040AB" w14:textId="77777777" w:rsidR="004C6658" w:rsidRPr="004C6658" w:rsidRDefault="004C6658" w:rsidP="004C665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Operating Margin </w:t>
      </w:r>
    </w:p>
    <w:p w14:paraId="239DAF06" w14:textId="77777777" w:rsidR="004C6658" w:rsidRPr="004C6658" w:rsidRDefault="004C6658" w:rsidP="004C665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Margin </w:t>
      </w:r>
    </w:p>
    <w:p w14:paraId="735036EB" w14:textId="77777777" w:rsidR="004C6658" w:rsidRPr="004C6658" w:rsidRDefault="004C6658" w:rsidP="004C665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w:t>
      </w:r>
    </w:p>
    <w:p w14:paraId="6757C8FC" w14:textId="77777777" w:rsidR="004C6658" w:rsidRPr="004C6658" w:rsidRDefault="004C6658" w:rsidP="004C665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Debt to Equity </w:t>
      </w:r>
    </w:p>
    <w:p w14:paraId="2DC64FE1"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8E3F241">
          <v:rect id="_x0000_i1325" style="width:0;height:1.5pt" o:hralign="center" o:hrstd="t" o:hr="t" fillcolor="#a0a0a0" stroked="f"/>
        </w:pict>
      </w:r>
    </w:p>
    <w:p w14:paraId="2BF3268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14. Metadata</w:t>
      </w:r>
    </w:p>
    <w:p w14:paraId="2A1A074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4396CA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NSE Financial Results</w:t>
      </w:r>
    </w:p>
    <w:p w14:paraId="0AF3912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3D157C8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Backend</w:t>
      </w:r>
    </w:p>
    <w:p w14:paraId="7C58548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63AFFCC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Quarterly</w:t>
      </w:r>
    </w:p>
    <w:p w14:paraId="71809B6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6DD5D09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3EAF667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69FA3BE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3FD88C2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BD15313">
          <v:rect id="_x0000_i1326" style="width:0;height:1.5pt" o:hralign="center" o:hrstd="t" o:hr="t" fillcolor="#a0a0a0" stroked="f"/>
        </w:pict>
      </w:r>
    </w:p>
    <w:p w14:paraId="71862E80"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43B2DF6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4030883F" w14:textId="77777777" w:rsidR="004C6658" w:rsidRPr="004C6658" w:rsidRDefault="004C6658" w:rsidP="004C665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Current ROCE </w:t>
      </w:r>
    </w:p>
    <w:p w14:paraId="20E7A3F8" w14:textId="77777777" w:rsidR="004C6658" w:rsidRPr="004C6658" w:rsidRDefault="004C6658" w:rsidP="004C665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EBIT </w:t>
      </w:r>
    </w:p>
    <w:p w14:paraId="718A14B7" w14:textId="77777777" w:rsidR="004C6658" w:rsidRPr="004C6658" w:rsidRDefault="004C6658" w:rsidP="004C665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Capital Employed </w:t>
      </w:r>
    </w:p>
    <w:p w14:paraId="5949B673" w14:textId="77777777" w:rsidR="004C6658" w:rsidRPr="004C6658" w:rsidRDefault="004C6658" w:rsidP="004C665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ROCE </w:t>
      </w:r>
    </w:p>
    <w:p w14:paraId="7BE95149" w14:textId="77777777" w:rsidR="004C6658" w:rsidRPr="004C6658" w:rsidRDefault="004C6658" w:rsidP="004C665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40E052DC" w14:textId="77777777" w:rsidR="004C6658" w:rsidRPr="004C6658" w:rsidRDefault="004C6658" w:rsidP="004C665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Confidence </w:t>
      </w:r>
    </w:p>
    <w:p w14:paraId="78D786C7" w14:textId="77777777" w:rsidR="004C6658" w:rsidRPr="004C6658" w:rsidRDefault="004C6658" w:rsidP="004C665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7F5A7DB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If Capital Employed is zero or negative, display </w:t>
      </w:r>
      <w:r w:rsidRPr="004C6658">
        <w:rPr>
          <w:rFonts w:ascii="Times New Roman" w:eastAsia="Times New Roman" w:hAnsi="Times New Roman" w:cs="Times New Roman"/>
          <w:b/>
          <w:bCs/>
          <w:sz w:val="24"/>
          <w:szCs w:val="24"/>
        </w:rPr>
        <w:t>"Not Available"</w:t>
      </w:r>
      <w:r w:rsidRPr="004C6658">
        <w:rPr>
          <w:rFonts w:ascii="Times New Roman" w:eastAsia="Times New Roman" w:hAnsi="Times New Roman" w:cs="Times New Roman"/>
          <w:sz w:val="24"/>
          <w:szCs w:val="24"/>
        </w:rPr>
        <w:t xml:space="preserve"> and exclude the indicator from score calculation.</w:t>
      </w:r>
    </w:p>
    <w:p w14:paraId="4D95FEB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186CC0DE">
          <v:rect id="_x0000_i1327" style="width:0;height:1.5pt" o:hralign="center" o:hrstd="t" o:hr="t" fillcolor="#a0a0a0" stroked="f"/>
        </w:pict>
      </w:r>
    </w:p>
    <w:p w14:paraId="0E5AA57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 xml:space="preserve">16. Praxis Engine Integration </w:t>
      </w:r>
      <w:r w:rsidRPr="004C6658">
        <w:rPr>
          <w:rFonts w:ascii="Segoe UI Emoji" w:eastAsia="Times New Roman" w:hAnsi="Segoe UI Emoji" w:cs="Segoe UI Emoji"/>
          <w:b/>
          <w:bCs/>
          <w:kern w:val="36"/>
          <w:sz w:val="48"/>
          <w:szCs w:val="48"/>
        </w:rPr>
        <w:t>⭐</w:t>
      </w:r>
    </w:p>
    <w:p w14:paraId="468A123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39EA390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 (Configurable)</w:t>
      </w:r>
    </w:p>
    <w:p w14:paraId="699A81F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Relative Importance</w:t>
      </w:r>
    </w:p>
    <w:p w14:paraId="67795C1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Very High</w:t>
      </w:r>
    </w:p>
    <w:p w14:paraId="35CFADE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7B4E9FC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Capital Efficiency Assessment</w:t>
      </w:r>
    </w:p>
    <w:p w14:paraId="1254659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4ACB2D7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 how efficiently management generates operating profits from invested capital.</w:t>
      </w:r>
    </w:p>
    <w:p w14:paraId="6F9B607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36D02D84" w14:textId="77777777" w:rsidR="004C6658" w:rsidRPr="004C6658" w:rsidRDefault="004C6658" w:rsidP="004C665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ROCE above 15% </w:t>
      </w:r>
    </w:p>
    <w:p w14:paraId="6B6EDFAA" w14:textId="77777777" w:rsidR="004C6658" w:rsidRPr="004C6658" w:rsidRDefault="004C6658" w:rsidP="004C665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Operating Margin </w:t>
      </w:r>
    </w:p>
    <w:p w14:paraId="17877E3D" w14:textId="77777777" w:rsidR="004C6658" w:rsidRPr="004C6658" w:rsidRDefault="004C6658" w:rsidP="004C665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Profit Growth </w:t>
      </w:r>
    </w:p>
    <w:p w14:paraId="440298D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32AE502A" w14:textId="77777777" w:rsidR="004C6658" w:rsidRPr="004C6658" w:rsidRDefault="004C6658" w:rsidP="004C665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ROCE below 10% </w:t>
      </w:r>
    </w:p>
    <w:p w14:paraId="64462FDA" w14:textId="77777777" w:rsidR="004C6658" w:rsidRPr="004C6658" w:rsidRDefault="004C6658" w:rsidP="004C665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Declining Operating Margin </w:t>
      </w:r>
    </w:p>
    <w:p w14:paraId="73A69AC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Display Priority</w:t>
      </w:r>
    </w:p>
    <w:p w14:paraId="598DBE2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2DC4DEF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pict w14:anchorId="1F2FCAA2">
          <v:rect id="_x0000_i1328" style="width:0;height:1.5pt" o:hralign="center" o:hrstd="t" o:hr="t" fillcolor="#a0a0a0" stroked="f"/>
        </w:pict>
      </w:r>
    </w:p>
    <w:p w14:paraId="74AAB325"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17. Praxis Recommendation</w:t>
      </w:r>
    </w:p>
    <w:p w14:paraId="53A7979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ROCE should be the </w:t>
      </w:r>
      <w:r w:rsidRPr="004C6658">
        <w:rPr>
          <w:rFonts w:ascii="Times New Roman" w:eastAsia="Times New Roman" w:hAnsi="Times New Roman" w:cs="Times New Roman"/>
          <w:b/>
          <w:bCs/>
          <w:sz w:val="24"/>
          <w:szCs w:val="24"/>
        </w:rPr>
        <w:t>primary capital efficiency indicator</w:t>
      </w:r>
      <w:r w:rsidRPr="004C6658">
        <w:rPr>
          <w:rFonts w:ascii="Times New Roman" w:eastAsia="Times New Roman" w:hAnsi="Times New Roman" w:cs="Times New Roman"/>
          <w:sz w:val="24"/>
          <w:szCs w:val="24"/>
        </w:rPr>
        <w:t xml:space="preserve"> within the Profitability category.</w:t>
      </w:r>
    </w:p>
    <w:p w14:paraId="5F6F4D27"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Profitability Hierarchy</w:t>
      </w:r>
    </w:p>
    <w:p w14:paraId="4BEFAE14" w14:textId="77777777" w:rsidR="004C6658" w:rsidRPr="004C6658" w:rsidRDefault="004C6658" w:rsidP="004C665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ROE </w:t>
      </w:r>
    </w:p>
    <w:p w14:paraId="44F61819" w14:textId="77777777" w:rsidR="004C6658" w:rsidRPr="004C6658" w:rsidRDefault="004C6658" w:rsidP="004C665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ROCE </w:t>
      </w:r>
    </w:p>
    <w:p w14:paraId="300740F6" w14:textId="77777777" w:rsidR="004C6658" w:rsidRPr="004C6658" w:rsidRDefault="004C6658" w:rsidP="004C665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Net Margin </w:t>
      </w:r>
    </w:p>
    <w:p w14:paraId="2153FAF4" w14:textId="77777777" w:rsidR="004C6658" w:rsidRPr="004C6658" w:rsidRDefault="004C6658" w:rsidP="004C665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Operating Margin </w:t>
      </w:r>
    </w:p>
    <w:p w14:paraId="2DCF3776"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018F7506" w14:textId="77777777" w:rsidR="004C6658" w:rsidRPr="004C6658" w:rsidRDefault="004C6658" w:rsidP="004C665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ROCE &gt;15% + ROE &gt;15% → Increase Profitability Score. </w:t>
      </w:r>
    </w:p>
    <w:p w14:paraId="778921C5" w14:textId="77777777" w:rsidR="004C6658" w:rsidRPr="004C6658" w:rsidRDefault="004C6658" w:rsidP="004C665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ROCE improving for multiple quarters → Increase Fundamentals confidence. </w:t>
      </w:r>
    </w:p>
    <w:p w14:paraId="62E1846B" w14:textId="77777777" w:rsidR="004C6658" w:rsidRPr="004C6658" w:rsidRDefault="004C6658" w:rsidP="004C665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 Debt + Declining ROCE → Reduce Profitability Score. </w:t>
      </w:r>
    </w:p>
    <w:p w14:paraId="00A1DA03" w14:textId="77777777" w:rsidR="004C6658" w:rsidRPr="004C6658" w:rsidRDefault="004C6658" w:rsidP="004C665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Confirm ROCE with Operating Margin to ensure returns are driven by operational efficiency rather than financial leverage. </w:t>
      </w:r>
    </w:p>
    <w:p w14:paraId="5C355019" w14:textId="4DF3BC1B"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ROCE should strengthen the </w:t>
      </w:r>
      <w:r w:rsidRPr="004C6658">
        <w:rPr>
          <w:rFonts w:ascii="Times New Roman" w:eastAsia="Times New Roman" w:hAnsi="Times New Roman" w:cs="Times New Roman"/>
          <w:b/>
          <w:bCs/>
          <w:sz w:val="24"/>
          <w:szCs w:val="24"/>
        </w:rPr>
        <w:t>Profitability Score</w:t>
      </w:r>
      <w:r w:rsidRPr="004C6658">
        <w:rPr>
          <w:rFonts w:ascii="Times New Roman" w:eastAsia="Times New Roman" w:hAnsi="Times New Roman" w:cs="Times New Roman"/>
          <w:sz w:val="24"/>
          <w:szCs w:val="24"/>
        </w:rPr>
        <w:t xml:space="preserve"> by evaluating how effectively a company utilizes its total capital base and should be interpreted together with ROE, Operating Margin, and Debt to Equity for a complete profitability assessment.</w:t>
      </w:r>
    </w:p>
    <w:p w14:paraId="1A84456E" w14:textId="5F685CD5"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41BE4958" w14:textId="3C109960"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63D8BAA2" w14:textId="0C7CD2FD"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2BB6EA3C" w14:textId="2344CDB9"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21950874" w14:textId="6D72003D"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4980038B" w14:textId="4F14CE2D"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6C3676A7" w14:textId="0072CA80"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4ECF3E48" w14:textId="7F952952"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185F19F0" w14:textId="77777777" w:rsidR="00E11FEB" w:rsidRPr="004C6658"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3FD1B553"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C6658">
        <w:rPr>
          <w:rFonts w:ascii="Times New Roman" w:eastAsia="Times New Roman" w:hAnsi="Times New Roman" w:cs="Times New Roman"/>
          <w:b/>
          <w:bCs/>
          <w:color w:val="FF0000"/>
          <w:kern w:val="36"/>
          <w:sz w:val="48"/>
          <w:szCs w:val="48"/>
        </w:rPr>
        <w:lastRenderedPageBreak/>
        <w:t>11. Net Margin</w:t>
      </w:r>
    </w:p>
    <w:p w14:paraId="6B26063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Profitability</w:t>
      </w:r>
      <w:r w:rsidRPr="004C6658">
        <w:rPr>
          <w:rFonts w:ascii="Times New Roman" w:eastAsia="Times New Roman" w:hAnsi="Times New Roman" w:cs="Times New Roman"/>
          <w:sz w:val="24"/>
          <w:szCs w:val="24"/>
        </w:rPr>
        <w:br/>
      </w:r>
      <w:r w:rsidRPr="004C6658">
        <w:rPr>
          <w:rFonts w:ascii="Times New Roman" w:eastAsia="Times New Roman" w:hAnsi="Times New Roman" w:cs="Times New Roman"/>
          <w:b/>
          <w:bCs/>
          <w:sz w:val="24"/>
          <w:szCs w:val="24"/>
        </w:rPr>
        <w:t>Status:</w:t>
      </w:r>
      <w:r w:rsidRPr="004C6658">
        <w:rPr>
          <w:rFonts w:ascii="Times New Roman" w:eastAsia="Times New Roman" w:hAnsi="Times New Roman" w:cs="Times New Roman"/>
          <w:sz w:val="24"/>
          <w:szCs w:val="24"/>
        </w:rPr>
        <w:t xml:space="preserve"> Production Ready</w:t>
      </w:r>
    </w:p>
    <w:p w14:paraId="2CC88C39" w14:textId="77777777" w:rsidR="004C6658" w:rsidRPr="004C6658" w:rsidRDefault="004C6658" w:rsidP="004C6658">
      <w:pPr>
        <w:spacing w:before="100" w:beforeAutospacing="1" w:after="100" w:afterAutospacing="1" w:line="240" w:lineRule="auto"/>
        <w:outlineLvl w:val="1"/>
        <w:rPr>
          <w:rFonts w:ascii="Times New Roman" w:eastAsia="Times New Roman" w:hAnsi="Times New Roman" w:cs="Times New Roman"/>
          <w:b/>
          <w:bCs/>
          <w:sz w:val="36"/>
          <w:szCs w:val="36"/>
        </w:rPr>
      </w:pPr>
      <w:r w:rsidRPr="004C6658">
        <w:rPr>
          <w:rFonts w:ascii="Times New Roman" w:eastAsia="Times New Roman" w:hAnsi="Times New Roman" w:cs="Times New Roman"/>
          <w:b/>
          <w:bCs/>
          <w:sz w:val="36"/>
          <w:szCs w:val="36"/>
        </w:rPr>
        <w:t>1. Overview</w:t>
      </w:r>
    </w:p>
    <w:p w14:paraId="24B83B7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Name:</w:t>
      </w:r>
      <w:r w:rsidRPr="004C6658">
        <w:rPr>
          <w:rFonts w:ascii="Times New Roman" w:eastAsia="Times New Roman" w:hAnsi="Times New Roman" w:cs="Times New Roman"/>
          <w:sz w:val="24"/>
          <w:szCs w:val="24"/>
        </w:rPr>
        <w:t xml:space="preserve"> Net Profit Margin</w:t>
      </w:r>
    </w:p>
    <w:p w14:paraId="4ACD955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Short Name:</w:t>
      </w:r>
      <w:r w:rsidRPr="004C6658">
        <w:rPr>
          <w:rFonts w:ascii="Times New Roman" w:eastAsia="Times New Roman" w:hAnsi="Times New Roman" w:cs="Times New Roman"/>
          <w:sz w:val="24"/>
          <w:szCs w:val="24"/>
        </w:rPr>
        <w:t xml:space="preserve"> Net Margin</w:t>
      </w:r>
    </w:p>
    <w:p w14:paraId="4BE6763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Module:</w:t>
      </w:r>
      <w:r w:rsidRPr="004C6658">
        <w:rPr>
          <w:rFonts w:ascii="Times New Roman" w:eastAsia="Times New Roman" w:hAnsi="Times New Roman" w:cs="Times New Roman"/>
          <w:sz w:val="24"/>
          <w:szCs w:val="24"/>
        </w:rPr>
        <w:t xml:space="preserve"> Fundamentals</w:t>
      </w:r>
    </w:p>
    <w:p w14:paraId="635290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Category:</w:t>
      </w:r>
      <w:r w:rsidRPr="004C6658">
        <w:rPr>
          <w:rFonts w:ascii="Times New Roman" w:eastAsia="Times New Roman" w:hAnsi="Times New Roman" w:cs="Times New Roman"/>
          <w:sz w:val="24"/>
          <w:szCs w:val="24"/>
        </w:rPr>
        <w:t xml:space="preserve"> Profitability</w:t>
      </w:r>
    </w:p>
    <w:p w14:paraId="71801FE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Purpose:</w:t>
      </w:r>
    </w:p>
    <w:p w14:paraId="5B54C0F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Measures the percentage of revenue that remains as net profit after all operating expenses, interest, and taxes. It indicates the company's overall profitability and cost efficiency.</w:t>
      </w:r>
    </w:p>
    <w:p w14:paraId="5D7C0B9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Based On:</w:t>
      </w:r>
    </w:p>
    <w:p w14:paraId="7AD47DD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Net Profit After Tax (PAT) and Revenue</w:t>
      </w:r>
    </w:p>
    <w:p w14:paraId="44ED460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Importance:</w:t>
      </w:r>
    </w:p>
    <w:p w14:paraId="5DA3493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(Core Profitability Indicator)</w:t>
      </w:r>
    </w:p>
    <w:p w14:paraId="5C3B927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Auto / Manual:</w:t>
      </w:r>
    </w:p>
    <w:p w14:paraId="746E21B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Manual (V1)</w:t>
      </w:r>
    </w:p>
    <w:p w14:paraId="40103E7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 Frequency:</w:t>
      </w:r>
    </w:p>
    <w:p w14:paraId="4A389B0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After every quarterly financial </w:t>
      </w:r>
      <w:proofErr w:type="gramStart"/>
      <w:r w:rsidRPr="004C6658">
        <w:rPr>
          <w:rFonts w:ascii="Times New Roman" w:eastAsia="Times New Roman" w:hAnsi="Times New Roman" w:cs="Times New Roman"/>
          <w:sz w:val="24"/>
          <w:szCs w:val="24"/>
        </w:rPr>
        <w:t>results</w:t>
      </w:r>
      <w:proofErr w:type="gramEnd"/>
      <w:r w:rsidRPr="004C6658">
        <w:rPr>
          <w:rFonts w:ascii="Times New Roman" w:eastAsia="Times New Roman" w:hAnsi="Times New Roman" w:cs="Times New Roman"/>
          <w:sz w:val="24"/>
          <w:szCs w:val="24"/>
        </w:rPr>
        <w:t>.</w:t>
      </w:r>
    </w:p>
    <w:p w14:paraId="789FCF1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Praxis Note:</w:t>
      </w:r>
    </w:p>
    <w:p w14:paraId="25D912C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Net Margin measures the final profitability of a business. Improving margins over multiple quarters generally indicate better operational efficiency and pricing power.</w:t>
      </w:r>
    </w:p>
    <w:p w14:paraId="13B3342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4C54293">
          <v:rect id="_x0000_i1345" style="width:0;height:1.5pt" o:hralign="center" o:hrstd="t" o:hr="t" fillcolor="#a0a0a0" stroked="f"/>
        </w:pict>
      </w:r>
    </w:p>
    <w:p w14:paraId="5CE4119B"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2. Data Requirements</w:t>
      </w:r>
    </w:p>
    <w:p w14:paraId="348460EB"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Required Data</w:t>
      </w:r>
    </w:p>
    <w:p w14:paraId="5586E9A4" w14:textId="77777777" w:rsidR="004C6658" w:rsidRPr="004C6658" w:rsidRDefault="004C6658" w:rsidP="004C665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Profit After Tax (PAT) </w:t>
      </w:r>
    </w:p>
    <w:p w14:paraId="33BE235A" w14:textId="77777777" w:rsidR="004C6658" w:rsidRPr="004C6658" w:rsidRDefault="004C6658" w:rsidP="004C665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Total Revenue </w:t>
      </w:r>
    </w:p>
    <w:p w14:paraId="205F0751" w14:textId="77777777" w:rsidR="004C6658" w:rsidRPr="004C6658" w:rsidRDefault="004C6658" w:rsidP="004C665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Net Margin (%) </w:t>
      </w:r>
    </w:p>
    <w:p w14:paraId="78A87D2C" w14:textId="77777777" w:rsidR="004C6658" w:rsidRPr="004C6658" w:rsidRDefault="004C6658" w:rsidP="004C665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Historical Net Margin </w:t>
      </w:r>
    </w:p>
    <w:p w14:paraId="72D6FD83"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Minimum Historical Data</w:t>
      </w:r>
    </w:p>
    <w:p w14:paraId="3CC8869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 Quarterly Reports</w:t>
      </w:r>
    </w:p>
    <w:p w14:paraId="73E066B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Recommended:</w:t>
      </w:r>
    </w:p>
    <w:p w14:paraId="02D21B4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 Years</w:t>
      </w:r>
    </w:p>
    <w:p w14:paraId="516C6840"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Primary Source</w:t>
      </w:r>
    </w:p>
    <w:p w14:paraId="46E83EB6" w14:textId="77777777" w:rsidR="004C6658" w:rsidRPr="004C6658" w:rsidRDefault="004C6658" w:rsidP="004C665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NSE Financial Results </w:t>
      </w:r>
    </w:p>
    <w:p w14:paraId="56BAA654" w14:textId="77777777" w:rsidR="004C6658" w:rsidRPr="004C6658" w:rsidRDefault="004C6658" w:rsidP="004C665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Company Financial Statements </w:t>
      </w:r>
    </w:p>
    <w:p w14:paraId="518BD907" w14:textId="77777777" w:rsidR="004C6658" w:rsidRPr="004C6658" w:rsidRDefault="004C6658" w:rsidP="004C665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Annual Reports </w:t>
      </w:r>
    </w:p>
    <w:p w14:paraId="7D11CCB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3E97B5ED">
          <v:rect id="_x0000_i1346" style="width:0;height:1.5pt" o:hralign="center" o:hrstd="t" o:hr="t" fillcolor="#a0a0a0" stroked="f"/>
        </w:pict>
      </w:r>
    </w:p>
    <w:p w14:paraId="2EE67267"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3. Industry Standard Calculation</w:t>
      </w:r>
    </w:p>
    <w:p w14:paraId="59BF93A3"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Formula</w:t>
      </w:r>
    </w:p>
    <w:p w14:paraId="258FB33A"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Net Margin (%) =</w:t>
      </w:r>
    </w:p>
    <w:p w14:paraId="14DB77D6" w14:textId="77777777" w:rsidR="004C6658" w:rsidRPr="004C6658" w:rsidRDefault="004C6658" w:rsidP="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C6658">
        <w:rPr>
          <w:rFonts w:ascii="Courier New" w:eastAsia="Times New Roman" w:hAnsi="Courier New" w:cs="Courier New"/>
          <w:sz w:val="20"/>
          <w:szCs w:val="20"/>
        </w:rPr>
        <w:t>(Net Profit ÷ Revenue) × 100</w:t>
      </w:r>
    </w:p>
    <w:p w14:paraId="42911652"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Implementation Steps</w:t>
      </w:r>
    </w:p>
    <w:p w14:paraId="53122FDD" w14:textId="77777777" w:rsidR="004C6658" w:rsidRPr="004C6658" w:rsidRDefault="004C6658" w:rsidP="004C665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Net Profit After Tax. </w:t>
      </w:r>
    </w:p>
    <w:p w14:paraId="7BC31696" w14:textId="77777777" w:rsidR="004C6658" w:rsidRPr="004C6658" w:rsidRDefault="004C6658" w:rsidP="004C665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Retrieve Total Revenue. </w:t>
      </w:r>
    </w:p>
    <w:p w14:paraId="06466884" w14:textId="77777777" w:rsidR="004C6658" w:rsidRPr="004C6658" w:rsidRDefault="004C6658" w:rsidP="004C665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Calculate Net Margin. </w:t>
      </w:r>
    </w:p>
    <w:p w14:paraId="56243258" w14:textId="77777777" w:rsidR="004C6658" w:rsidRPr="004C6658" w:rsidRDefault="004C6658" w:rsidP="004C665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with historical margins. </w:t>
      </w:r>
    </w:p>
    <w:p w14:paraId="45AC421E" w14:textId="77777777" w:rsidR="004C6658" w:rsidRPr="004C6658" w:rsidRDefault="004C6658" w:rsidP="004C665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Generate the Profitability Score. </w:t>
      </w:r>
    </w:p>
    <w:p w14:paraId="7C71652B"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25430E85" w14:textId="77777777" w:rsidR="004C6658" w:rsidRPr="004C6658" w:rsidRDefault="004C6658" w:rsidP="004C665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Use consolidated financial statements where available. </w:t>
      </w:r>
    </w:p>
    <w:p w14:paraId="1890CD60" w14:textId="77777777" w:rsidR="004C6658" w:rsidRPr="004C6658" w:rsidRDefault="004C6658" w:rsidP="004C665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Compare YoY and multi-quarter trends rather than a single quarter. </w:t>
      </w:r>
    </w:p>
    <w:p w14:paraId="0623932D" w14:textId="77777777" w:rsidR="004C6658" w:rsidRPr="004C6658" w:rsidRDefault="004C6658" w:rsidP="004C665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Use reported Net Profit after all expenses and taxes. </w:t>
      </w:r>
    </w:p>
    <w:p w14:paraId="1DD1DAC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D2B2B99">
          <v:rect id="_x0000_i1347" style="width:0;height:1.5pt" o:hralign="center" o:hrstd="t" o:hr="t" fillcolor="#a0a0a0" stroked="f"/>
        </w:pict>
      </w:r>
    </w:p>
    <w:p w14:paraId="16C2A4F7"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4. Card Fields</w:t>
      </w:r>
    </w:p>
    <w:p w14:paraId="443F52B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Current Value</w:t>
      </w:r>
    </w:p>
    <w:p w14:paraId="4C5474F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Net Margin (%)</w:t>
      </w:r>
    </w:p>
    <w:p w14:paraId="5F19178D"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Net Profit</w:t>
      </w:r>
    </w:p>
    <w:p w14:paraId="60A96FE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PAT</w:t>
      </w:r>
    </w:p>
    <w:p w14:paraId="5F3728D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Revenue</w:t>
      </w:r>
    </w:p>
    <w:p w14:paraId="6227A3B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Revenue</w:t>
      </w:r>
    </w:p>
    <w:p w14:paraId="25C07FD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Score</w:t>
      </w:r>
    </w:p>
    <w:p w14:paraId="64F640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0–100</w:t>
      </w:r>
    </w:p>
    <w:p w14:paraId="56048C8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Bias</w:t>
      </w:r>
    </w:p>
    <w:p w14:paraId="07906519" w14:textId="77777777" w:rsidR="004C6658" w:rsidRPr="004C6658" w:rsidRDefault="004C6658" w:rsidP="004C665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Bullish </w:t>
      </w:r>
    </w:p>
    <w:p w14:paraId="49833730" w14:textId="77777777" w:rsidR="004C6658" w:rsidRPr="004C6658" w:rsidRDefault="004C6658" w:rsidP="004C665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Neutral </w:t>
      </w:r>
    </w:p>
    <w:p w14:paraId="49E914BD" w14:textId="77777777" w:rsidR="004C6658" w:rsidRPr="004C6658" w:rsidRDefault="004C6658" w:rsidP="004C665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Bearish </w:t>
      </w:r>
    </w:p>
    <w:p w14:paraId="0DCD6A8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Confidence</w:t>
      </w:r>
    </w:p>
    <w:p w14:paraId="1C7BBA8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Profitability Confidence</w:t>
      </w:r>
    </w:p>
    <w:p w14:paraId="51AF4A1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Impact Weight</w:t>
      </w:r>
    </w:p>
    <w:p w14:paraId="4CBB5DE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w:t>
      </w:r>
    </w:p>
    <w:p w14:paraId="4B0D59A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C347900">
          <v:rect id="_x0000_i1348" style="width:0;height:1.5pt" o:hralign="center" o:hrstd="t" o:hr="t" fillcolor="#a0a0a0" stroked="f"/>
        </w:pict>
      </w:r>
    </w:p>
    <w:p w14:paraId="5A3632F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634"/>
        <w:gridCol w:w="1509"/>
      </w:tblGrid>
      <w:tr w:rsidR="004C6658" w:rsidRPr="004C6658" w14:paraId="670A5D24" w14:textId="77777777" w:rsidTr="004C6658">
        <w:trPr>
          <w:tblHeader/>
          <w:tblCellSpacing w:w="15" w:type="dxa"/>
        </w:trPr>
        <w:tc>
          <w:tcPr>
            <w:tcW w:w="0" w:type="auto"/>
            <w:vAlign w:val="center"/>
            <w:hideMark/>
          </w:tcPr>
          <w:p w14:paraId="6C4EF863"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Net Margin</w:t>
            </w:r>
          </w:p>
        </w:tc>
        <w:tc>
          <w:tcPr>
            <w:tcW w:w="0" w:type="auto"/>
            <w:vAlign w:val="center"/>
            <w:hideMark/>
          </w:tcPr>
          <w:p w14:paraId="2C9BDE0F"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Score</w:t>
            </w:r>
          </w:p>
        </w:tc>
        <w:tc>
          <w:tcPr>
            <w:tcW w:w="0" w:type="auto"/>
            <w:vAlign w:val="center"/>
            <w:hideMark/>
          </w:tcPr>
          <w:p w14:paraId="72A2B518" w14:textId="77777777" w:rsidR="004C6658" w:rsidRPr="004C6658" w:rsidRDefault="004C6658" w:rsidP="004C6658">
            <w:pPr>
              <w:spacing w:after="0" w:line="240" w:lineRule="auto"/>
              <w:jc w:val="center"/>
              <w:rPr>
                <w:rFonts w:ascii="Times New Roman" w:eastAsia="Times New Roman" w:hAnsi="Times New Roman" w:cs="Times New Roman"/>
                <w:b/>
                <w:bCs/>
                <w:sz w:val="24"/>
                <w:szCs w:val="24"/>
              </w:rPr>
            </w:pPr>
            <w:r w:rsidRPr="004C6658">
              <w:rPr>
                <w:rFonts w:ascii="Times New Roman" w:eastAsia="Times New Roman" w:hAnsi="Times New Roman" w:cs="Times New Roman"/>
                <w:b/>
                <w:bCs/>
                <w:sz w:val="24"/>
                <w:szCs w:val="24"/>
              </w:rPr>
              <w:t>Bias</w:t>
            </w:r>
          </w:p>
        </w:tc>
      </w:tr>
      <w:tr w:rsidR="004C6658" w:rsidRPr="004C6658" w14:paraId="611279A4" w14:textId="77777777" w:rsidTr="004C6658">
        <w:trPr>
          <w:tblCellSpacing w:w="15" w:type="dxa"/>
        </w:trPr>
        <w:tc>
          <w:tcPr>
            <w:tcW w:w="0" w:type="auto"/>
            <w:vAlign w:val="center"/>
            <w:hideMark/>
          </w:tcPr>
          <w:p w14:paraId="13A41F0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&gt;20%</w:t>
            </w:r>
          </w:p>
        </w:tc>
        <w:tc>
          <w:tcPr>
            <w:tcW w:w="0" w:type="auto"/>
            <w:vAlign w:val="center"/>
            <w:hideMark/>
          </w:tcPr>
          <w:p w14:paraId="1A45EC3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tc>
        <w:tc>
          <w:tcPr>
            <w:tcW w:w="0" w:type="auto"/>
            <w:vAlign w:val="center"/>
            <w:hideMark/>
          </w:tcPr>
          <w:p w14:paraId="0783A9B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Bullish</w:t>
            </w:r>
          </w:p>
        </w:tc>
      </w:tr>
      <w:tr w:rsidR="004C6658" w:rsidRPr="004C6658" w14:paraId="7C3264FF" w14:textId="77777777" w:rsidTr="004C6658">
        <w:trPr>
          <w:tblCellSpacing w:w="15" w:type="dxa"/>
        </w:trPr>
        <w:tc>
          <w:tcPr>
            <w:tcW w:w="0" w:type="auto"/>
            <w:vAlign w:val="center"/>
            <w:hideMark/>
          </w:tcPr>
          <w:p w14:paraId="1CD1703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15–20%</w:t>
            </w:r>
          </w:p>
        </w:tc>
        <w:tc>
          <w:tcPr>
            <w:tcW w:w="0" w:type="auto"/>
            <w:vAlign w:val="center"/>
            <w:hideMark/>
          </w:tcPr>
          <w:p w14:paraId="29CA5CC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82</w:t>
            </w:r>
          </w:p>
        </w:tc>
        <w:tc>
          <w:tcPr>
            <w:tcW w:w="0" w:type="auto"/>
            <w:vAlign w:val="center"/>
            <w:hideMark/>
          </w:tcPr>
          <w:p w14:paraId="5354EDC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tc>
      </w:tr>
      <w:tr w:rsidR="004C6658" w:rsidRPr="004C6658" w14:paraId="0E86F8EE" w14:textId="77777777" w:rsidTr="004C6658">
        <w:trPr>
          <w:tblCellSpacing w:w="15" w:type="dxa"/>
        </w:trPr>
        <w:tc>
          <w:tcPr>
            <w:tcW w:w="0" w:type="auto"/>
            <w:vAlign w:val="center"/>
            <w:hideMark/>
          </w:tcPr>
          <w:p w14:paraId="345980F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10–15%</w:t>
            </w:r>
          </w:p>
        </w:tc>
        <w:tc>
          <w:tcPr>
            <w:tcW w:w="0" w:type="auto"/>
            <w:vAlign w:val="center"/>
            <w:hideMark/>
          </w:tcPr>
          <w:p w14:paraId="68B4BCEC"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tc>
        <w:tc>
          <w:tcPr>
            <w:tcW w:w="0" w:type="auto"/>
            <w:vAlign w:val="center"/>
            <w:hideMark/>
          </w:tcPr>
          <w:p w14:paraId="78C090F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tc>
      </w:tr>
      <w:tr w:rsidR="004C6658" w:rsidRPr="004C6658" w14:paraId="6BECD08C" w14:textId="77777777" w:rsidTr="004C6658">
        <w:trPr>
          <w:tblCellSpacing w:w="15" w:type="dxa"/>
        </w:trPr>
        <w:tc>
          <w:tcPr>
            <w:tcW w:w="0" w:type="auto"/>
            <w:vAlign w:val="center"/>
            <w:hideMark/>
          </w:tcPr>
          <w:p w14:paraId="6B086CC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5–10%</w:t>
            </w:r>
          </w:p>
        </w:tc>
        <w:tc>
          <w:tcPr>
            <w:tcW w:w="0" w:type="auto"/>
            <w:vAlign w:val="center"/>
            <w:hideMark/>
          </w:tcPr>
          <w:p w14:paraId="3D4299A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35</w:t>
            </w:r>
          </w:p>
        </w:tc>
        <w:tc>
          <w:tcPr>
            <w:tcW w:w="0" w:type="auto"/>
            <w:vAlign w:val="center"/>
            <w:hideMark/>
          </w:tcPr>
          <w:p w14:paraId="3F0CDFA7"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tc>
      </w:tr>
      <w:tr w:rsidR="004C6658" w:rsidRPr="004C6658" w14:paraId="4ED7CB3C" w14:textId="77777777" w:rsidTr="004C6658">
        <w:trPr>
          <w:tblCellSpacing w:w="15" w:type="dxa"/>
        </w:trPr>
        <w:tc>
          <w:tcPr>
            <w:tcW w:w="0" w:type="auto"/>
            <w:vAlign w:val="center"/>
            <w:hideMark/>
          </w:tcPr>
          <w:p w14:paraId="7709849D"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&lt;5%</w:t>
            </w:r>
          </w:p>
        </w:tc>
        <w:tc>
          <w:tcPr>
            <w:tcW w:w="0" w:type="auto"/>
            <w:vAlign w:val="center"/>
            <w:hideMark/>
          </w:tcPr>
          <w:p w14:paraId="433181AE"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w:t>
            </w:r>
          </w:p>
        </w:tc>
        <w:tc>
          <w:tcPr>
            <w:tcW w:w="0" w:type="auto"/>
            <w:vAlign w:val="center"/>
            <w:hideMark/>
          </w:tcPr>
          <w:p w14:paraId="5D48D9C9"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tc>
      </w:tr>
    </w:tbl>
    <w:p w14:paraId="479CA71F"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Notes</w:t>
      </w:r>
    </w:p>
    <w:p w14:paraId="5FC4206F" w14:textId="77777777" w:rsidR="004C6658" w:rsidRPr="004C6658" w:rsidRDefault="004C6658" w:rsidP="004C665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Higher margins indicate stronger profitability. </w:t>
      </w:r>
    </w:p>
    <w:p w14:paraId="021D29CE" w14:textId="77777777" w:rsidR="004C6658" w:rsidRPr="004C6658" w:rsidRDefault="004C6658" w:rsidP="004C665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Improving margins strengthen the Fundamentals Score. </w:t>
      </w:r>
    </w:p>
    <w:p w14:paraId="33D97165" w14:textId="77777777" w:rsidR="004C6658" w:rsidRPr="004C6658" w:rsidRDefault="004C6658" w:rsidP="004C665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Negative margins receive the minimum score. </w:t>
      </w:r>
    </w:p>
    <w:p w14:paraId="37DFF3F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412EED5">
          <v:rect id="_x0000_i1349" style="width:0;height:1.5pt" o:hralign="center" o:hrstd="t" o:hr="t" fillcolor="#a0a0a0" stroked="f"/>
        </w:pict>
      </w:r>
    </w:p>
    <w:p w14:paraId="259EB45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6. Bias Rules</w:t>
      </w:r>
    </w:p>
    <w:p w14:paraId="5478C87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Margin Above 15%</w:t>
      </w:r>
    </w:p>
    <w:p w14:paraId="38AE6D4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Bullish</w:t>
      </w:r>
    </w:p>
    <w:p w14:paraId="16A3B2B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Margin Between 10%–15%</w:t>
      </w:r>
    </w:p>
    <w:p w14:paraId="210BA92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Neutral</w:t>
      </w:r>
    </w:p>
    <w:p w14:paraId="5764865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Margin Below 10%</w:t>
      </w:r>
    </w:p>
    <w:p w14:paraId="4681D32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Bearish</w:t>
      </w:r>
    </w:p>
    <w:p w14:paraId="7D8D5C9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Margin</w:t>
      </w:r>
    </w:p>
    <w:p w14:paraId="3325471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Strong Bearish</w:t>
      </w:r>
    </w:p>
    <w:p w14:paraId="38255FE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561488E">
          <v:rect id="_x0000_i1350" style="width:0;height:1.5pt" o:hralign="center" o:hrstd="t" o:hr="t" fillcolor="#a0a0a0" stroked="f"/>
        </w:pict>
      </w:r>
    </w:p>
    <w:p w14:paraId="0CDBED65"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7. Confidence Logic</w:t>
      </w:r>
    </w:p>
    <w:p w14:paraId="6C2EE71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Base Confidence</w:t>
      </w:r>
    </w:p>
    <w:p w14:paraId="5E63A44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85%</w:t>
      </w:r>
    </w:p>
    <w:p w14:paraId="2FA16898"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Increase Confidence</w:t>
      </w:r>
    </w:p>
    <w:p w14:paraId="5E36694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Stable margin improvement</w:t>
      </w:r>
    </w:p>
    <w:p w14:paraId="6871D5B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+5% Audited financial statements</w:t>
      </w:r>
    </w:p>
    <w:p w14:paraId="72215A5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Positive Profit Growth</w:t>
      </w:r>
    </w:p>
    <w:p w14:paraId="0492F181"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Decrease Confidence</w:t>
      </w:r>
    </w:p>
    <w:p w14:paraId="1447A321"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Manual entry</w:t>
      </w:r>
    </w:p>
    <w:p w14:paraId="1B49E47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 One-time exceptional items</w:t>
      </w:r>
    </w:p>
    <w:p w14:paraId="7CCF251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-5% Financial restatement</w:t>
      </w:r>
    </w:p>
    <w:p w14:paraId="31CDC39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3DD6079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60%</w:t>
      </w:r>
    </w:p>
    <w:p w14:paraId="56EF31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31446A2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95%</w:t>
      </w:r>
    </w:p>
    <w:p w14:paraId="28A99065"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0294DFF">
          <v:rect id="_x0000_i1351" style="width:0;height:1.5pt" o:hralign="center" o:hrstd="t" o:hr="t" fillcolor="#a0a0a0" stroked="f"/>
        </w:pict>
      </w:r>
    </w:p>
    <w:p w14:paraId="0C1542F1"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8. Score Range Bar</w:t>
      </w:r>
    </w:p>
    <w:p w14:paraId="26B5DFA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Minimum</w:t>
      </w:r>
    </w:p>
    <w:p w14:paraId="2A5119A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w:t>
      </w:r>
    </w:p>
    <w:p w14:paraId="0451E04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Maximum</w:t>
      </w:r>
    </w:p>
    <w:p w14:paraId="5416D27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100</w:t>
      </w:r>
    </w:p>
    <w:p w14:paraId="0A963AE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Pointer</w:t>
      </w:r>
    </w:p>
    <w:p w14:paraId="405DEDC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Current Score</w:t>
      </w:r>
    </w:p>
    <w:p w14:paraId="6E76F66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Average Marker</w:t>
      </w:r>
    </w:p>
    <w:p w14:paraId="64D7BFD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4-Quarter Average Score</w:t>
      </w:r>
    </w:p>
    <w:p w14:paraId="43E7364E"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Color Zones</w:t>
      </w:r>
    </w:p>
    <w:p w14:paraId="181B25B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0–30 → Weak</w:t>
      </w:r>
    </w:p>
    <w:p w14:paraId="64823C4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30–60 → Average</w:t>
      </w:r>
    </w:p>
    <w:p w14:paraId="734FAAD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60–80 → Healthy</w:t>
      </w:r>
    </w:p>
    <w:p w14:paraId="5258D5C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80–100 → Excellent</w:t>
      </w:r>
    </w:p>
    <w:p w14:paraId="350E735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0BA20462">
          <v:rect id="_x0000_i1352" style="width:0;height:1.5pt" o:hralign="center" o:hrstd="t" o:hr="t" fillcolor="#a0a0a0" stroked="f"/>
        </w:pict>
      </w:r>
    </w:p>
    <w:p w14:paraId="066B72A0"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9. Dual Trend Chart</w:t>
      </w:r>
    </w:p>
    <w:p w14:paraId="6319296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Chart Type</w:t>
      </w:r>
    </w:p>
    <w:p w14:paraId="575761D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Dual Line</w:t>
      </w:r>
    </w:p>
    <w:p w14:paraId="4E5138C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1</w:t>
      </w:r>
    </w:p>
    <w:p w14:paraId="1CFB91D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Net Margin (%)</w:t>
      </w:r>
    </w:p>
    <w:p w14:paraId="7A17C33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Line 2</w:t>
      </w:r>
    </w:p>
    <w:p w14:paraId="7CAA1A4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Praxis Score</w:t>
      </w:r>
    </w:p>
    <w:p w14:paraId="24C01B0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History</w:t>
      </w:r>
    </w:p>
    <w:p w14:paraId="78DA66C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Last 8 Quarterly Updates</w:t>
      </w:r>
    </w:p>
    <w:p w14:paraId="6DA7100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w:t>
      </w:r>
    </w:p>
    <w:p w14:paraId="3D1ECE0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After every quarterly financial report.</w:t>
      </w:r>
    </w:p>
    <w:p w14:paraId="61D3F67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18EE7C9">
          <v:rect id="_x0000_i1353" style="width:0;height:1.5pt" o:hralign="center" o:hrstd="t" o:hr="t" fillcolor="#a0a0a0" stroked="f"/>
        </w:pict>
      </w:r>
    </w:p>
    <w:p w14:paraId="1BA3AF24"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10. AI Insight Rules</w:t>
      </w:r>
    </w:p>
    <w:p w14:paraId="7182C57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Margin Above 20%</w:t>
      </w:r>
    </w:p>
    <w:p w14:paraId="40DECB8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company is converting a significant portion of revenue into profit.</w:t>
      </w:r>
    </w:p>
    <w:p w14:paraId="3E32338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Margin Between 15% and 20%</w:t>
      </w:r>
    </w:p>
    <w:p w14:paraId="26EFEB8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profitability remains strong.</w:t>
      </w:r>
    </w:p>
    <w:p w14:paraId="5D2B954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Margin Between 10% and 15%</w:t>
      </w:r>
    </w:p>
    <w:p w14:paraId="6C0B7D1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profit margins are healthy but should continue improving.</w:t>
      </w:r>
    </w:p>
    <w:p w14:paraId="0FCADE8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lastRenderedPageBreak/>
        <w:t>Margin Below 10%</w:t>
      </w:r>
    </w:p>
    <w:p w14:paraId="74C8C98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profitability is relatively weak and cost efficiency may require improvement.</w:t>
      </w:r>
    </w:p>
    <w:p w14:paraId="55E7EEA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Negative Margin</w:t>
      </w:r>
    </w:p>
    <w:p w14:paraId="3DBB2F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Explain that the business is currently operating at a loss.</w:t>
      </w:r>
    </w:p>
    <w:p w14:paraId="511BCE2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25EEF19">
          <v:rect id="_x0000_i1354" style="width:0;height:1.5pt" o:hralign="center" o:hrstd="t" o:hr="t" fillcolor="#a0a0a0" stroked="f"/>
        </w:pict>
      </w:r>
    </w:p>
    <w:p w14:paraId="32C05BCD"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11. Why It Matters</w:t>
      </w:r>
    </w:p>
    <w:p w14:paraId="188E92B4" w14:textId="77777777" w:rsidR="004C6658" w:rsidRPr="004C6658" w:rsidRDefault="004C6658" w:rsidP="004C665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Measures overall profitability. </w:t>
      </w:r>
    </w:p>
    <w:p w14:paraId="309EC4F4" w14:textId="77777777" w:rsidR="004C6658" w:rsidRPr="004C6658" w:rsidRDefault="004C6658" w:rsidP="004C665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Reflects cost management efficiency. </w:t>
      </w:r>
    </w:p>
    <w:p w14:paraId="55F69C02" w14:textId="77777777" w:rsidR="004C6658" w:rsidRPr="004C6658" w:rsidRDefault="004C6658" w:rsidP="004C665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Indicates pricing power. </w:t>
      </w:r>
    </w:p>
    <w:p w14:paraId="70CBCA9F" w14:textId="77777777" w:rsidR="004C6658" w:rsidRPr="004C6658" w:rsidRDefault="004C6658" w:rsidP="004C665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Supports long-term valuation analysis. </w:t>
      </w:r>
    </w:p>
    <w:p w14:paraId="5529240E" w14:textId="77777777" w:rsidR="004C6658" w:rsidRPr="004C6658" w:rsidRDefault="004C6658" w:rsidP="004C665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Helps compare profitability across reporting periods. </w:t>
      </w:r>
    </w:p>
    <w:p w14:paraId="26591550"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4F076D32">
          <v:rect id="_x0000_i1355" style="width:0;height:1.5pt" o:hralign="center" o:hrstd="t" o:hr="t" fillcolor="#a0a0a0" stroked="f"/>
        </w:pict>
      </w:r>
    </w:p>
    <w:p w14:paraId="42936AF0"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12. Trading Impact</w:t>
      </w:r>
    </w:p>
    <w:p w14:paraId="2C7A60F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Intraday</w:t>
      </w:r>
    </w:p>
    <w:p w14:paraId="6DE6AD28"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p>
    <w:p w14:paraId="458DD80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Swing Trading</w:t>
      </w:r>
    </w:p>
    <w:p w14:paraId="6DA5988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04D942E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Positional Trading</w:t>
      </w:r>
    </w:p>
    <w:p w14:paraId="1DE8FD2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0E43809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Options Trading</w:t>
      </w:r>
    </w:p>
    <w:p w14:paraId="4EA974D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Segoe UI Symbol" w:eastAsia="Times New Roman" w:hAnsi="Segoe UI Symbol" w:cs="Segoe UI Symbol"/>
          <w:sz w:val="24"/>
          <w:szCs w:val="24"/>
        </w:rPr>
        <w:t>★★☆☆☆</w:t>
      </w:r>
    </w:p>
    <w:p w14:paraId="55F3BD89"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Best Use</w:t>
      </w:r>
    </w:p>
    <w:p w14:paraId="02BB066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Evaluating long-term profitability.</w:t>
      </w:r>
    </w:p>
    <w:p w14:paraId="5BF1DB9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Avoid Using Alone</w:t>
      </w:r>
    </w:p>
    <w:p w14:paraId="6881E37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Yes</w:t>
      </w:r>
    </w:p>
    <w:p w14:paraId="5A00DC4B"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AF4EC35">
          <v:rect id="_x0000_i1356" style="width:0;height:1.5pt" o:hralign="center" o:hrstd="t" o:hr="t" fillcolor="#a0a0a0" stroked="f"/>
        </w:pict>
      </w:r>
    </w:p>
    <w:p w14:paraId="6E1017B0"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13. Supporting Indicators</w:t>
      </w:r>
    </w:p>
    <w:p w14:paraId="7A69B119" w14:textId="77777777" w:rsidR="004C6658" w:rsidRPr="004C6658" w:rsidRDefault="004C6658" w:rsidP="004C665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Operating Margin </w:t>
      </w:r>
    </w:p>
    <w:p w14:paraId="43BBF728" w14:textId="77777777" w:rsidR="004C6658" w:rsidRPr="004C6658" w:rsidRDefault="004C6658" w:rsidP="004C665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Profit Growth </w:t>
      </w:r>
    </w:p>
    <w:p w14:paraId="1D0582BD" w14:textId="77777777" w:rsidR="004C6658" w:rsidRPr="004C6658" w:rsidRDefault="004C6658" w:rsidP="004C665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ROE </w:t>
      </w:r>
    </w:p>
    <w:p w14:paraId="777551E4" w14:textId="77777777" w:rsidR="004C6658" w:rsidRPr="004C6658" w:rsidRDefault="004C6658" w:rsidP="004C665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ROCE </w:t>
      </w:r>
    </w:p>
    <w:p w14:paraId="6AD391BC" w14:textId="77777777" w:rsidR="004C6658" w:rsidRPr="004C6658" w:rsidRDefault="004C6658" w:rsidP="004C665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EPS Growth </w:t>
      </w:r>
    </w:p>
    <w:p w14:paraId="518AC78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51168D50">
          <v:rect id="_x0000_i1357" style="width:0;height:1.5pt" o:hralign="center" o:hrstd="t" o:hr="t" fillcolor="#a0a0a0" stroked="f"/>
        </w:pict>
      </w:r>
    </w:p>
    <w:p w14:paraId="5414F449"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14. Metadata</w:t>
      </w:r>
    </w:p>
    <w:p w14:paraId="42EC6C7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Source</w:t>
      </w:r>
    </w:p>
    <w:p w14:paraId="030AB455"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NSE Financial Results</w:t>
      </w:r>
    </w:p>
    <w:p w14:paraId="4CB4C7D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Calculation</w:t>
      </w:r>
    </w:p>
    <w:p w14:paraId="4E636E5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Backend</w:t>
      </w:r>
    </w:p>
    <w:p w14:paraId="578C7A9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Updated</w:t>
      </w:r>
    </w:p>
    <w:p w14:paraId="43479FD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Quarterly</w:t>
      </w:r>
    </w:p>
    <w:p w14:paraId="2DCAC7C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proofErr w:type="spellStart"/>
      <w:r w:rsidRPr="004C6658">
        <w:rPr>
          <w:rFonts w:ascii="Times New Roman" w:eastAsia="Times New Roman" w:hAnsi="Times New Roman" w:cs="Times New Roman"/>
          <w:b/>
          <w:bCs/>
          <w:sz w:val="24"/>
          <w:szCs w:val="24"/>
        </w:rPr>
        <w:t>Timezone</w:t>
      </w:r>
      <w:proofErr w:type="spellEnd"/>
    </w:p>
    <w:p w14:paraId="575FEA2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Asia/Kolkata</w:t>
      </w:r>
    </w:p>
    <w:p w14:paraId="15A5A19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Storage</w:t>
      </w:r>
    </w:p>
    <w:p w14:paraId="0E361BFE"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Local Electron Database</w:t>
      </w:r>
    </w:p>
    <w:p w14:paraId="4CDCA0D6"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9380ACE">
          <v:rect id="_x0000_i1358" style="width:0;height:1.5pt" o:hralign="center" o:hrstd="t" o:hr="t" fillcolor="#a0a0a0" stroked="f"/>
        </w:pict>
      </w:r>
    </w:p>
    <w:p w14:paraId="4713091C"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15. Developer Notes</w:t>
      </w:r>
    </w:p>
    <w:p w14:paraId="40514912"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Store:</w:t>
      </w:r>
    </w:p>
    <w:p w14:paraId="096CFF79" w14:textId="77777777" w:rsidR="004C6658" w:rsidRPr="004C6658" w:rsidRDefault="004C6658" w:rsidP="004C665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Net Margin </w:t>
      </w:r>
    </w:p>
    <w:p w14:paraId="359186D2" w14:textId="77777777" w:rsidR="004C6658" w:rsidRPr="004C6658" w:rsidRDefault="004C6658" w:rsidP="004C665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lastRenderedPageBreak/>
        <w:t xml:space="preserve">Historical Net Margin </w:t>
      </w:r>
    </w:p>
    <w:p w14:paraId="2AEDF32B" w14:textId="77777777" w:rsidR="004C6658" w:rsidRPr="004C6658" w:rsidRDefault="004C6658" w:rsidP="004C665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Profit </w:t>
      </w:r>
    </w:p>
    <w:p w14:paraId="05967A0A" w14:textId="77777777" w:rsidR="004C6658" w:rsidRPr="004C6658" w:rsidRDefault="004C6658" w:rsidP="004C665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Revenue </w:t>
      </w:r>
    </w:p>
    <w:p w14:paraId="78D474B2" w14:textId="77777777" w:rsidR="004C6658" w:rsidRPr="004C6658" w:rsidRDefault="004C6658" w:rsidP="004C665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Current Score </w:t>
      </w:r>
    </w:p>
    <w:p w14:paraId="098DD12B" w14:textId="77777777" w:rsidR="004C6658" w:rsidRPr="004C6658" w:rsidRDefault="004C6658" w:rsidP="004C665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Confidence </w:t>
      </w:r>
    </w:p>
    <w:p w14:paraId="209E25E1" w14:textId="77777777" w:rsidR="004C6658" w:rsidRPr="004C6658" w:rsidRDefault="004C6658" w:rsidP="004C665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Last Updated </w:t>
      </w:r>
    </w:p>
    <w:p w14:paraId="6E1FF89C"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If Revenue is zero, return </w:t>
      </w:r>
      <w:r w:rsidRPr="004C6658">
        <w:rPr>
          <w:rFonts w:ascii="Times New Roman" w:eastAsia="Times New Roman" w:hAnsi="Times New Roman" w:cs="Times New Roman"/>
          <w:b/>
          <w:bCs/>
          <w:sz w:val="24"/>
          <w:szCs w:val="24"/>
        </w:rPr>
        <w:t>"Not Available"</w:t>
      </w:r>
      <w:r w:rsidRPr="004C6658">
        <w:rPr>
          <w:rFonts w:ascii="Times New Roman" w:eastAsia="Times New Roman" w:hAnsi="Times New Roman" w:cs="Times New Roman"/>
          <w:sz w:val="24"/>
          <w:szCs w:val="24"/>
        </w:rPr>
        <w:t xml:space="preserve"> instead of calculating the margin.</w:t>
      </w:r>
    </w:p>
    <w:p w14:paraId="5B916AA3"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26036B63">
          <v:rect id="_x0000_i1359" style="width:0;height:1.5pt" o:hralign="center" o:hrstd="t" o:hr="t" fillcolor="#a0a0a0" stroked="f"/>
        </w:pict>
      </w:r>
    </w:p>
    <w:p w14:paraId="74B4D3B1"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t xml:space="preserve">16. Praxis Engine Integration </w:t>
      </w:r>
      <w:r w:rsidRPr="004C6658">
        <w:rPr>
          <w:rFonts w:ascii="Segoe UI Emoji" w:eastAsia="Times New Roman" w:hAnsi="Segoe UI Emoji" w:cs="Segoe UI Emoji"/>
          <w:b/>
          <w:bCs/>
          <w:kern w:val="36"/>
          <w:sz w:val="48"/>
          <w:szCs w:val="48"/>
        </w:rPr>
        <w:t>⭐</w:t>
      </w:r>
    </w:p>
    <w:p w14:paraId="582A1D6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Engine Weight</w:t>
      </w:r>
    </w:p>
    <w:p w14:paraId="62B67B57"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 (Configurable)</w:t>
      </w:r>
    </w:p>
    <w:p w14:paraId="0DA695A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Relative Importance</w:t>
      </w:r>
    </w:p>
    <w:p w14:paraId="4AC88B86"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High</w:t>
      </w:r>
    </w:p>
    <w:p w14:paraId="0A9D7BA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Decision Engine Role</w:t>
      </w:r>
    </w:p>
    <w:p w14:paraId="569EA08B"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Profitability Assessment</w:t>
      </w:r>
    </w:p>
    <w:p w14:paraId="1E81E8A3"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Primary Use</w:t>
      </w:r>
    </w:p>
    <w:p w14:paraId="78C67D8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Measure the company's ability to convert revenue into net profit.</w:t>
      </w:r>
    </w:p>
    <w:p w14:paraId="71CA3C04"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Bullish Confirmation</w:t>
      </w:r>
    </w:p>
    <w:p w14:paraId="766D6A73" w14:textId="77777777" w:rsidR="004C6658" w:rsidRPr="004C6658" w:rsidRDefault="004C6658" w:rsidP="004C665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Expanding Net Margin </w:t>
      </w:r>
    </w:p>
    <w:p w14:paraId="5E99A780" w14:textId="77777777" w:rsidR="004C6658" w:rsidRPr="004C6658" w:rsidRDefault="004C6658" w:rsidP="004C665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Positive Profit Growth </w:t>
      </w:r>
    </w:p>
    <w:p w14:paraId="47BBBEB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Bearish Confirmation</w:t>
      </w:r>
    </w:p>
    <w:p w14:paraId="0890CEA0" w14:textId="77777777" w:rsidR="004C6658" w:rsidRPr="004C6658" w:rsidRDefault="004C6658" w:rsidP="004C665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Declining Net Margin </w:t>
      </w:r>
    </w:p>
    <w:p w14:paraId="36537690" w14:textId="77777777" w:rsidR="004C6658" w:rsidRPr="004C6658" w:rsidRDefault="004C6658" w:rsidP="004C665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Falling Revenue Growth </w:t>
      </w:r>
    </w:p>
    <w:p w14:paraId="3AF8531F"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b/>
          <w:bCs/>
          <w:sz w:val="24"/>
          <w:szCs w:val="24"/>
        </w:rPr>
        <w:t>Display Priority</w:t>
      </w:r>
    </w:p>
    <w:p w14:paraId="639999D0"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Medium-High</w:t>
      </w:r>
    </w:p>
    <w:p w14:paraId="16AE9A54" w14:textId="77777777" w:rsidR="004C6658" w:rsidRPr="004C6658" w:rsidRDefault="004C6658" w:rsidP="004C6658">
      <w:pPr>
        <w:spacing w:after="0"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pict w14:anchorId="6C3B73AD">
          <v:rect id="_x0000_i1360" style="width:0;height:1.5pt" o:hralign="center" o:hrstd="t" o:hr="t" fillcolor="#a0a0a0" stroked="f"/>
        </w:pict>
      </w:r>
    </w:p>
    <w:p w14:paraId="43635338" w14:textId="77777777" w:rsidR="004C6658" w:rsidRPr="004C6658" w:rsidRDefault="004C6658" w:rsidP="004C66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6658">
        <w:rPr>
          <w:rFonts w:ascii="Times New Roman" w:eastAsia="Times New Roman" w:hAnsi="Times New Roman" w:cs="Times New Roman"/>
          <w:b/>
          <w:bCs/>
          <w:kern w:val="36"/>
          <w:sz w:val="48"/>
          <w:szCs w:val="48"/>
        </w:rPr>
        <w:lastRenderedPageBreak/>
        <w:t>17. Praxis Recommendation</w:t>
      </w:r>
    </w:p>
    <w:p w14:paraId="547C68DA" w14:textId="77777777" w:rsidR="004C6658" w:rsidRP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Margin should act as the </w:t>
      </w:r>
      <w:r w:rsidRPr="004C6658">
        <w:rPr>
          <w:rFonts w:ascii="Times New Roman" w:eastAsia="Times New Roman" w:hAnsi="Times New Roman" w:cs="Times New Roman"/>
          <w:b/>
          <w:bCs/>
          <w:sz w:val="24"/>
          <w:szCs w:val="24"/>
        </w:rPr>
        <w:t>overall profitability indicator</w:t>
      </w:r>
      <w:r w:rsidRPr="004C6658">
        <w:rPr>
          <w:rFonts w:ascii="Times New Roman" w:eastAsia="Times New Roman" w:hAnsi="Times New Roman" w:cs="Times New Roman"/>
          <w:sz w:val="24"/>
          <w:szCs w:val="24"/>
        </w:rPr>
        <w:t xml:space="preserve"> within the Profitability category.</w:t>
      </w:r>
    </w:p>
    <w:p w14:paraId="43CF6769"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Profitability Hierarchy</w:t>
      </w:r>
    </w:p>
    <w:p w14:paraId="06BEF66C" w14:textId="77777777" w:rsidR="004C6658" w:rsidRPr="004C6658" w:rsidRDefault="004C6658" w:rsidP="004C665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ROE </w:t>
      </w:r>
    </w:p>
    <w:p w14:paraId="67004774" w14:textId="77777777" w:rsidR="004C6658" w:rsidRPr="004C6658" w:rsidRDefault="004C6658" w:rsidP="004C665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Times New Roman" w:eastAsia="Times New Roman" w:hAnsi="Times New Roman" w:cs="Times New Roman"/>
          <w:sz w:val="24"/>
          <w:szCs w:val="24"/>
        </w:rPr>
        <w:t xml:space="preserve"> ROCE </w:t>
      </w:r>
    </w:p>
    <w:p w14:paraId="10C20C27" w14:textId="77777777" w:rsidR="004C6658" w:rsidRPr="004C6658" w:rsidRDefault="004C6658" w:rsidP="004C665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Net Margin </w:t>
      </w:r>
    </w:p>
    <w:p w14:paraId="7F58F3EE" w14:textId="77777777" w:rsidR="004C6658" w:rsidRPr="004C6658" w:rsidRDefault="004C6658" w:rsidP="004C665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4C6658">
        <w:rPr>
          <w:rFonts w:ascii="Segoe UI Emoji" w:eastAsia="Times New Roman" w:hAnsi="Segoe UI Emoji" w:cs="Segoe UI Emoji"/>
          <w:sz w:val="24"/>
          <w:szCs w:val="24"/>
        </w:rPr>
        <w:t>⭐⭐⭐⭐</w:t>
      </w:r>
      <w:r w:rsidRPr="004C6658">
        <w:rPr>
          <w:rFonts w:ascii="Segoe UI Symbol" w:eastAsia="Times New Roman" w:hAnsi="Segoe UI Symbol" w:cs="Segoe UI Symbol"/>
          <w:sz w:val="24"/>
          <w:szCs w:val="24"/>
        </w:rPr>
        <w:t>☆</w:t>
      </w:r>
      <w:r w:rsidRPr="004C6658">
        <w:rPr>
          <w:rFonts w:ascii="Times New Roman" w:eastAsia="Times New Roman" w:hAnsi="Times New Roman" w:cs="Times New Roman"/>
          <w:sz w:val="24"/>
          <w:szCs w:val="24"/>
        </w:rPr>
        <w:t xml:space="preserve"> Operating Margin </w:t>
      </w:r>
    </w:p>
    <w:p w14:paraId="1292E168" w14:textId="77777777" w:rsidR="004C6658" w:rsidRPr="004C6658" w:rsidRDefault="004C6658" w:rsidP="004C6658">
      <w:pPr>
        <w:spacing w:before="100" w:beforeAutospacing="1" w:after="100" w:afterAutospacing="1" w:line="240" w:lineRule="auto"/>
        <w:outlineLvl w:val="2"/>
        <w:rPr>
          <w:rFonts w:ascii="Times New Roman" w:eastAsia="Times New Roman" w:hAnsi="Times New Roman" w:cs="Times New Roman"/>
          <w:b/>
          <w:bCs/>
          <w:sz w:val="27"/>
          <w:szCs w:val="27"/>
        </w:rPr>
      </w:pPr>
      <w:r w:rsidRPr="004C6658">
        <w:rPr>
          <w:rFonts w:ascii="Times New Roman" w:eastAsia="Times New Roman" w:hAnsi="Times New Roman" w:cs="Times New Roman"/>
          <w:b/>
          <w:bCs/>
          <w:sz w:val="27"/>
          <w:szCs w:val="27"/>
        </w:rPr>
        <w:t>Engine Rules</w:t>
      </w:r>
    </w:p>
    <w:p w14:paraId="27DE14A5" w14:textId="77777777" w:rsidR="004C6658" w:rsidRPr="004C6658" w:rsidRDefault="004C6658" w:rsidP="004C665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Margin increasing for multiple quarters → Increase Profitability Score. </w:t>
      </w:r>
    </w:p>
    <w:p w14:paraId="0DCACAD2" w14:textId="77777777" w:rsidR="004C6658" w:rsidRPr="004C6658" w:rsidRDefault="004C6658" w:rsidP="004C665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Margin + Revenue Growth both improving → High-confidence business improvement. </w:t>
      </w:r>
    </w:p>
    <w:p w14:paraId="37D39BB4" w14:textId="77777777" w:rsidR="004C6658" w:rsidRPr="004C6658" w:rsidRDefault="004C6658" w:rsidP="004C665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Declining Net Margin + Falling Profit Growth → Reduce Profitability Score. </w:t>
      </w:r>
    </w:p>
    <w:p w14:paraId="4C0911D2" w14:textId="77777777" w:rsidR="004C6658" w:rsidRPr="004C6658" w:rsidRDefault="004C6658" w:rsidP="004C665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Confirm Net Margin with Operating Margin to distinguish operational weakness from financing or tax-related impacts. </w:t>
      </w:r>
    </w:p>
    <w:p w14:paraId="12FD7F6E" w14:textId="1372DC70" w:rsidR="004C6658" w:rsidRDefault="004C6658" w:rsidP="004C6658">
      <w:pPr>
        <w:spacing w:before="100" w:beforeAutospacing="1" w:after="100" w:afterAutospacing="1" w:line="240" w:lineRule="auto"/>
        <w:rPr>
          <w:rFonts w:ascii="Times New Roman" w:eastAsia="Times New Roman" w:hAnsi="Times New Roman" w:cs="Times New Roman"/>
          <w:sz w:val="24"/>
          <w:szCs w:val="24"/>
        </w:rPr>
      </w:pPr>
      <w:r w:rsidRPr="004C6658">
        <w:rPr>
          <w:rFonts w:ascii="Times New Roman" w:eastAsia="Times New Roman" w:hAnsi="Times New Roman" w:cs="Times New Roman"/>
          <w:sz w:val="24"/>
          <w:szCs w:val="24"/>
        </w:rPr>
        <w:t xml:space="preserve">Net Margin should strengthen the </w:t>
      </w:r>
      <w:r w:rsidRPr="004C6658">
        <w:rPr>
          <w:rFonts w:ascii="Times New Roman" w:eastAsia="Times New Roman" w:hAnsi="Times New Roman" w:cs="Times New Roman"/>
          <w:b/>
          <w:bCs/>
          <w:sz w:val="24"/>
          <w:szCs w:val="24"/>
        </w:rPr>
        <w:t>Profitability Score</w:t>
      </w:r>
      <w:r w:rsidRPr="004C6658">
        <w:rPr>
          <w:rFonts w:ascii="Times New Roman" w:eastAsia="Times New Roman" w:hAnsi="Times New Roman" w:cs="Times New Roman"/>
          <w:sz w:val="24"/>
          <w:szCs w:val="24"/>
        </w:rPr>
        <w:t xml:space="preserve"> by measuring the company's overall ability to convert revenue into profit and should be interpreted alongside ROE, ROCE, and Operating Margin for a complete profitability assessment.</w:t>
      </w:r>
    </w:p>
    <w:p w14:paraId="387F7CC5" w14:textId="0DE2615E"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40BE17C8" w14:textId="57A33C2E"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2C489976" w14:textId="78341B28"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0202BED4" w14:textId="3E5F70B4"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6E73913E" w14:textId="6297DEEC"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774FF70C" w14:textId="51C5761A"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1F50AF45" w14:textId="7560AC26"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18B935F4" w14:textId="145786C5"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7CD9DEB9" w14:textId="4D425106" w:rsidR="00E11FEB"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042B29BA" w14:textId="77777777" w:rsidR="00E11FEB" w:rsidRPr="004C6658" w:rsidRDefault="00E11FEB" w:rsidP="004C6658">
      <w:pPr>
        <w:spacing w:before="100" w:beforeAutospacing="1" w:after="100" w:afterAutospacing="1" w:line="240" w:lineRule="auto"/>
        <w:rPr>
          <w:rFonts w:ascii="Times New Roman" w:eastAsia="Times New Roman" w:hAnsi="Times New Roman" w:cs="Times New Roman"/>
          <w:sz w:val="24"/>
          <w:szCs w:val="24"/>
        </w:rPr>
      </w:pPr>
    </w:p>
    <w:p w14:paraId="7BD94D8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D405C">
        <w:rPr>
          <w:rFonts w:ascii="Times New Roman" w:eastAsia="Times New Roman" w:hAnsi="Times New Roman" w:cs="Times New Roman"/>
          <w:b/>
          <w:bCs/>
          <w:color w:val="FF0000"/>
          <w:kern w:val="36"/>
          <w:sz w:val="48"/>
          <w:szCs w:val="48"/>
        </w:rPr>
        <w:lastRenderedPageBreak/>
        <w:t>12. Operating Margin</w:t>
      </w:r>
    </w:p>
    <w:p w14:paraId="5A80C1B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Profitability</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Status:</w:t>
      </w:r>
      <w:r w:rsidRPr="004D405C">
        <w:rPr>
          <w:rFonts w:ascii="Times New Roman" w:eastAsia="Times New Roman" w:hAnsi="Times New Roman" w:cs="Times New Roman"/>
          <w:sz w:val="24"/>
          <w:szCs w:val="24"/>
        </w:rPr>
        <w:t xml:space="preserve"> Production Ready</w:t>
      </w:r>
    </w:p>
    <w:p w14:paraId="18944966" w14:textId="77777777" w:rsidR="004D405C" w:rsidRPr="004D405C" w:rsidRDefault="004D405C" w:rsidP="004D405C">
      <w:pPr>
        <w:spacing w:before="100" w:beforeAutospacing="1" w:after="100" w:afterAutospacing="1" w:line="240" w:lineRule="auto"/>
        <w:outlineLvl w:val="1"/>
        <w:rPr>
          <w:rFonts w:ascii="Times New Roman" w:eastAsia="Times New Roman" w:hAnsi="Times New Roman" w:cs="Times New Roman"/>
          <w:b/>
          <w:bCs/>
          <w:sz w:val="36"/>
          <w:szCs w:val="36"/>
        </w:rPr>
      </w:pPr>
      <w:r w:rsidRPr="004D405C">
        <w:rPr>
          <w:rFonts w:ascii="Times New Roman" w:eastAsia="Times New Roman" w:hAnsi="Times New Roman" w:cs="Times New Roman"/>
          <w:b/>
          <w:bCs/>
          <w:sz w:val="36"/>
          <w:szCs w:val="36"/>
        </w:rPr>
        <w:t>1. Overview</w:t>
      </w:r>
    </w:p>
    <w:p w14:paraId="0BD07F3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Name:</w:t>
      </w:r>
      <w:r w:rsidRPr="004D405C">
        <w:rPr>
          <w:rFonts w:ascii="Times New Roman" w:eastAsia="Times New Roman" w:hAnsi="Times New Roman" w:cs="Times New Roman"/>
          <w:sz w:val="24"/>
          <w:szCs w:val="24"/>
        </w:rPr>
        <w:t xml:space="preserve"> Operating Margin</w:t>
      </w:r>
    </w:p>
    <w:p w14:paraId="58ACF41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Short Name:</w:t>
      </w:r>
      <w:r w:rsidRPr="004D405C">
        <w:rPr>
          <w:rFonts w:ascii="Times New Roman" w:eastAsia="Times New Roman" w:hAnsi="Times New Roman" w:cs="Times New Roman"/>
          <w:sz w:val="24"/>
          <w:szCs w:val="24"/>
        </w:rPr>
        <w:t xml:space="preserve"> Operating Margin</w:t>
      </w:r>
    </w:p>
    <w:p w14:paraId="7E1CD60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p>
    <w:p w14:paraId="334C4CF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Profitability</w:t>
      </w:r>
    </w:p>
    <w:p w14:paraId="1131B25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Purpose:</w:t>
      </w:r>
    </w:p>
    <w:p w14:paraId="3A9485A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Measures the percentage of revenue remaining after operating expenses but before interest and taxes (EBIT). It evaluates the efficiency of a company's core business operations.</w:t>
      </w:r>
    </w:p>
    <w:p w14:paraId="6ED953A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Based On:</w:t>
      </w:r>
    </w:p>
    <w:p w14:paraId="226A252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Operating Profit (EBIT) and Revenue</w:t>
      </w:r>
    </w:p>
    <w:p w14:paraId="5D1FFEB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Importance:</w:t>
      </w:r>
    </w:p>
    <w:p w14:paraId="2F7C93F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(Core Profitability Indicator)</w:t>
      </w:r>
    </w:p>
    <w:p w14:paraId="5946505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Auto / Manual:</w:t>
      </w:r>
    </w:p>
    <w:p w14:paraId="7985D87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Manual (V1)</w:t>
      </w:r>
    </w:p>
    <w:p w14:paraId="1ECF82B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 Frequency:</w:t>
      </w:r>
    </w:p>
    <w:p w14:paraId="19D7573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After every quarterly financial </w:t>
      </w:r>
      <w:proofErr w:type="gramStart"/>
      <w:r w:rsidRPr="004D405C">
        <w:rPr>
          <w:rFonts w:ascii="Times New Roman" w:eastAsia="Times New Roman" w:hAnsi="Times New Roman" w:cs="Times New Roman"/>
          <w:sz w:val="24"/>
          <w:szCs w:val="24"/>
        </w:rPr>
        <w:t>results</w:t>
      </w:r>
      <w:proofErr w:type="gramEnd"/>
      <w:r w:rsidRPr="004D405C">
        <w:rPr>
          <w:rFonts w:ascii="Times New Roman" w:eastAsia="Times New Roman" w:hAnsi="Times New Roman" w:cs="Times New Roman"/>
          <w:sz w:val="24"/>
          <w:szCs w:val="24"/>
        </w:rPr>
        <w:t>.</w:t>
      </w:r>
    </w:p>
    <w:p w14:paraId="7539A88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Praxis Note:</w:t>
      </w:r>
    </w:p>
    <w:p w14:paraId="400425A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Operating Margin focuses only on operating performance. Unlike Net Margin, it is not affected by financing costs or taxes, making it a better measure of operational efficiency.</w:t>
      </w:r>
    </w:p>
    <w:p w14:paraId="7A2652C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B063545">
          <v:rect id="_x0000_i1377" style="width:0;height:1.5pt" o:hralign="center" o:hrstd="t" o:hr="t" fillcolor="#a0a0a0" stroked="f"/>
        </w:pict>
      </w:r>
    </w:p>
    <w:p w14:paraId="2B43BDC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2. Data Requirements</w:t>
      </w:r>
    </w:p>
    <w:p w14:paraId="60D4F27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Required Data</w:t>
      </w:r>
    </w:p>
    <w:p w14:paraId="64673B70" w14:textId="77777777" w:rsidR="004D405C" w:rsidRPr="004D405C" w:rsidRDefault="004D405C" w:rsidP="004D405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Profit (EBIT) </w:t>
      </w:r>
    </w:p>
    <w:p w14:paraId="676020F6" w14:textId="77777777" w:rsidR="004D405C" w:rsidRPr="004D405C" w:rsidRDefault="004D405C" w:rsidP="004D405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Total Revenue </w:t>
      </w:r>
    </w:p>
    <w:p w14:paraId="6DDD5F12" w14:textId="77777777" w:rsidR="004D405C" w:rsidRPr="004D405C" w:rsidRDefault="004D405C" w:rsidP="004D405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Operating Margin (%) </w:t>
      </w:r>
    </w:p>
    <w:p w14:paraId="60953058" w14:textId="77777777" w:rsidR="004D405C" w:rsidRPr="004D405C" w:rsidRDefault="004D405C" w:rsidP="004D405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Operating Margin </w:t>
      </w:r>
    </w:p>
    <w:p w14:paraId="566C9515"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Minimum Historical Data</w:t>
      </w:r>
    </w:p>
    <w:p w14:paraId="1EA01CC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 Quarterly Reports</w:t>
      </w:r>
    </w:p>
    <w:p w14:paraId="7F7D939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Recommended:</w:t>
      </w:r>
    </w:p>
    <w:p w14:paraId="0F945E7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 Years</w:t>
      </w:r>
    </w:p>
    <w:p w14:paraId="49F8440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Primary Source</w:t>
      </w:r>
    </w:p>
    <w:p w14:paraId="5455DF96" w14:textId="77777777" w:rsidR="004D405C" w:rsidRPr="004D405C" w:rsidRDefault="004D405C" w:rsidP="004D405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Financial Results </w:t>
      </w:r>
    </w:p>
    <w:p w14:paraId="7D6F55AE" w14:textId="77777777" w:rsidR="004D405C" w:rsidRPr="004D405C" w:rsidRDefault="004D405C" w:rsidP="004D405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Company Financial Statements </w:t>
      </w:r>
    </w:p>
    <w:p w14:paraId="3336EC66" w14:textId="77777777" w:rsidR="004D405C" w:rsidRPr="004D405C" w:rsidRDefault="004D405C" w:rsidP="004D405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Annual Reports </w:t>
      </w:r>
    </w:p>
    <w:p w14:paraId="5D17C60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8366397">
          <v:rect id="_x0000_i1378" style="width:0;height:1.5pt" o:hralign="center" o:hrstd="t" o:hr="t" fillcolor="#a0a0a0" stroked="f"/>
        </w:pict>
      </w:r>
    </w:p>
    <w:p w14:paraId="741473C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3. Industry Standard Calculation</w:t>
      </w:r>
    </w:p>
    <w:p w14:paraId="4FAB4BF9"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Formula</w:t>
      </w:r>
    </w:p>
    <w:p w14:paraId="798E7AD3"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Operating Margin (%) =</w:t>
      </w:r>
    </w:p>
    <w:p w14:paraId="6A0AFC04"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(EBIT ÷ Revenue) × 100</w:t>
      </w:r>
    </w:p>
    <w:p w14:paraId="42731FF6"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Implementation Steps</w:t>
      </w:r>
    </w:p>
    <w:p w14:paraId="559DF988" w14:textId="77777777" w:rsidR="004D405C" w:rsidRPr="004D405C" w:rsidRDefault="004D405C" w:rsidP="004D405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Operating Profit (EBIT). </w:t>
      </w:r>
    </w:p>
    <w:p w14:paraId="287AB617" w14:textId="77777777" w:rsidR="004D405C" w:rsidRPr="004D405C" w:rsidRDefault="004D405C" w:rsidP="004D405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Total Revenue. </w:t>
      </w:r>
    </w:p>
    <w:p w14:paraId="06A8687A" w14:textId="77777777" w:rsidR="004D405C" w:rsidRPr="004D405C" w:rsidRDefault="004D405C" w:rsidP="004D405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Calculate Operating Margin. </w:t>
      </w:r>
    </w:p>
    <w:p w14:paraId="05BCB4D0" w14:textId="77777777" w:rsidR="004D405C" w:rsidRPr="004D405C" w:rsidRDefault="004D405C" w:rsidP="004D405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 with historical margin trends. </w:t>
      </w:r>
    </w:p>
    <w:p w14:paraId="337154A6" w14:textId="77777777" w:rsidR="004D405C" w:rsidRPr="004D405C" w:rsidRDefault="004D405C" w:rsidP="004D405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Generate the Profitability Score. </w:t>
      </w:r>
    </w:p>
    <w:p w14:paraId="1DC929EA"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4959C608" w14:textId="77777777" w:rsidR="004D405C" w:rsidRPr="004D405C" w:rsidRDefault="004D405C" w:rsidP="004D405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EBIT before interest and tax. </w:t>
      </w:r>
    </w:p>
    <w:p w14:paraId="140EFA73" w14:textId="77777777" w:rsidR="004D405C" w:rsidRPr="004D405C" w:rsidRDefault="004D405C" w:rsidP="004D405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Prefer consolidated financial statements. </w:t>
      </w:r>
    </w:p>
    <w:p w14:paraId="1DAAC394" w14:textId="77777777" w:rsidR="004D405C" w:rsidRPr="004D405C" w:rsidRDefault="004D405C" w:rsidP="004D405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Compare YoY trends for consistency. </w:t>
      </w:r>
    </w:p>
    <w:p w14:paraId="3B1DC84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9979BA7">
          <v:rect id="_x0000_i1379" style="width:0;height:1.5pt" o:hralign="center" o:hrstd="t" o:hr="t" fillcolor="#a0a0a0" stroked="f"/>
        </w:pict>
      </w:r>
    </w:p>
    <w:p w14:paraId="00991886"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4. Card Fields</w:t>
      </w:r>
    </w:p>
    <w:p w14:paraId="0C4E802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Value</w:t>
      </w:r>
    </w:p>
    <w:p w14:paraId="3A97503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Operating Margin (%)</w:t>
      </w:r>
    </w:p>
    <w:p w14:paraId="59ECBFC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Operating Profit</w:t>
      </w:r>
    </w:p>
    <w:p w14:paraId="6A86389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EBIT</w:t>
      </w:r>
    </w:p>
    <w:p w14:paraId="3A34F58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Revenue</w:t>
      </w:r>
    </w:p>
    <w:p w14:paraId="1CBB461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Revenue</w:t>
      </w:r>
    </w:p>
    <w:p w14:paraId="577D576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Score</w:t>
      </w:r>
    </w:p>
    <w:p w14:paraId="7E8E928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0–100</w:t>
      </w:r>
    </w:p>
    <w:p w14:paraId="3E9776B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Bias</w:t>
      </w:r>
    </w:p>
    <w:p w14:paraId="53B3380E" w14:textId="77777777" w:rsidR="004D405C" w:rsidRPr="004D405C" w:rsidRDefault="004D405C" w:rsidP="004D405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Bullish </w:t>
      </w:r>
    </w:p>
    <w:p w14:paraId="1D7A538B" w14:textId="77777777" w:rsidR="004D405C" w:rsidRPr="004D405C" w:rsidRDefault="004D405C" w:rsidP="004D405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Neutral </w:t>
      </w:r>
    </w:p>
    <w:p w14:paraId="78E3C8E5" w14:textId="77777777" w:rsidR="004D405C" w:rsidRPr="004D405C" w:rsidRDefault="004D405C" w:rsidP="004D405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Bearish </w:t>
      </w:r>
    </w:p>
    <w:p w14:paraId="559EEB6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Confidence</w:t>
      </w:r>
    </w:p>
    <w:p w14:paraId="4CB8E1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Profitability Confidence</w:t>
      </w:r>
    </w:p>
    <w:p w14:paraId="6BB1949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Impact Weight</w:t>
      </w:r>
    </w:p>
    <w:p w14:paraId="169F6CA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w:t>
      </w:r>
    </w:p>
    <w:p w14:paraId="7D183B3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83B42FD">
          <v:rect id="_x0000_i1380" style="width:0;height:1.5pt" o:hralign="center" o:hrstd="t" o:hr="t" fillcolor="#a0a0a0" stroked="f"/>
        </w:pict>
      </w:r>
    </w:p>
    <w:p w14:paraId="25A503E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634"/>
        <w:gridCol w:w="1509"/>
      </w:tblGrid>
      <w:tr w:rsidR="004D405C" w:rsidRPr="004D405C" w14:paraId="37C0F913" w14:textId="77777777" w:rsidTr="004D405C">
        <w:trPr>
          <w:tblHeader/>
          <w:tblCellSpacing w:w="15" w:type="dxa"/>
        </w:trPr>
        <w:tc>
          <w:tcPr>
            <w:tcW w:w="0" w:type="auto"/>
            <w:vAlign w:val="center"/>
            <w:hideMark/>
          </w:tcPr>
          <w:p w14:paraId="4692801E"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Operating Margin</w:t>
            </w:r>
          </w:p>
        </w:tc>
        <w:tc>
          <w:tcPr>
            <w:tcW w:w="0" w:type="auto"/>
            <w:vAlign w:val="center"/>
            <w:hideMark/>
          </w:tcPr>
          <w:p w14:paraId="7D49CD45"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Score</w:t>
            </w:r>
          </w:p>
        </w:tc>
        <w:tc>
          <w:tcPr>
            <w:tcW w:w="0" w:type="auto"/>
            <w:vAlign w:val="center"/>
            <w:hideMark/>
          </w:tcPr>
          <w:p w14:paraId="1354D01F"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Bias</w:t>
            </w:r>
          </w:p>
        </w:tc>
      </w:tr>
      <w:tr w:rsidR="004D405C" w:rsidRPr="004D405C" w14:paraId="158DCDE8" w14:textId="77777777" w:rsidTr="004D405C">
        <w:trPr>
          <w:tblCellSpacing w:w="15" w:type="dxa"/>
        </w:trPr>
        <w:tc>
          <w:tcPr>
            <w:tcW w:w="0" w:type="auto"/>
            <w:vAlign w:val="center"/>
            <w:hideMark/>
          </w:tcPr>
          <w:p w14:paraId="0120102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&gt;25%</w:t>
            </w:r>
          </w:p>
        </w:tc>
        <w:tc>
          <w:tcPr>
            <w:tcW w:w="0" w:type="auto"/>
            <w:vAlign w:val="center"/>
            <w:hideMark/>
          </w:tcPr>
          <w:p w14:paraId="4617FE6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tc>
        <w:tc>
          <w:tcPr>
            <w:tcW w:w="0" w:type="auto"/>
            <w:vAlign w:val="center"/>
            <w:hideMark/>
          </w:tcPr>
          <w:p w14:paraId="2188BB7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Bullish</w:t>
            </w:r>
          </w:p>
        </w:tc>
      </w:tr>
      <w:tr w:rsidR="004D405C" w:rsidRPr="004D405C" w14:paraId="44AE02AC" w14:textId="77777777" w:rsidTr="004D405C">
        <w:trPr>
          <w:tblCellSpacing w:w="15" w:type="dxa"/>
        </w:trPr>
        <w:tc>
          <w:tcPr>
            <w:tcW w:w="0" w:type="auto"/>
            <w:vAlign w:val="center"/>
            <w:hideMark/>
          </w:tcPr>
          <w:p w14:paraId="7C20FDC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18–25%</w:t>
            </w:r>
          </w:p>
        </w:tc>
        <w:tc>
          <w:tcPr>
            <w:tcW w:w="0" w:type="auto"/>
            <w:vAlign w:val="center"/>
            <w:hideMark/>
          </w:tcPr>
          <w:p w14:paraId="18B53DA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82</w:t>
            </w:r>
          </w:p>
        </w:tc>
        <w:tc>
          <w:tcPr>
            <w:tcW w:w="0" w:type="auto"/>
            <w:vAlign w:val="center"/>
            <w:hideMark/>
          </w:tcPr>
          <w:p w14:paraId="7C0AC82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tc>
      </w:tr>
      <w:tr w:rsidR="004D405C" w:rsidRPr="004D405C" w14:paraId="312FF459" w14:textId="77777777" w:rsidTr="004D405C">
        <w:trPr>
          <w:tblCellSpacing w:w="15" w:type="dxa"/>
        </w:trPr>
        <w:tc>
          <w:tcPr>
            <w:tcW w:w="0" w:type="auto"/>
            <w:vAlign w:val="center"/>
            <w:hideMark/>
          </w:tcPr>
          <w:p w14:paraId="62A94D6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10–18%</w:t>
            </w:r>
          </w:p>
        </w:tc>
        <w:tc>
          <w:tcPr>
            <w:tcW w:w="0" w:type="auto"/>
            <w:vAlign w:val="center"/>
            <w:hideMark/>
          </w:tcPr>
          <w:p w14:paraId="140C8A1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tc>
        <w:tc>
          <w:tcPr>
            <w:tcW w:w="0" w:type="auto"/>
            <w:vAlign w:val="center"/>
            <w:hideMark/>
          </w:tcPr>
          <w:p w14:paraId="401999D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tc>
      </w:tr>
      <w:tr w:rsidR="004D405C" w:rsidRPr="004D405C" w14:paraId="3AAC0471" w14:textId="77777777" w:rsidTr="004D405C">
        <w:trPr>
          <w:tblCellSpacing w:w="15" w:type="dxa"/>
        </w:trPr>
        <w:tc>
          <w:tcPr>
            <w:tcW w:w="0" w:type="auto"/>
            <w:vAlign w:val="center"/>
            <w:hideMark/>
          </w:tcPr>
          <w:p w14:paraId="17BDBDF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5–10%</w:t>
            </w:r>
          </w:p>
        </w:tc>
        <w:tc>
          <w:tcPr>
            <w:tcW w:w="0" w:type="auto"/>
            <w:vAlign w:val="center"/>
            <w:hideMark/>
          </w:tcPr>
          <w:p w14:paraId="652E93E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w:t>
            </w:r>
          </w:p>
        </w:tc>
        <w:tc>
          <w:tcPr>
            <w:tcW w:w="0" w:type="auto"/>
            <w:vAlign w:val="center"/>
            <w:hideMark/>
          </w:tcPr>
          <w:p w14:paraId="46EE2FC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tc>
      </w:tr>
      <w:tr w:rsidR="004D405C" w:rsidRPr="004D405C" w14:paraId="38E1F798" w14:textId="77777777" w:rsidTr="004D405C">
        <w:trPr>
          <w:tblCellSpacing w:w="15" w:type="dxa"/>
        </w:trPr>
        <w:tc>
          <w:tcPr>
            <w:tcW w:w="0" w:type="auto"/>
            <w:vAlign w:val="center"/>
            <w:hideMark/>
          </w:tcPr>
          <w:p w14:paraId="7433356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&lt;5%</w:t>
            </w:r>
          </w:p>
        </w:tc>
        <w:tc>
          <w:tcPr>
            <w:tcW w:w="0" w:type="auto"/>
            <w:vAlign w:val="center"/>
            <w:hideMark/>
          </w:tcPr>
          <w:p w14:paraId="6B94556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w:t>
            </w:r>
          </w:p>
        </w:tc>
        <w:tc>
          <w:tcPr>
            <w:tcW w:w="0" w:type="auto"/>
            <w:vAlign w:val="center"/>
            <w:hideMark/>
          </w:tcPr>
          <w:p w14:paraId="349E52F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tc>
      </w:tr>
    </w:tbl>
    <w:p w14:paraId="4FE45397"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0567ABBD" w14:textId="77777777" w:rsidR="004D405C" w:rsidRPr="004D405C" w:rsidRDefault="004D405C" w:rsidP="004D405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Higher Operating Margin indicates stronger operational efficiency. </w:t>
      </w:r>
    </w:p>
    <w:p w14:paraId="75342A01" w14:textId="77777777" w:rsidR="004D405C" w:rsidRPr="004D405C" w:rsidRDefault="004D405C" w:rsidP="004D405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Improving margins over multiple quarters strengthen the score. </w:t>
      </w:r>
    </w:p>
    <w:p w14:paraId="6D3C58FA" w14:textId="77777777" w:rsidR="004D405C" w:rsidRPr="004D405C" w:rsidRDefault="004D405C" w:rsidP="004D405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Negative operating margins receive the minimum score. </w:t>
      </w:r>
    </w:p>
    <w:p w14:paraId="3F2E6F5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485BE47">
          <v:rect id="_x0000_i1381" style="width:0;height:1.5pt" o:hralign="center" o:hrstd="t" o:hr="t" fillcolor="#a0a0a0" stroked="f"/>
        </w:pict>
      </w:r>
    </w:p>
    <w:p w14:paraId="73718A6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6. Bias Rules</w:t>
      </w:r>
    </w:p>
    <w:p w14:paraId="65D7AE0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Margin Above 18%</w:t>
      </w:r>
    </w:p>
    <w:p w14:paraId="1E3BC19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p w14:paraId="757DCA0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Margin Between 10%–18%</w:t>
      </w:r>
    </w:p>
    <w:p w14:paraId="75BBDC5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p w14:paraId="4300A3D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Margin Below 10%</w:t>
      </w:r>
    </w:p>
    <w:p w14:paraId="0A9A256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p w14:paraId="569ABAE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Negative Margin</w:t>
      </w:r>
    </w:p>
    <w:p w14:paraId="09006CB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p w14:paraId="7057383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9E15F85">
          <v:rect id="_x0000_i1382" style="width:0;height:1.5pt" o:hralign="center" o:hrstd="t" o:hr="t" fillcolor="#a0a0a0" stroked="f"/>
        </w:pict>
      </w:r>
    </w:p>
    <w:p w14:paraId="5D14755D"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7. Confidence Logic</w:t>
      </w:r>
    </w:p>
    <w:p w14:paraId="74E7537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 Confidence</w:t>
      </w:r>
    </w:p>
    <w:p w14:paraId="6979DE8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85%</w:t>
      </w:r>
    </w:p>
    <w:p w14:paraId="035B139A"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Increase Confidence</w:t>
      </w:r>
    </w:p>
    <w:p w14:paraId="580BA8A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Stable margin improvement</w:t>
      </w:r>
    </w:p>
    <w:p w14:paraId="5251E0D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+5% Positive Revenue Growth</w:t>
      </w:r>
    </w:p>
    <w:p w14:paraId="2A2C621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Audited financial statements</w:t>
      </w:r>
    </w:p>
    <w:p w14:paraId="03BBE41A"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Decrease Confidence</w:t>
      </w:r>
    </w:p>
    <w:p w14:paraId="5A2A617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Manual entry</w:t>
      </w:r>
    </w:p>
    <w:p w14:paraId="26E99F3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One-time operating income</w:t>
      </w:r>
    </w:p>
    <w:p w14:paraId="6B8D04E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Financial restatement</w:t>
      </w:r>
    </w:p>
    <w:p w14:paraId="1C01CD3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0C2977F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p w14:paraId="2DECFEA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77F2FD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p w14:paraId="3FF5E7B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61A2DDB">
          <v:rect id="_x0000_i1383" style="width:0;height:1.5pt" o:hralign="center" o:hrstd="t" o:hr="t" fillcolor="#a0a0a0" stroked="f"/>
        </w:pict>
      </w:r>
    </w:p>
    <w:p w14:paraId="57C7E52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8. Score Range Bar</w:t>
      </w:r>
    </w:p>
    <w:p w14:paraId="2AAEB21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0AF289D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w:t>
      </w:r>
    </w:p>
    <w:p w14:paraId="159F28D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15EEA63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w:t>
      </w:r>
    </w:p>
    <w:p w14:paraId="7F6C155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Pointer</w:t>
      </w:r>
    </w:p>
    <w:p w14:paraId="707CEBF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Score</w:t>
      </w:r>
    </w:p>
    <w:p w14:paraId="0374AEA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Average Marker</w:t>
      </w:r>
    </w:p>
    <w:p w14:paraId="2E5D33B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4-Quarter Average Score</w:t>
      </w:r>
    </w:p>
    <w:p w14:paraId="48965876"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Color Zones</w:t>
      </w:r>
    </w:p>
    <w:p w14:paraId="4ACC844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 → Weak</w:t>
      </w:r>
    </w:p>
    <w:p w14:paraId="22FC6B3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30–60 → Average</w:t>
      </w:r>
    </w:p>
    <w:p w14:paraId="48AA16B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60–80 → Healthy</w:t>
      </w:r>
    </w:p>
    <w:p w14:paraId="403730D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80–100 → Excellent</w:t>
      </w:r>
    </w:p>
    <w:p w14:paraId="205A972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55E21C4">
          <v:rect id="_x0000_i1384" style="width:0;height:1.5pt" o:hralign="center" o:hrstd="t" o:hr="t" fillcolor="#a0a0a0" stroked="f"/>
        </w:pict>
      </w:r>
    </w:p>
    <w:p w14:paraId="4E669414"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9. Dual Trend Chart</w:t>
      </w:r>
    </w:p>
    <w:p w14:paraId="504BB15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Chart Type</w:t>
      </w:r>
    </w:p>
    <w:p w14:paraId="02DF039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Dual Line</w:t>
      </w:r>
    </w:p>
    <w:p w14:paraId="4098848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1</w:t>
      </w:r>
    </w:p>
    <w:p w14:paraId="3621FBE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Operating Margin (%)</w:t>
      </w:r>
    </w:p>
    <w:p w14:paraId="50C8AB5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2</w:t>
      </w:r>
    </w:p>
    <w:p w14:paraId="3D63440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Praxis Score</w:t>
      </w:r>
    </w:p>
    <w:p w14:paraId="2435F60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History</w:t>
      </w:r>
    </w:p>
    <w:p w14:paraId="452BF51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Last 8 Quarterly Updates</w:t>
      </w:r>
    </w:p>
    <w:p w14:paraId="4266FE1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w:t>
      </w:r>
    </w:p>
    <w:p w14:paraId="042EF78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every quarterly financial report.</w:t>
      </w:r>
    </w:p>
    <w:p w14:paraId="18D9AAF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7425C1B">
          <v:rect id="_x0000_i1385" style="width:0;height:1.5pt" o:hralign="center" o:hrstd="t" o:hr="t" fillcolor="#a0a0a0" stroked="f"/>
        </w:pict>
      </w:r>
    </w:p>
    <w:p w14:paraId="71817C4E"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10. AI Insight Rules</w:t>
      </w:r>
    </w:p>
    <w:p w14:paraId="0F8AB8B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Margin Above 25%</w:t>
      </w:r>
    </w:p>
    <w:p w14:paraId="57DD326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core business operations are generating excellent profitability.</w:t>
      </w:r>
    </w:p>
    <w:p w14:paraId="5BE35EC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Margin Between 18% and 25%</w:t>
      </w:r>
    </w:p>
    <w:p w14:paraId="3CB8BFF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operational efficiency remains strong.</w:t>
      </w:r>
    </w:p>
    <w:p w14:paraId="16A8D9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Margin Between 10% and 18%</w:t>
      </w:r>
    </w:p>
    <w:p w14:paraId="66AE848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operations are stable but there is room for efficiency improvements.</w:t>
      </w:r>
    </w:p>
    <w:p w14:paraId="501F49D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lastRenderedPageBreak/>
        <w:t>Margin Below 10%</w:t>
      </w:r>
    </w:p>
    <w:p w14:paraId="5B60C7A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operating efficiency is relatively weak.</w:t>
      </w:r>
    </w:p>
    <w:p w14:paraId="2AD7FF8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Negative Margin</w:t>
      </w:r>
    </w:p>
    <w:p w14:paraId="3B7297D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core business is currently operating at a loss.</w:t>
      </w:r>
    </w:p>
    <w:p w14:paraId="3636E22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7D453F8">
          <v:rect id="_x0000_i1386" style="width:0;height:1.5pt" o:hralign="center" o:hrstd="t" o:hr="t" fillcolor="#a0a0a0" stroked="f"/>
        </w:pict>
      </w:r>
    </w:p>
    <w:p w14:paraId="728DBE1D"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11. Why It Matters</w:t>
      </w:r>
    </w:p>
    <w:p w14:paraId="42C34C3B" w14:textId="77777777" w:rsidR="004D405C" w:rsidRPr="004D405C" w:rsidRDefault="004D405C" w:rsidP="004D405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core business efficiency. </w:t>
      </w:r>
    </w:p>
    <w:p w14:paraId="59504A46" w14:textId="77777777" w:rsidR="004D405C" w:rsidRPr="004D405C" w:rsidRDefault="004D405C" w:rsidP="004D405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Less affected by taxes and financing decisions. </w:t>
      </w:r>
    </w:p>
    <w:p w14:paraId="783E4D45" w14:textId="77777777" w:rsidR="004D405C" w:rsidRPr="004D405C" w:rsidRDefault="004D405C" w:rsidP="004D405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Indicates operational strength. </w:t>
      </w:r>
    </w:p>
    <w:p w14:paraId="09275B36" w14:textId="77777777" w:rsidR="004D405C" w:rsidRPr="004D405C" w:rsidRDefault="004D405C" w:rsidP="004D405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Helps evaluate long-term business quality. </w:t>
      </w:r>
    </w:p>
    <w:p w14:paraId="45E2E5EE" w14:textId="77777777" w:rsidR="004D405C" w:rsidRPr="004D405C" w:rsidRDefault="004D405C" w:rsidP="004D405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Confirms sustainable profitability. </w:t>
      </w:r>
    </w:p>
    <w:p w14:paraId="2C9BC7F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7A63AF8">
          <v:rect id="_x0000_i1387" style="width:0;height:1.5pt" o:hralign="center" o:hrstd="t" o:hr="t" fillcolor="#a0a0a0" stroked="f"/>
        </w:pict>
      </w:r>
    </w:p>
    <w:p w14:paraId="6F52DC7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12. Trading Impact</w:t>
      </w:r>
    </w:p>
    <w:p w14:paraId="58DFBE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Intraday</w:t>
      </w:r>
    </w:p>
    <w:p w14:paraId="1A8CF0B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p>
    <w:p w14:paraId="2BFC882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Swing Trading</w:t>
      </w:r>
    </w:p>
    <w:p w14:paraId="120140C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551ED3A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Positional Trading</w:t>
      </w:r>
    </w:p>
    <w:p w14:paraId="1AA9B05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7ADDCB5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Options Trading</w:t>
      </w:r>
    </w:p>
    <w:p w14:paraId="29CDF5F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5D61AAD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Best Use</w:t>
      </w:r>
    </w:p>
    <w:p w14:paraId="06E4F1F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Evaluating operational efficiency.</w:t>
      </w:r>
    </w:p>
    <w:p w14:paraId="1822AEF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Avoid Using Alone</w:t>
      </w:r>
    </w:p>
    <w:p w14:paraId="059E78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Yes</w:t>
      </w:r>
    </w:p>
    <w:p w14:paraId="2B83454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F3108E6">
          <v:rect id="_x0000_i1388" style="width:0;height:1.5pt" o:hralign="center" o:hrstd="t" o:hr="t" fillcolor="#a0a0a0" stroked="f"/>
        </w:pict>
      </w:r>
    </w:p>
    <w:p w14:paraId="6605E4B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13. Supporting Indicators</w:t>
      </w:r>
    </w:p>
    <w:p w14:paraId="0B2479EE" w14:textId="77777777" w:rsidR="004D405C" w:rsidRPr="004D405C" w:rsidRDefault="004D405C" w:rsidP="004D405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Net Margin </w:t>
      </w:r>
    </w:p>
    <w:p w14:paraId="11666872" w14:textId="77777777" w:rsidR="004D405C" w:rsidRPr="004D405C" w:rsidRDefault="004D405C" w:rsidP="004D405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ROCE </w:t>
      </w:r>
    </w:p>
    <w:p w14:paraId="20C18DBF" w14:textId="77777777" w:rsidR="004D405C" w:rsidRPr="004D405C" w:rsidRDefault="004D405C" w:rsidP="004D405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ROE </w:t>
      </w:r>
    </w:p>
    <w:p w14:paraId="3C6791EF" w14:textId="77777777" w:rsidR="004D405C" w:rsidRPr="004D405C" w:rsidRDefault="004D405C" w:rsidP="004D405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Revenue Growth </w:t>
      </w:r>
    </w:p>
    <w:p w14:paraId="6C56447B" w14:textId="77777777" w:rsidR="004D405C" w:rsidRPr="004D405C" w:rsidRDefault="004D405C" w:rsidP="004D405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Profit Growth </w:t>
      </w:r>
    </w:p>
    <w:p w14:paraId="448E078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72F1A01">
          <v:rect id="_x0000_i1389" style="width:0;height:1.5pt" o:hralign="center" o:hrstd="t" o:hr="t" fillcolor="#a0a0a0" stroked="f"/>
        </w:pict>
      </w:r>
    </w:p>
    <w:p w14:paraId="17C3FF7E"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14. Metadata</w:t>
      </w:r>
    </w:p>
    <w:p w14:paraId="552D4DC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Source</w:t>
      </w:r>
    </w:p>
    <w:p w14:paraId="460CBBC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NSE Financial Results</w:t>
      </w:r>
    </w:p>
    <w:p w14:paraId="718DADB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Calculation</w:t>
      </w:r>
    </w:p>
    <w:p w14:paraId="634F3F0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Backend</w:t>
      </w:r>
    </w:p>
    <w:p w14:paraId="72326DE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Updated</w:t>
      </w:r>
    </w:p>
    <w:p w14:paraId="13AFEA4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Quarterly</w:t>
      </w:r>
    </w:p>
    <w:p w14:paraId="5EBB5CD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b/>
          <w:bCs/>
          <w:sz w:val="24"/>
          <w:szCs w:val="24"/>
        </w:rPr>
        <w:t>Timezone</w:t>
      </w:r>
      <w:proofErr w:type="spellEnd"/>
    </w:p>
    <w:p w14:paraId="54E6778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Asia/Kolkata</w:t>
      </w:r>
    </w:p>
    <w:p w14:paraId="28846FC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Storage</w:t>
      </w:r>
    </w:p>
    <w:p w14:paraId="7BC1EBA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Local Electron Database</w:t>
      </w:r>
    </w:p>
    <w:p w14:paraId="597B54B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5053F8D">
          <v:rect id="_x0000_i1390" style="width:0;height:1.5pt" o:hralign="center" o:hrstd="t" o:hr="t" fillcolor="#a0a0a0" stroked="f"/>
        </w:pict>
      </w:r>
    </w:p>
    <w:p w14:paraId="6B6ED177"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15. Developer Notes</w:t>
      </w:r>
    </w:p>
    <w:p w14:paraId="1566B74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Store:</w:t>
      </w:r>
    </w:p>
    <w:p w14:paraId="2091A16B" w14:textId="77777777" w:rsidR="004D405C" w:rsidRPr="004D405C" w:rsidRDefault="004D405C" w:rsidP="004D405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Operating Margin </w:t>
      </w:r>
    </w:p>
    <w:p w14:paraId="0DEA4710" w14:textId="77777777" w:rsidR="004D405C" w:rsidRPr="004D405C" w:rsidRDefault="004D405C" w:rsidP="004D405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Historical Operating Margin </w:t>
      </w:r>
    </w:p>
    <w:p w14:paraId="6FB4E556" w14:textId="77777777" w:rsidR="004D405C" w:rsidRPr="004D405C" w:rsidRDefault="004D405C" w:rsidP="004D405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Profit (EBIT) </w:t>
      </w:r>
    </w:p>
    <w:p w14:paraId="09CEFABF" w14:textId="77777777" w:rsidR="004D405C" w:rsidRPr="004D405C" w:rsidRDefault="004D405C" w:rsidP="004D405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Revenue </w:t>
      </w:r>
    </w:p>
    <w:p w14:paraId="64763771" w14:textId="77777777" w:rsidR="004D405C" w:rsidRPr="004D405C" w:rsidRDefault="004D405C" w:rsidP="004D405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Score </w:t>
      </w:r>
    </w:p>
    <w:p w14:paraId="2639E3E3" w14:textId="77777777" w:rsidR="004D405C" w:rsidRPr="004D405C" w:rsidRDefault="004D405C" w:rsidP="004D405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Confidence </w:t>
      </w:r>
    </w:p>
    <w:p w14:paraId="15E83C48" w14:textId="77777777" w:rsidR="004D405C" w:rsidRPr="004D405C" w:rsidRDefault="004D405C" w:rsidP="004D405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Last Updated </w:t>
      </w:r>
    </w:p>
    <w:p w14:paraId="095D4E3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If Revenue is zero, return </w:t>
      </w:r>
      <w:r w:rsidRPr="004D405C">
        <w:rPr>
          <w:rFonts w:ascii="Times New Roman" w:eastAsia="Times New Roman" w:hAnsi="Times New Roman" w:cs="Times New Roman"/>
          <w:b/>
          <w:bCs/>
          <w:sz w:val="24"/>
          <w:szCs w:val="24"/>
        </w:rPr>
        <w:t>"Not Available"</w:t>
      </w:r>
      <w:r w:rsidRPr="004D405C">
        <w:rPr>
          <w:rFonts w:ascii="Times New Roman" w:eastAsia="Times New Roman" w:hAnsi="Times New Roman" w:cs="Times New Roman"/>
          <w:sz w:val="24"/>
          <w:szCs w:val="24"/>
        </w:rPr>
        <w:t xml:space="preserve"> instead of calculating the margin. Preserve historical values for trend visualization.</w:t>
      </w:r>
    </w:p>
    <w:p w14:paraId="5B8DF5A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563DDFD">
          <v:rect id="_x0000_i1391" style="width:0;height:1.5pt" o:hralign="center" o:hrstd="t" o:hr="t" fillcolor="#a0a0a0" stroked="f"/>
        </w:pict>
      </w:r>
    </w:p>
    <w:p w14:paraId="70153266"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 xml:space="preserve">16. Praxis Engine Integration </w:t>
      </w:r>
      <w:r w:rsidRPr="004D405C">
        <w:rPr>
          <w:rFonts w:ascii="Segoe UI Emoji" w:eastAsia="Times New Roman" w:hAnsi="Segoe UI Emoji" w:cs="Segoe UI Emoji"/>
          <w:b/>
          <w:bCs/>
          <w:kern w:val="36"/>
          <w:sz w:val="48"/>
          <w:szCs w:val="48"/>
        </w:rPr>
        <w:t>⭐</w:t>
      </w:r>
    </w:p>
    <w:p w14:paraId="783B582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Engine Weight</w:t>
      </w:r>
    </w:p>
    <w:p w14:paraId="17B0EB8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 (Configurable)</w:t>
      </w:r>
    </w:p>
    <w:p w14:paraId="7948E93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Relative Importance</w:t>
      </w:r>
    </w:p>
    <w:p w14:paraId="7D27EC3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7F9F241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Decision Engine Role</w:t>
      </w:r>
    </w:p>
    <w:p w14:paraId="1738ACA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Operational Efficiency Assessment</w:t>
      </w:r>
    </w:p>
    <w:p w14:paraId="74432BF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Primary Use</w:t>
      </w:r>
    </w:p>
    <w:p w14:paraId="4FFBC67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 how efficiently the company's core business converts revenue into operating profit.</w:t>
      </w:r>
    </w:p>
    <w:p w14:paraId="08FA257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Bullish Confirmation</w:t>
      </w:r>
    </w:p>
    <w:p w14:paraId="7F7B21D6" w14:textId="77777777" w:rsidR="004D405C" w:rsidRPr="004D405C" w:rsidRDefault="004D405C" w:rsidP="004D405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Expanding Operating Margin </w:t>
      </w:r>
    </w:p>
    <w:p w14:paraId="31CDFB04" w14:textId="77777777" w:rsidR="004D405C" w:rsidRPr="004D405C" w:rsidRDefault="004D405C" w:rsidP="004D405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Revenue Growth </w:t>
      </w:r>
    </w:p>
    <w:p w14:paraId="46238E1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Bearish Confirmation</w:t>
      </w:r>
    </w:p>
    <w:p w14:paraId="5D0DCBD6" w14:textId="77777777" w:rsidR="004D405C" w:rsidRPr="004D405C" w:rsidRDefault="004D405C" w:rsidP="004D405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Declining Operating Margin </w:t>
      </w:r>
    </w:p>
    <w:p w14:paraId="7551AA47" w14:textId="77777777" w:rsidR="004D405C" w:rsidRPr="004D405C" w:rsidRDefault="004D405C" w:rsidP="004D405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Declining Revenue Growth </w:t>
      </w:r>
    </w:p>
    <w:p w14:paraId="58FE685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Display Priority</w:t>
      </w:r>
    </w:p>
    <w:p w14:paraId="32F4D57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Medium-High</w:t>
      </w:r>
    </w:p>
    <w:p w14:paraId="75AD777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347FD9E">
          <v:rect id="_x0000_i1392" style="width:0;height:1.5pt" o:hralign="center" o:hrstd="t" o:hr="t" fillcolor="#a0a0a0" stroked="f"/>
        </w:pict>
      </w:r>
    </w:p>
    <w:p w14:paraId="1ACBFBA6"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17. Praxis Recommendation</w:t>
      </w:r>
    </w:p>
    <w:p w14:paraId="1E81E1C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Margin should serve as the </w:t>
      </w:r>
      <w:r w:rsidRPr="004D405C">
        <w:rPr>
          <w:rFonts w:ascii="Times New Roman" w:eastAsia="Times New Roman" w:hAnsi="Times New Roman" w:cs="Times New Roman"/>
          <w:b/>
          <w:bCs/>
          <w:sz w:val="24"/>
          <w:szCs w:val="24"/>
        </w:rPr>
        <w:t>operational profitability indicator</w:t>
      </w:r>
      <w:r w:rsidRPr="004D405C">
        <w:rPr>
          <w:rFonts w:ascii="Times New Roman" w:eastAsia="Times New Roman" w:hAnsi="Times New Roman" w:cs="Times New Roman"/>
          <w:sz w:val="24"/>
          <w:szCs w:val="24"/>
        </w:rPr>
        <w:t xml:space="preserve"> within the Profitability category.</w:t>
      </w:r>
    </w:p>
    <w:p w14:paraId="77C04EC9"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Profitability Hierarchy</w:t>
      </w:r>
    </w:p>
    <w:p w14:paraId="279B62A4" w14:textId="77777777" w:rsidR="004D405C" w:rsidRPr="004D405C" w:rsidRDefault="004D405C" w:rsidP="004D405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ROE </w:t>
      </w:r>
    </w:p>
    <w:p w14:paraId="0F23FD88" w14:textId="77777777" w:rsidR="004D405C" w:rsidRPr="004D405C" w:rsidRDefault="004D405C" w:rsidP="004D405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ROCE </w:t>
      </w:r>
    </w:p>
    <w:p w14:paraId="72C1F69C" w14:textId="77777777" w:rsidR="004D405C" w:rsidRPr="004D405C" w:rsidRDefault="004D405C" w:rsidP="004D405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Net Margin </w:t>
      </w:r>
    </w:p>
    <w:p w14:paraId="161EC552" w14:textId="77777777" w:rsidR="004D405C" w:rsidRPr="004D405C" w:rsidRDefault="004D405C" w:rsidP="004D405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Operating Margin </w:t>
      </w:r>
    </w:p>
    <w:p w14:paraId="35849E0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Engine Rules</w:t>
      </w:r>
    </w:p>
    <w:p w14:paraId="3BAE3D38" w14:textId="77777777" w:rsidR="004D405C" w:rsidRPr="004D405C" w:rsidRDefault="004D405C" w:rsidP="004D405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Margin improving for multiple quarters → Increase Profitability Score. </w:t>
      </w:r>
    </w:p>
    <w:p w14:paraId="266F514E" w14:textId="77777777" w:rsidR="004D405C" w:rsidRPr="004D405C" w:rsidRDefault="004D405C" w:rsidP="004D405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Margin + Revenue Growth both improving → High-confidence operational strength. </w:t>
      </w:r>
    </w:p>
    <w:p w14:paraId="178EED83" w14:textId="77777777" w:rsidR="004D405C" w:rsidRPr="004D405C" w:rsidRDefault="004D405C" w:rsidP="004D405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Declining Operating Margin + Declining Revenue Growth → Reduce Profitability Score. </w:t>
      </w:r>
    </w:p>
    <w:p w14:paraId="613A7BB3" w14:textId="77777777" w:rsidR="004D405C" w:rsidRPr="004D405C" w:rsidRDefault="004D405C" w:rsidP="004D405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 Operating Margin with Net Margin to identify whether changes in profitability are driven by operations or by financing and tax effects. </w:t>
      </w:r>
    </w:p>
    <w:p w14:paraId="1BA87C50" w14:textId="06EC702F" w:rsid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Margin should strengthen the </w:t>
      </w:r>
      <w:r w:rsidRPr="004D405C">
        <w:rPr>
          <w:rFonts w:ascii="Times New Roman" w:eastAsia="Times New Roman" w:hAnsi="Times New Roman" w:cs="Times New Roman"/>
          <w:b/>
          <w:bCs/>
          <w:sz w:val="24"/>
          <w:szCs w:val="24"/>
        </w:rPr>
        <w:t>Profitability Score</w:t>
      </w:r>
      <w:r w:rsidRPr="004D405C">
        <w:rPr>
          <w:rFonts w:ascii="Times New Roman" w:eastAsia="Times New Roman" w:hAnsi="Times New Roman" w:cs="Times New Roman"/>
          <w:sz w:val="24"/>
          <w:szCs w:val="24"/>
        </w:rPr>
        <w:t xml:space="preserve"> by measuring the efficiency of the company's core operations and should be used alongside ROE, ROCE, and Net Margin to provide a complete assessment of business profitability.</w:t>
      </w:r>
    </w:p>
    <w:p w14:paraId="3798639C" w14:textId="6C323BC6"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E2C0E8B" w14:textId="5B36CED3"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0A956CF" w14:textId="5B741B1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0401DAC" w14:textId="06BEFA92"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79F7785" w14:textId="6BB92A44"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99763B2" w14:textId="7FD87A34"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2ED5153A" w14:textId="3F9C211F"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3AF6DF0" w14:textId="5C197B8F"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8A601F4" w14:textId="77777777" w:rsidR="00E11FEB" w:rsidRPr="004D405C"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18D883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D405C">
        <w:rPr>
          <w:rFonts w:ascii="Times New Roman" w:eastAsia="Times New Roman" w:hAnsi="Times New Roman" w:cs="Times New Roman"/>
          <w:b/>
          <w:bCs/>
          <w:color w:val="FF0000"/>
          <w:kern w:val="36"/>
          <w:sz w:val="48"/>
          <w:szCs w:val="48"/>
        </w:rPr>
        <w:lastRenderedPageBreak/>
        <w:t>13. Debt to Equity Ratio</w:t>
      </w:r>
    </w:p>
    <w:p w14:paraId="3DAFB17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Financial Health</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Status:</w:t>
      </w:r>
      <w:r w:rsidRPr="004D405C">
        <w:rPr>
          <w:rFonts w:ascii="Times New Roman" w:eastAsia="Times New Roman" w:hAnsi="Times New Roman" w:cs="Times New Roman"/>
          <w:sz w:val="24"/>
          <w:szCs w:val="24"/>
        </w:rPr>
        <w:t xml:space="preserve"> Production Ready</w:t>
      </w:r>
    </w:p>
    <w:p w14:paraId="18393738" w14:textId="77777777" w:rsidR="004D405C" w:rsidRPr="004D405C" w:rsidRDefault="004D405C" w:rsidP="004D405C">
      <w:pPr>
        <w:spacing w:before="100" w:beforeAutospacing="1" w:after="100" w:afterAutospacing="1" w:line="240" w:lineRule="auto"/>
        <w:outlineLvl w:val="1"/>
        <w:rPr>
          <w:rFonts w:ascii="Times New Roman" w:eastAsia="Times New Roman" w:hAnsi="Times New Roman" w:cs="Times New Roman"/>
          <w:b/>
          <w:bCs/>
          <w:sz w:val="36"/>
          <w:szCs w:val="36"/>
        </w:rPr>
      </w:pPr>
      <w:r w:rsidRPr="004D405C">
        <w:rPr>
          <w:rFonts w:ascii="Times New Roman" w:eastAsia="Times New Roman" w:hAnsi="Times New Roman" w:cs="Times New Roman"/>
          <w:b/>
          <w:bCs/>
          <w:sz w:val="36"/>
          <w:szCs w:val="36"/>
        </w:rPr>
        <w:t>1. Overview</w:t>
      </w:r>
    </w:p>
    <w:p w14:paraId="6608304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Name:</w:t>
      </w:r>
      <w:r w:rsidRPr="004D405C">
        <w:rPr>
          <w:rFonts w:ascii="Times New Roman" w:eastAsia="Times New Roman" w:hAnsi="Times New Roman" w:cs="Times New Roman"/>
          <w:sz w:val="24"/>
          <w:szCs w:val="24"/>
        </w:rPr>
        <w:t xml:space="preserve"> Debt to Equity Ratio</w:t>
      </w:r>
    </w:p>
    <w:p w14:paraId="6330812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Short Name:</w:t>
      </w:r>
      <w:r w:rsidRPr="004D405C">
        <w:rPr>
          <w:rFonts w:ascii="Times New Roman" w:eastAsia="Times New Roman" w:hAnsi="Times New Roman" w:cs="Times New Roman"/>
          <w:sz w:val="24"/>
          <w:szCs w:val="24"/>
        </w:rPr>
        <w:t xml:space="preserve"> D/E Ratio</w:t>
      </w:r>
    </w:p>
    <w:p w14:paraId="56D6ECC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p>
    <w:p w14:paraId="0E46C96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Financial Health</w:t>
      </w:r>
    </w:p>
    <w:p w14:paraId="4CA8CA2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Purpose:</w:t>
      </w:r>
    </w:p>
    <w:p w14:paraId="02604FA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Measures the proportion of a company's total debt relative to shareholders' equity. It evaluates financial leverage and the company's dependence on borrowed capital.</w:t>
      </w:r>
    </w:p>
    <w:p w14:paraId="43DC7B7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Based On:</w:t>
      </w:r>
    </w:p>
    <w:p w14:paraId="7C78FD6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Total Debt and Shareholders' Equity</w:t>
      </w:r>
    </w:p>
    <w:p w14:paraId="489EA80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Importance:</w:t>
      </w:r>
    </w:p>
    <w:p w14:paraId="09A1946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(Core Financial Health Indicator)</w:t>
      </w:r>
    </w:p>
    <w:p w14:paraId="16C7D8B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Auto / Manual:</w:t>
      </w:r>
    </w:p>
    <w:p w14:paraId="0BD0AF8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Manual (V1)</w:t>
      </w:r>
    </w:p>
    <w:p w14:paraId="5FEAB4D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 Frequency:</w:t>
      </w:r>
    </w:p>
    <w:p w14:paraId="4A28A46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After every quarterly financial </w:t>
      </w:r>
      <w:proofErr w:type="gramStart"/>
      <w:r w:rsidRPr="004D405C">
        <w:rPr>
          <w:rFonts w:ascii="Times New Roman" w:eastAsia="Times New Roman" w:hAnsi="Times New Roman" w:cs="Times New Roman"/>
          <w:sz w:val="24"/>
          <w:szCs w:val="24"/>
        </w:rPr>
        <w:t>results</w:t>
      </w:r>
      <w:proofErr w:type="gramEnd"/>
      <w:r w:rsidRPr="004D405C">
        <w:rPr>
          <w:rFonts w:ascii="Times New Roman" w:eastAsia="Times New Roman" w:hAnsi="Times New Roman" w:cs="Times New Roman"/>
          <w:sz w:val="24"/>
          <w:szCs w:val="24"/>
        </w:rPr>
        <w:t>.</w:t>
      </w:r>
    </w:p>
    <w:p w14:paraId="1437C66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Praxis Note:</w:t>
      </w:r>
    </w:p>
    <w:p w14:paraId="3AC3461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 lower Debt to Equity Ratio generally indicates stronger financial stability. However, acceptable levels vary across industries, so this indicator should always be interpreted alongside Interest Coverage and Free Cash Flow.</w:t>
      </w:r>
    </w:p>
    <w:p w14:paraId="7064D70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F3F7121">
          <v:rect id="_x0000_i1409" style="width:0;height:1.5pt" o:hralign="center" o:hrstd="t" o:hr="t" fillcolor="#a0a0a0" stroked="f"/>
        </w:pict>
      </w:r>
    </w:p>
    <w:p w14:paraId="679A900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2. Data Requirements</w:t>
      </w:r>
    </w:p>
    <w:p w14:paraId="2F94E81D"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Required Data</w:t>
      </w:r>
    </w:p>
    <w:p w14:paraId="7E996C82" w14:textId="77777777" w:rsidR="004D405C" w:rsidRPr="004D405C" w:rsidRDefault="004D405C" w:rsidP="004D405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Total Debt </w:t>
      </w:r>
    </w:p>
    <w:p w14:paraId="5EE4BE78" w14:textId="77777777" w:rsidR="004D405C" w:rsidRPr="004D405C" w:rsidRDefault="004D405C" w:rsidP="004D405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Shareholders' Equity </w:t>
      </w:r>
    </w:p>
    <w:p w14:paraId="086BFC8E" w14:textId="77777777" w:rsidR="004D405C" w:rsidRPr="004D405C" w:rsidRDefault="004D405C" w:rsidP="004D405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Debt to Equity Ratio </w:t>
      </w:r>
    </w:p>
    <w:p w14:paraId="31C489D6" w14:textId="77777777" w:rsidR="004D405C" w:rsidRPr="004D405C" w:rsidRDefault="004D405C" w:rsidP="004D405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Debt to Equity Ratio </w:t>
      </w:r>
    </w:p>
    <w:p w14:paraId="5BE89DB3"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Minimum Historical Data</w:t>
      </w:r>
    </w:p>
    <w:p w14:paraId="05F6B66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 Quarterly Reports</w:t>
      </w:r>
    </w:p>
    <w:p w14:paraId="64BFF66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Recommended:</w:t>
      </w:r>
    </w:p>
    <w:p w14:paraId="335D236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 Years</w:t>
      </w:r>
    </w:p>
    <w:p w14:paraId="17246A5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Primary Source</w:t>
      </w:r>
    </w:p>
    <w:p w14:paraId="6B10FE85" w14:textId="77777777" w:rsidR="004D405C" w:rsidRPr="004D405C" w:rsidRDefault="004D405C" w:rsidP="004D405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Financial Results </w:t>
      </w:r>
    </w:p>
    <w:p w14:paraId="06012FE1" w14:textId="77777777" w:rsidR="004D405C" w:rsidRPr="004D405C" w:rsidRDefault="004D405C" w:rsidP="004D405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Company Balance Sheet </w:t>
      </w:r>
    </w:p>
    <w:p w14:paraId="76966C14" w14:textId="77777777" w:rsidR="004D405C" w:rsidRPr="004D405C" w:rsidRDefault="004D405C" w:rsidP="004D405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Annual Reports </w:t>
      </w:r>
    </w:p>
    <w:p w14:paraId="03BD34F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FE3F155">
          <v:rect id="_x0000_i1410" style="width:0;height:1.5pt" o:hralign="center" o:hrstd="t" o:hr="t" fillcolor="#a0a0a0" stroked="f"/>
        </w:pict>
      </w:r>
    </w:p>
    <w:p w14:paraId="0CA5278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3. Industry Standard Calculation</w:t>
      </w:r>
    </w:p>
    <w:p w14:paraId="36E9D99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Formula</w:t>
      </w:r>
    </w:p>
    <w:p w14:paraId="444DE34E"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Debt to Equity Ratio =</w:t>
      </w:r>
    </w:p>
    <w:p w14:paraId="7B15F290"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Total Debt ÷ Shareholders' Equity</w:t>
      </w:r>
    </w:p>
    <w:p w14:paraId="1407663E"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Implementation Steps</w:t>
      </w:r>
    </w:p>
    <w:p w14:paraId="7AEA0999" w14:textId="77777777" w:rsidR="004D405C" w:rsidRPr="004D405C" w:rsidRDefault="004D405C" w:rsidP="004D405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Total Debt. </w:t>
      </w:r>
    </w:p>
    <w:p w14:paraId="7F7F31CF" w14:textId="77777777" w:rsidR="004D405C" w:rsidRPr="004D405C" w:rsidRDefault="004D405C" w:rsidP="004D405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Shareholders' Equity. </w:t>
      </w:r>
    </w:p>
    <w:p w14:paraId="4DA6BC86" w14:textId="77777777" w:rsidR="004D405C" w:rsidRPr="004D405C" w:rsidRDefault="004D405C" w:rsidP="004D405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Calculate Debt to Equity Ratio. </w:t>
      </w:r>
    </w:p>
    <w:p w14:paraId="109B30EE" w14:textId="77777777" w:rsidR="004D405C" w:rsidRPr="004D405C" w:rsidRDefault="004D405C" w:rsidP="004D405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 with historical leverage trends. </w:t>
      </w:r>
    </w:p>
    <w:p w14:paraId="2CB0E28B" w14:textId="77777777" w:rsidR="004D405C" w:rsidRPr="004D405C" w:rsidRDefault="004D405C" w:rsidP="004D405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Generate the Financial Health Score. </w:t>
      </w:r>
    </w:p>
    <w:p w14:paraId="18EFBE4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40642E3E" w14:textId="77777777" w:rsidR="004D405C" w:rsidRPr="004D405C" w:rsidRDefault="004D405C" w:rsidP="004D405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Total Interest-Bearing Debt. </w:t>
      </w:r>
    </w:p>
    <w:p w14:paraId="5E4EE90C" w14:textId="77777777" w:rsidR="004D405C" w:rsidRPr="004D405C" w:rsidRDefault="004D405C" w:rsidP="004D405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consolidated financial statements. </w:t>
      </w:r>
    </w:p>
    <w:p w14:paraId="144F5A1D" w14:textId="77777777" w:rsidR="004D405C" w:rsidRPr="004D405C" w:rsidRDefault="004D405C" w:rsidP="004D405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Lower values generally indicate lower financial risk. </w:t>
      </w:r>
    </w:p>
    <w:p w14:paraId="4340BB7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6AE0467">
          <v:rect id="_x0000_i1411" style="width:0;height:1.5pt" o:hralign="center" o:hrstd="t" o:hr="t" fillcolor="#a0a0a0" stroked="f"/>
        </w:pict>
      </w:r>
    </w:p>
    <w:p w14:paraId="25648F2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4. Card Fields</w:t>
      </w:r>
    </w:p>
    <w:p w14:paraId="1DD4E3F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Value</w:t>
      </w:r>
    </w:p>
    <w:p w14:paraId="0B39A2C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Debt to Equity Ratio</w:t>
      </w:r>
    </w:p>
    <w:p w14:paraId="3D26099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Total Debt</w:t>
      </w:r>
    </w:p>
    <w:p w14:paraId="774B2EF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Interest-Bearing Debt</w:t>
      </w:r>
    </w:p>
    <w:p w14:paraId="1A55814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Shareholders' Equity</w:t>
      </w:r>
    </w:p>
    <w:p w14:paraId="5D4DB95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Equity</w:t>
      </w:r>
    </w:p>
    <w:p w14:paraId="09CC270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Score</w:t>
      </w:r>
    </w:p>
    <w:p w14:paraId="780325D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0–100</w:t>
      </w:r>
    </w:p>
    <w:p w14:paraId="2BD0911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Bias</w:t>
      </w:r>
    </w:p>
    <w:p w14:paraId="7B59DD5D" w14:textId="77777777" w:rsidR="004D405C" w:rsidRPr="004D405C" w:rsidRDefault="004D405C" w:rsidP="004D405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Bullish </w:t>
      </w:r>
    </w:p>
    <w:p w14:paraId="418E2EB9" w14:textId="77777777" w:rsidR="004D405C" w:rsidRPr="004D405C" w:rsidRDefault="004D405C" w:rsidP="004D405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Neutral </w:t>
      </w:r>
    </w:p>
    <w:p w14:paraId="06A34574" w14:textId="77777777" w:rsidR="004D405C" w:rsidRPr="004D405C" w:rsidRDefault="004D405C" w:rsidP="004D405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Bearish </w:t>
      </w:r>
    </w:p>
    <w:p w14:paraId="40AC293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Confidence</w:t>
      </w:r>
    </w:p>
    <w:p w14:paraId="27B6E8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Financial Health Confidence</w:t>
      </w:r>
    </w:p>
    <w:p w14:paraId="2F03FF1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Impact Weight</w:t>
      </w:r>
    </w:p>
    <w:p w14:paraId="475E63C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0B26D99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CEB9193">
          <v:rect id="_x0000_i1412" style="width:0;height:1.5pt" o:hralign="center" o:hrstd="t" o:hr="t" fillcolor="#a0a0a0" stroked="f"/>
        </w:pict>
      </w:r>
    </w:p>
    <w:p w14:paraId="6C76E30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634"/>
        <w:gridCol w:w="1509"/>
      </w:tblGrid>
      <w:tr w:rsidR="004D405C" w:rsidRPr="004D405C" w14:paraId="2D71F477" w14:textId="77777777" w:rsidTr="004D405C">
        <w:trPr>
          <w:tblHeader/>
          <w:tblCellSpacing w:w="15" w:type="dxa"/>
        </w:trPr>
        <w:tc>
          <w:tcPr>
            <w:tcW w:w="0" w:type="auto"/>
            <w:vAlign w:val="center"/>
            <w:hideMark/>
          </w:tcPr>
          <w:p w14:paraId="27EF7315"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Debt to Equity</w:t>
            </w:r>
          </w:p>
        </w:tc>
        <w:tc>
          <w:tcPr>
            <w:tcW w:w="0" w:type="auto"/>
            <w:vAlign w:val="center"/>
            <w:hideMark/>
          </w:tcPr>
          <w:p w14:paraId="281EBEAD"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Score</w:t>
            </w:r>
          </w:p>
        </w:tc>
        <w:tc>
          <w:tcPr>
            <w:tcW w:w="0" w:type="auto"/>
            <w:vAlign w:val="center"/>
            <w:hideMark/>
          </w:tcPr>
          <w:p w14:paraId="3E85C8B7"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Bias</w:t>
            </w:r>
          </w:p>
        </w:tc>
      </w:tr>
      <w:tr w:rsidR="004D405C" w:rsidRPr="004D405C" w14:paraId="53FFD9E6" w14:textId="77777777" w:rsidTr="004D405C">
        <w:trPr>
          <w:tblCellSpacing w:w="15" w:type="dxa"/>
        </w:trPr>
        <w:tc>
          <w:tcPr>
            <w:tcW w:w="0" w:type="auto"/>
            <w:vAlign w:val="center"/>
            <w:hideMark/>
          </w:tcPr>
          <w:p w14:paraId="07BC46D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&lt;0.30</w:t>
            </w:r>
          </w:p>
        </w:tc>
        <w:tc>
          <w:tcPr>
            <w:tcW w:w="0" w:type="auto"/>
            <w:vAlign w:val="center"/>
            <w:hideMark/>
          </w:tcPr>
          <w:p w14:paraId="5CF7204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tc>
        <w:tc>
          <w:tcPr>
            <w:tcW w:w="0" w:type="auto"/>
            <w:vAlign w:val="center"/>
            <w:hideMark/>
          </w:tcPr>
          <w:p w14:paraId="0F9EA3D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Bullish</w:t>
            </w:r>
          </w:p>
        </w:tc>
      </w:tr>
      <w:tr w:rsidR="004D405C" w:rsidRPr="004D405C" w14:paraId="3A0A716B" w14:textId="77777777" w:rsidTr="004D405C">
        <w:trPr>
          <w:tblCellSpacing w:w="15" w:type="dxa"/>
        </w:trPr>
        <w:tc>
          <w:tcPr>
            <w:tcW w:w="0" w:type="auto"/>
            <w:vAlign w:val="center"/>
            <w:hideMark/>
          </w:tcPr>
          <w:p w14:paraId="19573D4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0.30–0.60</w:t>
            </w:r>
          </w:p>
        </w:tc>
        <w:tc>
          <w:tcPr>
            <w:tcW w:w="0" w:type="auto"/>
            <w:vAlign w:val="center"/>
            <w:hideMark/>
          </w:tcPr>
          <w:p w14:paraId="42D57AE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82</w:t>
            </w:r>
          </w:p>
        </w:tc>
        <w:tc>
          <w:tcPr>
            <w:tcW w:w="0" w:type="auto"/>
            <w:vAlign w:val="center"/>
            <w:hideMark/>
          </w:tcPr>
          <w:p w14:paraId="12D96BD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tc>
      </w:tr>
      <w:tr w:rsidR="004D405C" w:rsidRPr="004D405C" w14:paraId="201C843D" w14:textId="77777777" w:rsidTr="004D405C">
        <w:trPr>
          <w:tblCellSpacing w:w="15" w:type="dxa"/>
        </w:trPr>
        <w:tc>
          <w:tcPr>
            <w:tcW w:w="0" w:type="auto"/>
            <w:vAlign w:val="center"/>
            <w:hideMark/>
          </w:tcPr>
          <w:p w14:paraId="3DADE1B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0.60–1.00</w:t>
            </w:r>
          </w:p>
        </w:tc>
        <w:tc>
          <w:tcPr>
            <w:tcW w:w="0" w:type="auto"/>
            <w:vAlign w:val="center"/>
            <w:hideMark/>
          </w:tcPr>
          <w:p w14:paraId="52B862F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tc>
        <w:tc>
          <w:tcPr>
            <w:tcW w:w="0" w:type="auto"/>
            <w:vAlign w:val="center"/>
            <w:hideMark/>
          </w:tcPr>
          <w:p w14:paraId="06B9C73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tc>
      </w:tr>
      <w:tr w:rsidR="004D405C" w:rsidRPr="004D405C" w14:paraId="42BABC41" w14:textId="77777777" w:rsidTr="004D405C">
        <w:trPr>
          <w:tblCellSpacing w:w="15" w:type="dxa"/>
        </w:trPr>
        <w:tc>
          <w:tcPr>
            <w:tcW w:w="0" w:type="auto"/>
            <w:vAlign w:val="center"/>
            <w:hideMark/>
          </w:tcPr>
          <w:p w14:paraId="0109EA4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1.00–2.00</w:t>
            </w:r>
          </w:p>
        </w:tc>
        <w:tc>
          <w:tcPr>
            <w:tcW w:w="0" w:type="auto"/>
            <w:vAlign w:val="center"/>
            <w:hideMark/>
          </w:tcPr>
          <w:p w14:paraId="746DA8F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w:t>
            </w:r>
          </w:p>
        </w:tc>
        <w:tc>
          <w:tcPr>
            <w:tcW w:w="0" w:type="auto"/>
            <w:vAlign w:val="center"/>
            <w:hideMark/>
          </w:tcPr>
          <w:p w14:paraId="2DF8F42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tc>
      </w:tr>
      <w:tr w:rsidR="004D405C" w:rsidRPr="004D405C" w14:paraId="4AE20327" w14:textId="77777777" w:rsidTr="004D405C">
        <w:trPr>
          <w:tblCellSpacing w:w="15" w:type="dxa"/>
        </w:trPr>
        <w:tc>
          <w:tcPr>
            <w:tcW w:w="0" w:type="auto"/>
            <w:vAlign w:val="center"/>
            <w:hideMark/>
          </w:tcPr>
          <w:p w14:paraId="10D4E5C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&gt;2.00</w:t>
            </w:r>
          </w:p>
        </w:tc>
        <w:tc>
          <w:tcPr>
            <w:tcW w:w="0" w:type="auto"/>
            <w:vAlign w:val="center"/>
            <w:hideMark/>
          </w:tcPr>
          <w:p w14:paraId="527FC6C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w:t>
            </w:r>
          </w:p>
        </w:tc>
        <w:tc>
          <w:tcPr>
            <w:tcW w:w="0" w:type="auto"/>
            <w:vAlign w:val="center"/>
            <w:hideMark/>
          </w:tcPr>
          <w:p w14:paraId="0AFA999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tc>
      </w:tr>
    </w:tbl>
    <w:p w14:paraId="5B9FC0D7"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1AB5D17F" w14:textId="77777777" w:rsidR="004D405C" w:rsidRPr="004D405C" w:rsidRDefault="004D405C" w:rsidP="004D405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Lower leverage improves the Financial Health Score. </w:t>
      </w:r>
    </w:p>
    <w:p w14:paraId="4C32C35D" w14:textId="77777777" w:rsidR="004D405C" w:rsidRPr="004D405C" w:rsidRDefault="004D405C" w:rsidP="004D405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Increasing debt over multiple quarters reduces confidence. </w:t>
      </w:r>
    </w:p>
    <w:p w14:paraId="527D9289" w14:textId="77777777" w:rsidR="004D405C" w:rsidRPr="004D405C" w:rsidRDefault="004D405C" w:rsidP="004D405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Industry-specific exceptions may apply. </w:t>
      </w:r>
    </w:p>
    <w:p w14:paraId="366B841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43C8A0B">
          <v:rect id="_x0000_i1413" style="width:0;height:1.5pt" o:hralign="center" o:hrstd="t" o:hr="t" fillcolor="#a0a0a0" stroked="f"/>
        </w:pict>
      </w:r>
    </w:p>
    <w:p w14:paraId="55B8070E"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6. Bias Rules</w:t>
      </w:r>
    </w:p>
    <w:p w14:paraId="0FF3789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 Below 0.60</w:t>
      </w:r>
    </w:p>
    <w:p w14:paraId="0A66A7F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p w14:paraId="1F4606B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 Between 0.60–1.00</w:t>
      </w:r>
    </w:p>
    <w:p w14:paraId="5C7C9AD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p w14:paraId="334CBCF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 Above 1.00</w:t>
      </w:r>
    </w:p>
    <w:p w14:paraId="21FB070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p w14:paraId="364A996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 Above 2.00</w:t>
      </w:r>
    </w:p>
    <w:p w14:paraId="66ECAF4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p w14:paraId="210E32D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188B970">
          <v:rect id="_x0000_i1414" style="width:0;height:1.5pt" o:hralign="center" o:hrstd="t" o:hr="t" fillcolor="#a0a0a0" stroked="f"/>
        </w:pict>
      </w:r>
    </w:p>
    <w:p w14:paraId="38C0D3A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7. Confidence Logic</w:t>
      </w:r>
    </w:p>
    <w:p w14:paraId="5884389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 Confidence</w:t>
      </w:r>
    </w:p>
    <w:p w14:paraId="637C801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85%</w:t>
      </w:r>
    </w:p>
    <w:p w14:paraId="3A4A5D14"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Increase Confidence</w:t>
      </w:r>
    </w:p>
    <w:p w14:paraId="51E18BA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Stable debt reduction</w:t>
      </w:r>
    </w:p>
    <w:p w14:paraId="54B65E4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+5% Positive Free Cash Flow</w:t>
      </w:r>
    </w:p>
    <w:p w14:paraId="734BABD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Audited financial statements</w:t>
      </w:r>
    </w:p>
    <w:p w14:paraId="390D814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Decrease Confidence</w:t>
      </w:r>
    </w:p>
    <w:p w14:paraId="5626210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Manual entry</w:t>
      </w:r>
    </w:p>
    <w:p w14:paraId="0FCE741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Sharp increase in debt</w:t>
      </w:r>
    </w:p>
    <w:p w14:paraId="7E479E8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Financial restatement</w:t>
      </w:r>
    </w:p>
    <w:p w14:paraId="1C9A29B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613E340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p w14:paraId="2A5FE53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3BEA1B1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p w14:paraId="1F1D471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53ED7AD">
          <v:rect id="_x0000_i1415" style="width:0;height:1.5pt" o:hralign="center" o:hrstd="t" o:hr="t" fillcolor="#a0a0a0" stroked="f"/>
        </w:pict>
      </w:r>
    </w:p>
    <w:p w14:paraId="413C6CF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8. Score Range Bar</w:t>
      </w:r>
    </w:p>
    <w:p w14:paraId="462CD0A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404DE5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w:t>
      </w:r>
    </w:p>
    <w:p w14:paraId="076BF2E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5351F62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w:t>
      </w:r>
    </w:p>
    <w:p w14:paraId="0A5D5AD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Pointer</w:t>
      </w:r>
    </w:p>
    <w:p w14:paraId="3A738D3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Score</w:t>
      </w:r>
    </w:p>
    <w:p w14:paraId="7DFCD13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Average Marker</w:t>
      </w:r>
    </w:p>
    <w:p w14:paraId="66F3163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4-Quarter Average Score</w:t>
      </w:r>
    </w:p>
    <w:p w14:paraId="16A7A009"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Color Zones</w:t>
      </w:r>
    </w:p>
    <w:p w14:paraId="37B3364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 → High Risk</w:t>
      </w:r>
    </w:p>
    <w:p w14:paraId="71357CA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30–60 → Moderate Risk</w:t>
      </w:r>
    </w:p>
    <w:p w14:paraId="2BFB39F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60–80 → Healthy</w:t>
      </w:r>
    </w:p>
    <w:p w14:paraId="5FEB1D1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80–100 → Strong Balance Sheet</w:t>
      </w:r>
    </w:p>
    <w:p w14:paraId="59C7877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6E4E775">
          <v:rect id="_x0000_i1416" style="width:0;height:1.5pt" o:hralign="center" o:hrstd="t" o:hr="t" fillcolor="#a0a0a0" stroked="f"/>
        </w:pict>
      </w:r>
    </w:p>
    <w:p w14:paraId="56A5D6F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9. Dual Trend Chart</w:t>
      </w:r>
    </w:p>
    <w:p w14:paraId="3333EA8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Chart Type</w:t>
      </w:r>
    </w:p>
    <w:p w14:paraId="69B8934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Dual Line</w:t>
      </w:r>
    </w:p>
    <w:p w14:paraId="68F810D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1</w:t>
      </w:r>
    </w:p>
    <w:p w14:paraId="0FAC065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Debt to Equity Ratio</w:t>
      </w:r>
    </w:p>
    <w:p w14:paraId="557B19F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2</w:t>
      </w:r>
    </w:p>
    <w:p w14:paraId="6E9F9F3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Praxis Score</w:t>
      </w:r>
    </w:p>
    <w:p w14:paraId="7CAD2C8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History</w:t>
      </w:r>
    </w:p>
    <w:p w14:paraId="1A91D53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Last 8 Quarterly Updates</w:t>
      </w:r>
    </w:p>
    <w:p w14:paraId="67AE66C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w:t>
      </w:r>
    </w:p>
    <w:p w14:paraId="28AA473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every quarterly financial report.</w:t>
      </w:r>
    </w:p>
    <w:p w14:paraId="277B288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69044A8">
          <v:rect id="_x0000_i1417" style="width:0;height:1.5pt" o:hralign="center" o:hrstd="t" o:hr="t" fillcolor="#a0a0a0" stroked="f"/>
        </w:pict>
      </w:r>
    </w:p>
    <w:p w14:paraId="3ACDABB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10. AI Insight Rules</w:t>
      </w:r>
    </w:p>
    <w:p w14:paraId="7F405C1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 Below 0.30</w:t>
      </w:r>
    </w:p>
    <w:p w14:paraId="6319164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company has a conservative capital structure with low financial leverage.</w:t>
      </w:r>
    </w:p>
    <w:p w14:paraId="54785F7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 Between 0.30 and 0.60</w:t>
      </w:r>
    </w:p>
    <w:p w14:paraId="28F2F82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debt levels remain healthy and manageable.</w:t>
      </w:r>
    </w:p>
    <w:p w14:paraId="0C26B22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 Between 0.60 and 1.00</w:t>
      </w:r>
    </w:p>
    <w:p w14:paraId="438E698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leverage is moderate and should be monitored.</w:t>
      </w:r>
    </w:p>
    <w:p w14:paraId="4973193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lastRenderedPageBreak/>
        <w:t>D/E Above 1.00</w:t>
      </w:r>
    </w:p>
    <w:p w14:paraId="5F9B1D2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company relies significantly on debt financing.</w:t>
      </w:r>
    </w:p>
    <w:p w14:paraId="5CBA80F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 Above 2.00</w:t>
      </w:r>
    </w:p>
    <w:p w14:paraId="79F3549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high leverage increases financial risk, especially during economic slowdowns.</w:t>
      </w:r>
    </w:p>
    <w:p w14:paraId="0701B15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7A689A4">
          <v:rect id="_x0000_i1418" style="width:0;height:1.5pt" o:hralign="center" o:hrstd="t" o:hr="t" fillcolor="#a0a0a0" stroked="f"/>
        </w:pict>
      </w:r>
    </w:p>
    <w:p w14:paraId="66FC901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11. Why It Matters</w:t>
      </w:r>
    </w:p>
    <w:p w14:paraId="0230EBD9" w14:textId="77777777" w:rsidR="004D405C" w:rsidRPr="004D405C" w:rsidRDefault="004D405C" w:rsidP="004D405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financial leverage. </w:t>
      </w:r>
    </w:p>
    <w:p w14:paraId="29D4925D" w14:textId="77777777" w:rsidR="004D405C" w:rsidRPr="004D405C" w:rsidRDefault="004D405C" w:rsidP="004D405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Evaluates long-term solvency. </w:t>
      </w:r>
    </w:p>
    <w:p w14:paraId="5AFFCBE8" w14:textId="77777777" w:rsidR="004D405C" w:rsidRPr="004D405C" w:rsidRDefault="004D405C" w:rsidP="004D405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Assesses balance sheet strength. </w:t>
      </w:r>
    </w:p>
    <w:p w14:paraId="223E771F" w14:textId="77777777" w:rsidR="004D405C" w:rsidRPr="004D405C" w:rsidRDefault="004D405C" w:rsidP="004D405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Indicates borrowing risk. </w:t>
      </w:r>
    </w:p>
    <w:p w14:paraId="516CB30F" w14:textId="77777777" w:rsidR="004D405C" w:rsidRPr="004D405C" w:rsidRDefault="004D405C" w:rsidP="004D405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Supports risk-adjusted investment decisions. </w:t>
      </w:r>
    </w:p>
    <w:p w14:paraId="521E154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AFB43A6">
          <v:rect id="_x0000_i1419" style="width:0;height:1.5pt" o:hralign="center" o:hrstd="t" o:hr="t" fillcolor="#a0a0a0" stroked="f"/>
        </w:pict>
      </w:r>
    </w:p>
    <w:p w14:paraId="6722FB9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12. Trading Impact</w:t>
      </w:r>
    </w:p>
    <w:p w14:paraId="4419BB0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Intraday</w:t>
      </w:r>
    </w:p>
    <w:p w14:paraId="2A299F3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p>
    <w:p w14:paraId="19CEC5D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Swing Trading</w:t>
      </w:r>
    </w:p>
    <w:p w14:paraId="2C89C64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3C87F8C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Positional Trading</w:t>
      </w:r>
    </w:p>
    <w:p w14:paraId="475F5DC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309D8EA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Options Trading</w:t>
      </w:r>
    </w:p>
    <w:p w14:paraId="27779EE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3318AB4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Best Use</w:t>
      </w:r>
    </w:p>
    <w:p w14:paraId="546FEA6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Evaluating financial stability.</w:t>
      </w:r>
    </w:p>
    <w:p w14:paraId="64807E4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Avoid Using Alone</w:t>
      </w:r>
    </w:p>
    <w:p w14:paraId="30797C9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Yes</w:t>
      </w:r>
    </w:p>
    <w:p w14:paraId="3FAD0D3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45F26CD">
          <v:rect id="_x0000_i1420" style="width:0;height:1.5pt" o:hralign="center" o:hrstd="t" o:hr="t" fillcolor="#a0a0a0" stroked="f"/>
        </w:pict>
      </w:r>
    </w:p>
    <w:p w14:paraId="6CE19DF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13. Supporting Indicators</w:t>
      </w:r>
    </w:p>
    <w:p w14:paraId="267637DE" w14:textId="77777777" w:rsidR="004D405C" w:rsidRPr="004D405C" w:rsidRDefault="004D405C" w:rsidP="004D405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Coverage </w:t>
      </w:r>
    </w:p>
    <w:p w14:paraId="204A1465" w14:textId="77777777" w:rsidR="004D405C" w:rsidRPr="004D405C" w:rsidRDefault="004D405C" w:rsidP="004D405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Free Cash Flow </w:t>
      </w:r>
    </w:p>
    <w:p w14:paraId="54FD2AE0" w14:textId="77777777" w:rsidR="004D405C" w:rsidRPr="004D405C" w:rsidRDefault="004D405C" w:rsidP="004D405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w:t>
      </w:r>
    </w:p>
    <w:p w14:paraId="0F62B875" w14:textId="77777777" w:rsidR="004D405C" w:rsidRPr="004D405C" w:rsidRDefault="004D405C" w:rsidP="004D405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ROCE </w:t>
      </w:r>
    </w:p>
    <w:p w14:paraId="594B1541" w14:textId="77777777" w:rsidR="004D405C" w:rsidRPr="004D405C" w:rsidRDefault="004D405C" w:rsidP="004D405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Net Margin </w:t>
      </w:r>
    </w:p>
    <w:p w14:paraId="307B33A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16044BE">
          <v:rect id="_x0000_i1421" style="width:0;height:1.5pt" o:hralign="center" o:hrstd="t" o:hr="t" fillcolor="#a0a0a0" stroked="f"/>
        </w:pict>
      </w:r>
    </w:p>
    <w:p w14:paraId="0179941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14. Metadata</w:t>
      </w:r>
    </w:p>
    <w:p w14:paraId="30330AF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Source</w:t>
      </w:r>
    </w:p>
    <w:p w14:paraId="3137E8E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NSE Financial Results</w:t>
      </w:r>
    </w:p>
    <w:p w14:paraId="48EE454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Calculation</w:t>
      </w:r>
    </w:p>
    <w:p w14:paraId="77E4EA8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Backend</w:t>
      </w:r>
    </w:p>
    <w:p w14:paraId="24063FD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Updated</w:t>
      </w:r>
    </w:p>
    <w:p w14:paraId="1ECD072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Quarterly</w:t>
      </w:r>
    </w:p>
    <w:p w14:paraId="3A99604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b/>
          <w:bCs/>
          <w:sz w:val="24"/>
          <w:szCs w:val="24"/>
        </w:rPr>
        <w:t>Timezone</w:t>
      </w:r>
      <w:proofErr w:type="spellEnd"/>
    </w:p>
    <w:p w14:paraId="290E70B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Asia/Kolkata</w:t>
      </w:r>
    </w:p>
    <w:p w14:paraId="2A06BA7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Storage</w:t>
      </w:r>
    </w:p>
    <w:p w14:paraId="5F2BC0C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Local Electron Database</w:t>
      </w:r>
    </w:p>
    <w:p w14:paraId="2C8FFE9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539DE55">
          <v:rect id="_x0000_i1422" style="width:0;height:1.5pt" o:hralign="center" o:hrstd="t" o:hr="t" fillcolor="#a0a0a0" stroked="f"/>
        </w:pict>
      </w:r>
    </w:p>
    <w:p w14:paraId="2B27C93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15. Developer Notes</w:t>
      </w:r>
    </w:p>
    <w:p w14:paraId="305E35D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Store:</w:t>
      </w:r>
    </w:p>
    <w:p w14:paraId="294364AD" w14:textId="77777777" w:rsidR="004D405C" w:rsidRPr="004D405C" w:rsidRDefault="004D405C" w:rsidP="004D405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Debt to Equity Ratio </w:t>
      </w:r>
    </w:p>
    <w:p w14:paraId="1979FAD8" w14:textId="77777777" w:rsidR="004D405C" w:rsidRPr="004D405C" w:rsidRDefault="004D405C" w:rsidP="004D405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Total Debt </w:t>
      </w:r>
    </w:p>
    <w:p w14:paraId="7798FA92" w14:textId="77777777" w:rsidR="004D405C" w:rsidRPr="004D405C" w:rsidRDefault="004D405C" w:rsidP="004D405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Shareholders' Equity </w:t>
      </w:r>
    </w:p>
    <w:p w14:paraId="42D1A588" w14:textId="77777777" w:rsidR="004D405C" w:rsidRPr="004D405C" w:rsidRDefault="004D405C" w:rsidP="004D405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Debt to Equity </w:t>
      </w:r>
    </w:p>
    <w:p w14:paraId="7FC81ADC" w14:textId="77777777" w:rsidR="004D405C" w:rsidRPr="004D405C" w:rsidRDefault="004D405C" w:rsidP="004D405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Score </w:t>
      </w:r>
    </w:p>
    <w:p w14:paraId="3ABB5C90" w14:textId="77777777" w:rsidR="004D405C" w:rsidRPr="004D405C" w:rsidRDefault="004D405C" w:rsidP="004D405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Confidence </w:t>
      </w:r>
    </w:p>
    <w:p w14:paraId="40DAD6DB" w14:textId="77777777" w:rsidR="004D405C" w:rsidRPr="004D405C" w:rsidRDefault="004D405C" w:rsidP="004D405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Last Updated </w:t>
      </w:r>
    </w:p>
    <w:p w14:paraId="2671618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If Shareholders' Equity is zero or negative, return </w:t>
      </w:r>
      <w:r w:rsidRPr="004D405C">
        <w:rPr>
          <w:rFonts w:ascii="Times New Roman" w:eastAsia="Times New Roman" w:hAnsi="Times New Roman" w:cs="Times New Roman"/>
          <w:b/>
          <w:bCs/>
          <w:sz w:val="24"/>
          <w:szCs w:val="24"/>
        </w:rPr>
        <w:t>"Not Available"</w:t>
      </w:r>
      <w:r w:rsidRPr="004D405C">
        <w:rPr>
          <w:rFonts w:ascii="Times New Roman" w:eastAsia="Times New Roman" w:hAnsi="Times New Roman" w:cs="Times New Roman"/>
          <w:sz w:val="24"/>
          <w:szCs w:val="24"/>
        </w:rPr>
        <w:t xml:space="preserve"> and exclude the indicator from score calculation.</w:t>
      </w:r>
    </w:p>
    <w:p w14:paraId="66B76D4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81303ED">
          <v:rect id="_x0000_i1423" style="width:0;height:1.5pt" o:hralign="center" o:hrstd="t" o:hr="t" fillcolor="#a0a0a0" stroked="f"/>
        </w:pict>
      </w:r>
    </w:p>
    <w:p w14:paraId="25E92D7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 xml:space="preserve">16. Praxis Engine Integration </w:t>
      </w:r>
      <w:r w:rsidRPr="004D405C">
        <w:rPr>
          <w:rFonts w:ascii="Segoe UI Emoji" w:eastAsia="Times New Roman" w:hAnsi="Segoe UI Emoji" w:cs="Segoe UI Emoji"/>
          <w:b/>
          <w:bCs/>
          <w:kern w:val="36"/>
          <w:sz w:val="48"/>
          <w:szCs w:val="48"/>
        </w:rPr>
        <w:t>⭐</w:t>
      </w:r>
    </w:p>
    <w:p w14:paraId="7D81154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Engine Weight</w:t>
      </w:r>
    </w:p>
    <w:p w14:paraId="5C1B0F3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 (Configurable)</w:t>
      </w:r>
    </w:p>
    <w:p w14:paraId="1523FF6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Relative Importance</w:t>
      </w:r>
    </w:p>
    <w:p w14:paraId="210A22B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1CE333A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Decision Engine Role</w:t>
      </w:r>
    </w:p>
    <w:p w14:paraId="53407D3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Financial Leverage Assessment</w:t>
      </w:r>
    </w:p>
    <w:p w14:paraId="6C102C4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Primary Use</w:t>
      </w:r>
    </w:p>
    <w:p w14:paraId="43805BD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Evaluate the company's dependence on borrowed capital.</w:t>
      </w:r>
    </w:p>
    <w:p w14:paraId="2E50273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Bullish Confirmation</w:t>
      </w:r>
    </w:p>
    <w:p w14:paraId="53FE2AB9" w14:textId="77777777" w:rsidR="004D405C" w:rsidRPr="004D405C" w:rsidRDefault="004D405C" w:rsidP="004D405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Low Debt to Equity </w:t>
      </w:r>
    </w:p>
    <w:p w14:paraId="58B9D3B2" w14:textId="77777777" w:rsidR="004D405C" w:rsidRPr="004D405C" w:rsidRDefault="004D405C" w:rsidP="004D405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Free Cash Flow </w:t>
      </w:r>
    </w:p>
    <w:p w14:paraId="6BFB415B" w14:textId="77777777" w:rsidR="004D405C" w:rsidRPr="004D405C" w:rsidRDefault="004D405C" w:rsidP="004D405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Strong Interest Coverage </w:t>
      </w:r>
    </w:p>
    <w:p w14:paraId="21073D4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Bearish Confirmation</w:t>
      </w:r>
    </w:p>
    <w:p w14:paraId="2DC62143" w14:textId="77777777" w:rsidR="004D405C" w:rsidRPr="004D405C" w:rsidRDefault="004D405C" w:rsidP="004D405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High Debt to Equity </w:t>
      </w:r>
    </w:p>
    <w:p w14:paraId="24F6CCBA" w14:textId="77777777" w:rsidR="004D405C" w:rsidRPr="004D405C" w:rsidRDefault="004D405C" w:rsidP="004D405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Weak Interest Coverage </w:t>
      </w:r>
    </w:p>
    <w:p w14:paraId="2B18B6B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Display Priority</w:t>
      </w:r>
    </w:p>
    <w:p w14:paraId="6E2563D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2B740A2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pict w14:anchorId="2C8A528C">
          <v:rect id="_x0000_i1424" style="width:0;height:1.5pt" o:hralign="center" o:hrstd="t" o:hr="t" fillcolor="#a0a0a0" stroked="f"/>
        </w:pict>
      </w:r>
    </w:p>
    <w:p w14:paraId="1DB5FB9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17. Praxis Recommendation</w:t>
      </w:r>
    </w:p>
    <w:p w14:paraId="6981BB0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Debt to Equity Ratio should be the </w:t>
      </w:r>
      <w:r w:rsidRPr="004D405C">
        <w:rPr>
          <w:rFonts w:ascii="Times New Roman" w:eastAsia="Times New Roman" w:hAnsi="Times New Roman" w:cs="Times New Roman"/>
          <w:b/>
          <w:bCs/>
          <w:sz w:val="24"/>
          <w:szCs w:val="24"/>
        </w:rPr>
        <w:t>primary leverage indicator</w:t>
      </w:r>
      <w:r w:rsidRPr="004D405C">
        <w:rPr>
          <w:rFonts w:ascii="Times New Roman" w:eastAsia="Times New Roman" w:hAnsi="Times New Roman" w:cs="Times New Roman"/>
          <w:sz w:val="24"/>
          <w:szCs w:val="24"/>
        </w:rPr>
        <w:t xml:space="preserve"> within the Financial Health category.</w:t>
      </w:r>
    </w:p>
    <w:p w14:paraId="30EFE576"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Financial Health Hierarchy</w:t>
      </w:r>
    </w:p>
    <w:p w14:paraId="7E42C05F" w14:textId="77777777" w:rsidR="004D405C" w:rsidRPr="004D405C" w:rsidRDefault="004D405C" w:rsidP="004D405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Debt to Equity Ratio </w:t>
      </w:r>
    </w:p>
    <w:p w14:paraId="61DAFAEA" w14:textId="77777777" w:rsidR="004D405C" w:rsidRPr="004D405C" w:rsidRDefault="004D405C" w:rsidP="004D405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Interest Coverage </w:t>
      </w:r>
    </w:p>
    <w:p w14:paraId="28D8CD55" w14:textId="77777777" w:rsidR="004D405C" w:rsidRPr="004D405C" w:rsidRDefault="004D405C" w:rsidP="004D405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Free Cash Flow </w:t>
      </w:r>
    </w:p>
    <w:p w14:paraId="204A060E" w14:textId="77777777" w:rsidR="004D405C" w:rsidRPr="004D405C" w:rsidRDefault="004D405C" w:rsidP="004D405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Current Ratio </w:t>
      </w:r>
    </w:p>
    <w:p w14:paraId="52D70833"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Engine Rules</w:t>
      </w:r>
    </w:p>
    <w:p w14:paraId="1E626073" w14:textId="77777777" w:rsidR="004D405C" w:rsidRPr="004D405C" w:rsidRDefault="004D405C" w:rsidP="004D405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 &lt;0.60 + Strong Interest Coverage → Increase Financial Health Score. </w:t>
      </w:r>
    </w:p>
    <w:p w14:paraId="3F1AE00A" w14:textId="77777777" w:rsidR="004D405C" w:rsidRPr="004D405C" w:rsidRDefault="004D405C" w:rsidP="004D405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 declining for multiple quarters → Increase Fundamentals confidence. </w:t>
      </w:r>
    </w:p>
    <w:p w14:paraId="0511A552" w14:textId="77777777" w:rsidR="004D405C" w:rsidRPr="004D405C" w:rsidRDefault="004D405C" w:rsidP="004D405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 &gt;1.00 + Negative Free Cash Flow → Reduce Financial Health Score. </w:t>
      </w:r>
    </w:p>
    <w:p w14:paraId="10FFEB6C" w14:textId="77777777" w:rsidR="004D405C" w:rsidRPr="004D405C" w:rsidRDefault="004D405C" w:rsidP="004D405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High Debt + Weak Interest Coverage → Flag elevated financial risk. </w:t>
      </w:r>
    </w:p>
    <w:p w14:paraId="44F73D4A" w14:textId="73A5C1C8" w:rsid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Debt to Equity Ratio should be one of the highest-weighted indicators in the </w:t>
      </w:r>
      <w:r w:rsidRPr="004D405C">
        <w:rPr>
          <w:rFonts w:ascii="Times New Roman" w:eastAsia="Times New Roman" w:hAnsi="Times New Roman" w:cs="Times New Roman"/>
          <w:b/>
          <w:bCs/>
          <w:sz w:val="24"/>
          <w:szCs w:val="24"/>
        </w:rPr>
        <w:t>Financial Health</w:t>
      </w:r>
      <w:r w:rsidRPr="004D405C">
        <w:rPr>
          <w:rFonts w:ascii="Times New Roman" w:eastAsia="Times New Roman" w:hAnsi="Times New Roman" w:cs="Times New Roman"/>
          <w:sz w:val="24"/>
          <w:szCs w:val="24"/>
        </w:rPr>
        <w:t xml:space="preserve"> category, helping assess balance sheet quality and long-term solvency rather than acting as a standalone investment signal.</w:t>
      </w:r>
    </w:p>
    <w:p w14:paraId="3908152F" w14:textId="06218BE9"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0012955" w14:textId="579B8ADA"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052AB965" w14:textId="53171641"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7BDAF27" w14:textId="02F54875"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6E96974" w14:textId="137F3C6C"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33DA4F9" w14:textId="3EEE9E9A"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34751FC" w14:textId="42211ACC"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0B0DCD51" w14:textId="2B8A61A9"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76D163F0" w14:textId="77777777" w:rsidR="00E11FEB" w:rsidRPr="004D405C"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06A7B6A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D405C">
        <w:rPr>
          <w:rFonts w:ascii="Times New Roman" w:eastAsia="Times New Roman" w:hAnsi="Times New Roman" w:cs="Times New Roman"/>
          <w:b/>
          <w:bCs/>
          <w:color w:val="FF0000"/>
          <w:kern w:val="36"/>
          <w:sz w:val="48"/>
          <w:szCs w:val="48"/>
        </w:rPr>
        <w:lastRenderedPageBreak/>
        <w:t>14. Interest Coverage Ratio</w:t>
      </w:r>
    </w:p>
    <w:p w14:paraId="6B17654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Financial Health</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Status:</w:t>
      </w:r>
      <w:r w:rsidRPr="004D405C">
        <w:rPr>
          <w:rFonts w:ascii="Times New Roman" w:eastAsia="Times New Roman" w:hAnsi="Times New Roman" w:cs="Times New Roman"/>
          <w:sz w:val="24"/>
          <w:szCs w:val="24"/>
        </w:rPr>
        <w:t xml:space="preserve"> Production Ready</w:t>
      </w:r>
    </w:p>
    <w:p w14:paraId="7B966176" w14:textId="77777777" w:rsidR="004D405C" w:rsidRPr="004D405C" w:rsidRDefault="004D405C" w:rsidP="004D405C">
      <w:pPr>
        <w:spacing w:before="100" w:beforeAutospacing="1" w:after="100" w:afterAutospacing="1" w:line="240" w:lineRule="auto"/>
        <w:outlineLvl w:val="1"/>
        <w:rPr>
          <w:rFonts w:ascii="Times New Roman" w:eastAsia="Times New Roman" w:hAnsi="Times New Roman" w:cs="Times New Roman"/>
          <w:b/>
          <w:bCs/>
          <w:sz w:val="36"/>
          <w:szCs w:val="36"/>
        </w:rPr>
      </w:pPr>
      <w:r w:rsidRPr="004D405C">
        <w:rPr>
          <w:rFonts w:ascii="Times New Roman" w:eastAsia="Times New Roman" w:hAnsi="Times New Roman" w:cs="Times New Roman"/>
          <w:b/>
          <w:bCs/>
          <w:sz w:val="36"/>
          <w:szCs w:val="36"/>
        </w:rPr>
        <w:t>1. Overview</w:t>
      </w:r>
    </w:p>
    <w:p w14:paraId="5325DD1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Name:</w:t>
      </w:r>
      <w:r w:rsidRPr="004D405C">
        <w:rPr>
          <w:rFonts w:ascii="Times New Roman" w:eastAsia="Times New Roman" w:hAnsi="Times New Roman" w:cs="Times New Roman"/>
          <w:sz w:val="24"/>
          <w:szCs w:val="24"/>
        </w:rPr>
        <w:t xml:space="preserve"> Interest Coverage Ratio</w:t>
      </w:r>
    </w:p>
    <w:p w14:paraId="6E9F5A2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Short Name:</w:t>
      </w:r>
      <w:r w:rsidRPr="004D405C">
        <w:rPr>
          <w:rFonts w:ascii="Times New Roman" w:eastAsia="Times New Roman" w:hAnsi="Times New Roman" w:cs="Times New Roman"/>
          <w:sz w:val="24"/>
          <w:szCs w:val="24"/>
        </w:rPr>
        <w:t xml:space="preserve"> Interest Coverage</w:t>
      </w:r>
    </w:p>
    <w:p w14:paraId="725256B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p>
    <w:p w14:paraId="5BD6A97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Financial Health</w:t>
      </w:r>
    </w:p>
    <w:p w14:paraId="552F159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Purpose:</w:t>
      </w:r>
    </w:p>
    <w:p w14:paraId="0A5CFF6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Measures a company's ability to meet its interest obligations using its operating earnings. It indicates whether the business generates sufficient profit to comfortably service its debt.</w:t>
      </w:r>
    </w:p>
    <w:p w14:paraId="2CBEE45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Based On:</w:t>
      </w:r>
    </w:p>
    <w:p w14:paraId="3249BF5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EBIT (Earnings Before Interest &amp; Tax) and Interest Expense</w:t>
      </w:r>
    </w:p>
    <w:p w14:paraId="523EEE4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Importance:</w:t>
      </w:r>
    </w:p>
    <w:p w14:paraId="5348336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(Core Financial Health Indicator)</w:t>
      </w:r>
    </w:p>
    <w:p w14:paraId="13E8917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Auto / Manual:</w:t>
      </w:r>
    </w:p>
    <w:p w14:paraId="5C21720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Manual (V1)</w:t>
      </w:r>
    </w:p>
    <w:p w14:paraId="0A202A5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 Frequency:</w:t>
      </w:r>
    </w:p>
    <w:p w14:paraId="0F0452F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After every quarterly financial </w:t>
      </w:r>
      <w:proofErr w:type="gramStart"/>
      <w:r w:rsidRPr="004D405C">
        <w:rPr>
          <w:rFonts w:ascii="Times New Roman" w:eastAsia="Times New Roman" w:hAnsi="Times New Roman" w:cs="Times New Roman"/>
          <w:sz w:val="24"/>
          <w:szCs w:val="24"/>
        </w:rPr>
        <w:t>results</w:t>
      </w:r>
      <w:proofErr w:type="gramEnd"/>
      <w:r w:rsidRPr="004D405C">
        <w:rPr>
          <w:rFonts w:ascii="Times New Roman" w:eastAsia="Times New Roman" w:hAnsi="Times New Roman" w:cs="Times New Roman"/>
          <w:sz w:val="24"/>
          <w:szCs w:val="24"/>
        </w:rPr>
        <w:t>.</w:t>
      </w:r>
    </w:p>
    <w:p w14:paraId="33EFE35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Praxis Note:</w:t>
      </w:r>
    </w:p>
    <w:p w14:paraId="14F2368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 higher Interest Coverage Ratio indicates stronger financial stability. Low coverage suggests increasing financial risk, especially during periods of rising interest rates or declining earnings.</w:t>
      </w:r>
    </w:p>
    <w:p w14:paraId="2B21FD4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9337004">
          <v:rect id="_x0000_i1441" style="width:0;height:1.5pt" o:hralign="center" o:hrstd="t" o:hr="t" fillcolor="#a0a0a0" stroked="f"/>
        </w:pict>
      </w:r>
    </w:p>
    <w:p w14:paraId="51FD934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2. Data Requirements</w:t>
      </w:r>
    </w:p>
    <w:p w14:paraId="0807335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Required Data</w:t>
      </w:r>
    </w:p>
    <w:p w14:paraId="1749DE83" w14:textId="77777777" w:rsidR="004D405C" w:rsidRPr="004D405C" w:rsidRDefault="004D405C" w:rsidP="004D405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EBIT </w:t>
      </w:r>
    </w:p>
    <w:p w14:paraId="07EA00C4" w14:textId="77777777" w:rsidR="004D405C" w:rsidRPr="004D405C" w:rsidRDefault="004D405C" w:rsidP="004D405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Expense </w:t>
      </w:r>
    </w:p>
    <w:p w14:paraId="372C0305" w14:textId="77777777" w:rsidR="004D405C" w:rsidRPr="004D405C" w:rsidRDefault="004D405C" w:rsidP="004D405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Interest Coverage Ratio </w:t>
      </w:r>
    </w:p>
    <w:p w14:paraId="2E7CA9EA" w14:textId="77777777" w:rsidR="004D405C" w:rsidRPr="004D405C" w:rsidRDefault="004D405C" w:rsidP="004D405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Interest Coverage </w:t>
      </w:r>
    </w:p>
    <w:p w14:paraId="7F8F3A57"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Minimum Historical Data</w:t>
      </w:r>
    </w:p>
    <w:p w14:paraId="34BE0E9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 Quarterly Reports</w:t>
      </w:r>
    </w:p>
    <w:p w14:paraId="7A43BCB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Recommended:</w:t>
      </w:r>
    </w:p>
    <w:p w14:paraId="13AB488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 Years</w:t>
      </w:r>
    </w:p>
    <w:p w14:paraId="2D09C50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Primary Source</w:t>
      </w:r>
    </w:p>
    <w:p w14:paraId="6AD74AB1" w14:textId="77777777" w:rsidR="004D405C" w:rsidRPr="004D405C" w:rsidRDefault="004D405C" w:rsidP="004D405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Financial Results </w:t>
      </w:r>
    </w:p>
    <w:p w14:paraId="60596342" w14:textId="77777777" w:rsidR="004D405C" w:rsidRPr="004D405C" w:rsidRDefault="004D405C" w:rsidP="004D405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Company Financial Statements </w:t>
      </w:r>
    </w:p>
    <w:p w14:paraId="6041B7A9" w14:textId="77777777" w:rsidR="004D405C" w:rsidRPr="004D405C" w:rsidRDefault="004D405C" w:rsidP="004D405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Annual Reports </w:t>
      </w:r>
    </w:p>
    <w:p w14:paraId="542FC2A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55D3E0B">
          <v:rect id="_x0000_i1442" style="width:0;height:1.5pt" o:hralign="center" o:hrstd="t" o:hr="t" fillcolor="#a0a0a0" stroked="f"/>
        </w:pict>
      </w:r>
    </w:p>
    <w:p w14:paraId="474C89D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3. Industry Standard Calculation</w:t>
      </w:r>
    </w:p>
    <w:p w14:paraId="5E4FF363"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Formula</w:t>
      </w:r>
    </w:p>
    <w:p w14:paraId="3C38FC59"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Interest Coverage Ratio =</w:t>
      </w:r>
    </w:p>
    <w:p w14:paraId="7135C4EF"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EBIT ÷ Interest Expense</w:t>
      </w:r>
    </w:p>
    <w:p w14:paraId="36D10687"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Implementation Steps</w:t>
      </w:r>
    </w:p>
    <w:p w14:paraId="0BF42CB5" w14:textId="77777777" w:rsidR="004D405C" w:rsidRPr="004D405C" w:rsidRDefault="004D405C" w:rsidP="004D405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EBIT. </w:t>
      </w:r>
    </w:p>
    <w:p w14:paraId="3163D00E" w14:textId="77777777" w:rsidR="004D405C" w:rsidRPr="004D405C" w:rsidRDefault="004D405C" w:rsidP="004D405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Interest Expense. </w:t>
      </w:r>
    </w:p>
    <w:p w14:paraId="5D317AAE" w14:textId="77777777" w:rsidR="004D405C" w:rsidRPr="004D405C" w:rsidRDefault="004D405C" w:rsidP="004D405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Calculate Interest Coverage Ratio. </w:t>
      </w:r>
    </w:p>
    <w:p w14:paraId="4E3C5DFF" w14:textId="77777777" w:rsidR="004D405C" w:rsidRPr="004D405C" w:rsidRDefault="004D405C" w:rsidP="004D405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 with historical values. </w:t>
      </w:r>
    </w:p>
    <w:p w14:paraId="7CEED1FB" w14:textId="77777777" w:rsidR="004D405C" w:rsidRPr="004D405C" w:rsidRDefault="004D405C" w:rsidP="004D405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Generate the Financial Health Score. </w:t>
      </w:r>
    </w:p>
    <w:p w14:paraId="70FA7BE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547102BF" w14:textId="77777777" w:rsidR="004D405C" w:rsidRPr="004D405C" w:rsidRDefault="004D405C" w:rsidP="004D405C">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EBIT before interest and taxes. </w:t>
      </w:r>
    </w:p>
    <w:p w14:paraId="0E833687" w14:textId="77777777" w:rsidR="004D405C" w:rsidRPr="004D405C" w:rsidRDefault="004D405C" w:rsidP="004D405C">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the latest reported interest expense. </w:t>
      </w:r>
    </w:p>
    <w:p w14:paraId="5ACF840D" w14:textId="77777777" w:rsidR="004D405C" w:rsidRPr="004D405C" w:rsidRDefault="004D405C" w:rsidP="004D405C">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Higher values indicate stronger debt servicing ability. </w:t>
      </w:r>
    </w:p>
    <w:p w14:paraId="6609CA9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522034A">
          <v:rect id="_x0000_i1443" style="width:0;height:1.5pt" o:hralign="center" o:hrstd="t" o:hr="t" fillcolor="#a0a0a0" stroked="f"/>
        </w:pict>
      </w:r>
    </w:p>
    <w:p w14:paraId="20AE54A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4. Card Fields</w:t>
      </w:r>
    </w:p>
    <w:p w14:paraId="5AF27B4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Value</w:t>
      </w:r>
    </w:p>
    <w:p w14:paraId="2370799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Interest Coverage Ratio</w:t>
      </w:r>
    </w:p>
    <w:p w14:paraId="2CF52FB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EBIT</w:t>
      </w:r>
    </w:p>
    <w:p w14:paraId="5533FFC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Operating Profit</w:t>
      </w:r>
    </w:p>
    <w:p w14:paraId="46E86B0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Interest Expense</w:t>
      </w:r>
    </w:p>
    <w:p w14:paraId="5D5DECE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Interest Cost</w:t>
      </w:r>
    </w:p>
    <w:p w14:paraId="7756A7E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Score</w:t>
      </w:r>
    </w:p>
    <w:p w14:paraId="5273E2B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0–100</w:t>
      </w:r>
    </w:p>
    <w:p w14:paraId="42CC8CB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Bias</w:t>
      </w:r>
    </w:p>
    <w:p w14:paraId="3C3F68AD" w14:textId="77777777" w:rsidR="004D405C" w:rsidRPr="004D405C" w:rsidRDefault="004D405C" w:rsidP="004D405C">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Bullish </w:t>
      </w:r>
    </w:p>
    <w:p w14:paraId="679F9C06" w14:textId="77777777" w:rsidR="004D405C" w:rsidRPr="004D405C" w:rsidRDefault="004D405C" w:rsidP="004D405C">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Neutral </w:t>
      </w:r>
    </w:p>
    <w:p w14:paraId="71317096" w14:textId="77777777" w:rsidR="004D405C" w:rsidRPr="004D405C" w:rsidRDefault="004D405C" w:rsidP="004D405C">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Bearish </w:t>
      </w:r>
    </w:p>
    <w:p w14:paraId="10B9259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Confidence</w:t>
      </w:r>
    </w:p>
    <w:p w14:paraId="29E4493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Financial Health Confidence</w:t>
      </w:r>
    </w:p>
    <w:p w14:paraId="35D93BF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Impact Weight</w:t>
      </w:r>
    </w:p>
    <w:p w14:paraId="69DD3D2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6780E32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4E4F8D0">
          <v:rect id="_x0000_i1444" style="width:0;height:1.5pt" o:hralign="center" o:hrstd="t" o:hr="t" fillcolor="#a0a0a0" stroked="f"/>
        </w:pict>
      </w:r>
    </w:p>
    <w:p w14:paraId="56964586"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34"/>
        <w:gridCol w:w="1509"/>
      </w:tblGrid>
      <w:tr w:rsidR="004D405C" w:rsidRPr="004D405C" w14:paraId="5902730F" w14:textId="77777777" w:rsidTr="004D405C">
        <w:trPr>
          <w:tblHeader/>
          <w:tblCellSpacing w:w="15" w:type="dxa"/>
        </w:trPr>
        <w:tc>
          <w:tcPr>
            <w:tcW w:w="0" w:type="auto"/>
            <w:vAlign w:val="center"/>
            <w:hideMark/>
          </w:tcPr>
          <w:p w14:paraId="5DF60C08"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Interest Coverage</w:t>
            </w:r>
          </w:p>
        </w:tc>
        <w:tc>
          <w:tcPr>
            <w:tcW w:w="0" w:type="auto"/>
            <w:vAlign w:val="center"/>
            <w:hideMark/>
          </w:tcPr>
          <w:p w14:paraId="43386D64"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Score</w:t>
            </w:r>
          </w:p>
        </w:tc>
        <w:tc>
          <w:tcPr>
            <w:tcW w:w="0" w:type="auto"/>
            <w:vAlign w:val="center"/>
            <w:hideMark/>
          </w:tcPr>
          <w:p w14:paraId="66C9710A"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Bias</w:t>
            </w:r>
          </w:p>
        </w:tc>
      </w:tr>
      <w:tr w:rsidR="004D405C" w:rsidRPr="004D405C" w14:paraId="7FB1FC78" w14:textId="77777777" w:rsidTr="004D405C">
        <w:trPr>
          <w:tblCellSpacing w:w="15" w:type="dxa"/>
        </w:trPr>
        <w:tc>
          <w:tcPr>
            <w:tcW w:w="0" w:type="auto"/>
            <w:vAlign w:val="center"/>
            <w:hideMark/>
          </w:tcPr>
          <w:p w14:paraId="4E04EBE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&gt;8</w:t>
            </w:r>
          </w:p>
        </w:tc>
        <w:tc>
          <w:tcPr>
            <w:tcW w:w="0" w:type="auto"/>
            <w:vAlign w:val="center"/>
            <w:hideMark/>
          </w:tcPr>
          <w:p w14:paraId="2DDAD48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tc>
        <w:tc>
          <w:tcPr>
            <w:tcW w:w="0" w:type="auto"/>
            <w:vAlign w:val="center"/>
            <w:hideMark/>
          </w:tcPr>
          <w:p w14:paraId="3F17660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Bullish</w:t>
            </w:r>
          </w:p>
        </w:tc>
      </w:tr>
      <w:tr w:rsidR="004D405C" w:rsidRPr="004D405C" w14:paraId="0F97F057" w14:textId="77777777" w:rsidTr="004D405C">
        <w:trPr>
          <w:tblCellSpacing w:w="15" w:type="dxa"/>
        </w:trPr>
        <w:tc>
          <w:tcPr>
            <w:tcW w:w="0" w:type="auto"/>
            <w:vAlign w:val="center"/>
            <w:hideMark/>
          </w:tcPr>
          <w:p w14:paraId="6A2F974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5–8</w:t>
            </w:r>
          </w:p>
        </w:tc>
        <w:tc>
          <w:tcPr>
            <w:tcW w:w="0" w:type="auto"/>
            <w:vAlign w:val="center"/>
            <w:hideMark/>
          </w:tcPr>
          <w:p w14:paraId="3ECC742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82</w:t>
            </w:r>
          </w:p>
        </w:tc>
        <w:tc>
          <w:tcPr>
            <w:tcW w:w="0" w:type="auto"/>
            <w:vAlign w:val="center"/>
            <w:hideMark/>
          </w:tcPr>
          <w:p w14:paraId="4491272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tc>
      </w:tr>
      <w:tr w:rsidR="004D405C" w:rsidRPr="004D405C" w14:paraId="74949887" w14:textId="77777777" w:rsidTr="004D405C">
        <w:trPr>
          <w:tblCellSpacing w:w="15" w:type="dxa"/>
        </w:trPr>
        <w:tc>
          <w:tcPr>
            <w:tcW w:w="0" w:type="auto"/>
            <w:vAlign w:val="center"/>
            <w:hideMark/>
          </w:tcPr>
          <w:p w14:paraId="52EC060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3–5</w:t>
            </w:r>
          </w:p>
        </w:tc>
        <w:tc>
          <w:tcPr>
            <w:tcW w:w="0" w:type="auto"/>
            <w:vAlign w:val="center"/>
            <w:hideMark/>
          </w:tcPr>
          <w:p w14:paraId="43B0453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tc>
        <w:tc>
          <w:tcPr>
            <w:tcW w:w="0" w:type="auto"/>
            <w:vAlign w:val="center"/>
            <w:hideMark/>
          </w:tcPr>
          <w:p w14:paraId="5C5CF0F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tc>
      </w:tr>
      <w:tr w:rsidR="004D405C" w:rsidRPr="004D405C" w14:paraId="00580A87" w14:textId="77777777" w:rsidTr="004D405C">
        <w:trPr>
          <w:tblCellSpacing w:w="15" w:type="dxa"/>
        </w:trPr>
        <w:tc>
          <w:tcPr>
            <w:tcW w:w="0" w:type="auto"/>
            <w:vAlign w:val="center"/>
            <w:hideMark/>
          </w:tcPr>
          <w:p w14:paraId="03AC75B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1.5–3</w:t>
            </w:r>
          </w:p>
        </w:tc>
        <w:tc>
          <w:tcPr>
            <w:tcW w:w="0" w:type="auto"/>
            <w:vAlign w:val="center"/>
            <w:hideMark/>
          </w:tcPr>
          <w:p w14:paraId="0A2CE54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w:t>
            </w:r>
          </w:p>
        </w:tc>
        <w:tc>
          <w:tcPr>
            <w:tcW w:w="0" w:type="auto"/>
            <w:vAlign w:val="center"/>
            <w:hideMark/>
          </w:tcPr>
          <w:p w14:paraId="776532B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tc>
      </w:tr>
      <w:tr w:rsidR="004D405C" w:rsidRPr="004D405C" w14:paraId="479F9469" w14:textId="77777777" w:rsidTr="004D405C">
        <w:trPr>
          <w:tblCellSpacing w:w="15" w:type="dxa"/>
        </w:trPr>
        <w:tc>
          <w:tcPr>
            <w:tcW w:w="0" w:type="auto"/>
            <w:vAlign w:val="center"/>
            <w:hideMark/>
          </w:tcPr>
          <w:p w14:paraId="4C98816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&lt;1.5</w:t>
            </w:r>
          </w:p>
        </w:tc>
        <w:tc>
          <w:tcPr>
            <w:tcW w:w="0" w:type="auto"/>
            <w:vAlign w:val="center"/>
            <w:hideMark/>
          </w:tcPr>
          <w:p w14:paraId="11A86A1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w:t>
            </w:r>
          </w:p>
        </w:tc>
        <w:tc>
          <w:tcPr>
            <w:tcW w:w="0" w:type="auto"/>
            <w:vAlign w:val="center"/>
            <w:hideMark/>
          </w:tcPr>
          <w:p w14:paraId="04FBB6C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tc>
      </w:tr>
    </w:tbl>
    <w:p w14:paraId="500D48C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28ACC7F7" w14:textId="77777777" w:rsidR="004D405C" w:rsidRPr="004D405C" w:rsidRDefault="004D405C" w:rsidP="004D405C">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Higher coverage improves the Financial Health Score. </w:t>
      </w:r>
    </w:p>
    <w:p w14:paraId="07801CE2" w14:textId="77777777" w:rsidR="004D405C" w:rsidRPr="004D405C" w:rsidRDefault="004D405C" w:rsidP="004D405C">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 ratio below 1.5 indicates elevated financial risk. </w:t>
      </w:r>
    </w:p>
    <w:p w14:paraId="58E0CEE2" w14:textId="77777777" w:rsidR="004D405C" w:rsidRPr="004D405C" w:rsidRDefault="004D405C" w:rsidP="004D405C">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Consistent improvement over multiple quarters </w:t>
      </w:r>
      <w:proofErr w:type="gramStart"/>
      <w:r w:rsidRPr="004D405C">
        <w:rPr>
          <w:rFonts w:ascii="Times New Roman" w:eastAsia="Times New Roman" w:hAnsi="Times New Roman" w:cs="Times New Roman"/>
          <w:sz w:val="24"/>
          <w:szCs w:val="24"/>
        </w:rPr>
        <w:t>strengthens</w:t>
      </w:r>
      <w:proofErr w:type="gramEnd"/>
      <w:r w:rsidRPr="004D405C">
        <w:rPr>
          <w:rFonts w:ascii="Times New Roman" w:eastAsia="Times New Roman" w:hAnsi="Times New Roman" w:cs="Times New Roman"/>
          <w:sz w:val="24"/>
          <w:szCs w:val="24"/>
        </w:rPr>
        <w:t xml:space="preserve"> confidence. </w:t>
      </w:r>
    </w:p>
    <w:p w14:paraId="436DAA9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F2A0F9C">
          <v:rect id="_x0000_i1445" style="width:0;height:1.5pt" o:hralign="center" o:hrstd="t" o:hr="t" fillcolor="#a0a0a0" stroked="f"/>
        </w:pict>
      </w:r>
    </w:p>
    <w:p w14:paraId="613536D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6. Bias Rules</w:t>
      </w:r>
    </w:p>
    <w:p w14:paraId="5184EE5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Coverage Above 5</w:t>
      </w:r>
    </w:p>
    <w:p w14:paraId="73B7F6C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p w14:paraId="7382866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Coverage Between 3–5</w:t>
      </w:r>
    </w:p>
    <w:p w14:paraId="716B2F7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p w14:paraId="38084FB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Coverage Below 3</w:t>
      </w:r>
    </w:p>
    <w:p w14:paraId="31E783A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p w14:paraId="19B1E1B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Coverage Below 1.5</w:t>
      </w:r>
    </w:p>
    <w:p w14:paraId="582D6A6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p w14:paraId="6158808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BA5E1E4">
          <v:rect id="_x0000_i1446" style="width:0;height:1.5pt" o:hralign="center" o:hrstd="t" o:hr="t" fillcolor="#a0a0a0" stroked="f"/>
        </w:pict>
      </w:r>
    </w:p>
    <w:p w14:paraId="1B46DBD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7. Confidence Logic</w:t>
      </w:r>
    </w:p>
    <w:p w14:paraId="086B733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 Confidence</w:t>
      </w:r>
    </w:p>
    <w:p w14:paraId="1D2F9E6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85%</w:t>
      </w:r>
    </w:p>
    <w:p w14:paraId="46DBDF2E"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Increase Confidence</w:t>
      </w:r>
    </w:p>
    <w:p w14:paraId="7C0DCFC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Stable EBIT growth</w:t>
      </w:r>
    </w:p>
    <w:p w14:paraId="38E9375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+5% Declining debt levels</w:t>
      </w:r>
    </w:p>
    <w:p w14:paraId="65FC34C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Audited financial statements</w:t>
      </w:r>
    </w:p>
    <w:p w14:paraId="1782B1E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Decrease Confidence</w:t>
      </w:r>
    </w:p>
    <w:p w14:paraId="0BEEE5E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Manual entry</w:t>
      </w:r>
    </w:p>
    <w:p w14:paraId="66F758C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Highly volatile earnings</w:t>
      </w:r>
    </w:p>
    <w:p w14:paraId="3A151C5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Financial restatement</w:t>
      </w:r>
    </w:p>
    <w:p w14:paraId="56EDE85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7FF803A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p w14:paraId="68B250D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1BD493D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p w14:paraId="45384E0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5D79203">
          <v:rect id="_x0000_i1447" style="width:0;height:1.5pt" o:hralign="center" o:hrstd="t" o:hr="t" fillcolor="#a0a0a0" stroked="f"/>
        </w:pict>
      </w:r>
    </w:p>
    <w:p w14:paraId="1C1597B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8. Score Range Bar</w:t>
      </w:r>
    </w:p>
    <w:p w14:paraId="0369298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746B242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w:t>
      </w:r>
    </w:p>
    <w:p w14:paraId="4D565BD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050DE3C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w:t>
      </w:r>
    </w:p>
    <w:p w14:paraId="00E91F1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Pointer</w:t>
      </w:r>
    </w:p>
    <w:p w14:paraId="0A5B8E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Score</w:t>
      </w:r>
    </w:p>
    <w:p w14:paraId="75674AD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Average Marker</w:t>
      </w:r>
    </w:p>
    <w:p w14:paraId="16B020A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4-Quarter Average Score</w:t>
      </w:r>
    </w:p>
    <w:p w14:paraId="7DE225A5"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Color Zones</w:t>
      </w:r>
    </w:p>
    <w:p w14:paraId="67CB2FD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 → High Risk</w:t>
      </w:r>
    </w:p>
    <w:p w14:paraId="78F8141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30–60 → Moderate Risk</w:t>
      </w:r>
    </w:p>
    <w:p w14:paraId="60288CC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60–80 → Healthy</w:t>
      </w:r>
    </w:p>
    <w:p w14:paraId="0EAD8C0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80–100 → Strong Coverage</w:t>
      </w:r>
    </w:p>
    <w:p w14:paraId="32E1CB4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A09610B">
          <v:rect id="_x0000_i1448" style="width:0;height:1.5pt" o:hralign="center" o:hrstd="t" o:hr="t" fillcolor="#a0a0a0" stroked="f"/>
        </w:pict>
      </w:r>
    </w:p>
    <w:p w14:paraId="1B410BE3"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9. Dual Trend Chart</w:t>
      </w:r>
    </w:p>
    <w:p w14:paraId="2971BEC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Chart Type</w:t>
      </w:r>
    </w:p>
    <w:p w14:paraId="0BB1DFA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Dual Line</w:t>
      </w:r>
    </w:p>
    <w:p w14:paraId="41DD8B9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1</w:t>
      </w:r>
    </w:p>
    <w:p w14:paraId="6B41FB9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Interest Coverage Ratio</w:t>
      </w:r>
    </w:p>
    <w:p w14:paraId="5D5DF63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2</w:t>
      </w:r>
    </w:p>
    <w:p w14:paraId="78BABF4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Praxis Score</w:t>
      </w:r>
    </w:p>
    <w:p w14:paraId="2F49860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History</w:t>
      </w:r>
    </w:p>
    <w:p w14:paraId="32A67B4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Last 8 Quarterly Updates</w:t>
      </w:r>
    </w:p>
    <w:p w14:paraId="37D32A8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w:t>
      </w:r>
    </w:p>
    <w:p w14:paraId="3B12720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every quarterly financial report.</w:t>
      </w:r>
    </w:p>
    <w:p w14:paraId="4DAE38B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4DCC8D4">
          <v:rect id="_x0000_i1449" style="width:0;height:1.5pt" o:hralign="center" o:hrstd="t" o:hr="t" fillcolor="#a0a0a0" stroked="f"/>
        </w:pict>
      </w:r>
    </w:p>
    <w:p w14:paraId="2FC3603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10. AI Insight Rules</w:t>
      </w:r>
    </w:p>
    <w:p w14:paraId="754FB2C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Coverage Above 8</w:t>
      </w:r>
    </w:p>
    <w:p w14:paraId="0D89E24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company comfortably meets its interest obligations with strong operating earnings.</w:t>
      </w:r>
    </w:p>
    <w:p w14:paraId="7DBB300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Coverage Between 5 and 8</w:t>
      </w:r>
    </w:p>
    <w:p w14:paraId="112EAC7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debt servicing capacity remains healthy.</w:t>
      </w:r>
    </w:p>
    <w:p w14:paraId="469B8AA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Coverage Between 3 and 5</w:t>
      </w:r>
    </w:p>
    <w:p w14:paraId="5823FE3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interest obligations are manageable but should be monitored.</w:t>
      </w:r>
    </w:p>
    <w:p w14:paraId="77DB747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lastRenderedPageBreak/>
        <w:t>Coverage Below 3</w:t>
      </w:r>
    </w:p>
    <w:p w14:paraId="3910E5A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debt servicing capacity is weakening.</w:t>
      </w:r>
    </w:p>
    <w:p w14:paraId="5848313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Coverage Below 1.5</w:t>
      </w:r>
    </w:p>
    <w:p w14:paraId="6495894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company may struggle to meet interest obligations if earnings decline further.</w:t>
      </w:r>
    </w:p>
    <w:p w14:paraId="57C0A21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5111AB9">
          <v:rect id="_x0000_i1450" style="width:0;height:1.5pt" o:hralign="center" o:hrstd="t" o:hr="t" fillcolor="#a0a0a0" stroked="f"/>
        </w:pict>
      </w:r>
    </w:p>
    <w:p w14:paraId="14172DC4"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11. Why It Matters</w:t>
      </w:r>
    </w:p>
    <w:p w14:paraId="584370C6" w14:textId="77777777" w:rsidR="004D405C" w:rsidRPr="004D405C" w:rsidRDefault="004D405C" w:rsidP="004D405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debt servicing capability. </w:t>
      </w:r>
    </w:p>
    <w:p w14:paraId="2E4A3B17" w14:textId="77777777" w:rsidR="004D405C" w:rsidRPr="004D405C" w:rsidRDefault="004D405C" w:rsidP="004D405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Evaluates financial stability. </w:t>
      </w:r>
    </w:p>
    <w:p w14:paraId="70C9AF0E" w14:textId="77777777" w:rsidR="004D405C" w:rsidRPr="004D405C" w:rsidRDefault="004D405C" w:rsidP="004D405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Assesses solvency risk. </w:t>
      </w:r>
    </w:p>
    <w:p w14:paraId="044D93CA" w14:textId="77777777" w:rsidR="004D405C" w:rsidRPr="004D405C" w:rsidRDefault="004D405C" w:rsidP="004D405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Indicates resilience during economic downturns. </w:t>
      </w:r>
    </w:p>
    <w:p w14:paraId="2F2B6ED8" w14:textId="77777777" w:rsidR="004D405C" w:rsidRPr="004D405C" w:rsidRDefault="004D405C" w:rsidP="004D405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Supports long-term risk analysis. </w:t>
      </w:r>
    </w:p>
    <w:p w14:paraId="304832B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C3AFD68">
          <v:rect id="_x0000_i1451" style="width:0;height:1.5pt" o:hralign="center" o:hrstd="t" o:hr="t" fillcolor="#a0a0a0" stroked="f"/>
        </w:pict>
      </w:r>
    </w:p>
    <w:p w14:paraId="5CCEF6BD"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12. Trading Impact</w:t>
      </w:r>
    </w:p>
    <w:p w14:paraId="0ADCA37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Intraday</w:t>
      </w:r>
    </w:p>
    <w:p w14:paraId="4D7757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p>
    <w:p w14:paraId="765588F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Swing Trading</w:t>
      </w:r>
    </w:p>
    <w:p w14:paraId="4A74439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6953072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Positional Trading</w:t>
      </w:r>
    </w:p>
    <w:p w14:paraId="3146153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68A8EC1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Options Trading</w:t>
      </w:r>
    </w:p>
    <w:p w14:paraId="3375498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3591A0F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Best Use</w:t>
      </w:r>
    </w:p>
    <w:p w14:paraId="2ED9326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Evaluating debt servicing capability.</w:t>
      </w:r>
    </w:p>
    <w:p w14:paraId="5D6F208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Avoid Using Alone</w:t>
      </w:r>
    </w:p>
    <w:p w14:paraId="0B400B6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Yes</w:t>
      </w:r>
    </w:p>
    <w:p w14:paraId="33031E6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E183C3A">
          <v:rect id="_x0000_i1452" style="width:0;height:1.5pt" o:hralign="center" o:hrstd="t" o:hr="t" fillcolor="#a0a0a0" stroked="f"/>
        </w:pict>
      </w:r>
    </w:p>
    <w:p w14:paraId="19B22C0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13. Supporting Indicators</w:t>
      </w:r>
    </w:p>
    <w:p w14:paraId="63502E35" w14:textId="77777777" w:rsidR="004D405C" w:rsidRPr="004D405C" w:rsidRDefault="004D405C" w:rsidP="004D405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Debt to Equity Ratio </w:t>
      </w:r>
    </w:p>
    <w:p w14:paraId="16099866" w14:textId="77777777" w:rsidR="004D405C" w:rsidRPr="004D405C" w:rsidRDefault="004D405C" w:rsidP="004D405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Free Cash Flow </w:t>
      </w:r>
    </w:p>
    <w:p w14:paraId="09283F2D" w14:textId="77777777" w:rsidR="004D405C" w:rsidRPr="004D405C" w:rsidRDefault="004D405C" w:rsidP="004D405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w:t>
      </w:r>
    </w:p>
    <w:p w14:paraId="680C44B6" w14:textId="77777777" w:rsidR="004D405C" w:rsidRPr="004D405C" w:rsidRDefault="004D405C" w:rsidP="004D405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ROCE </w:t>
      </w:r>
    </w:p>
    <w:p w14:paraId="39B4F021" w14:textId="77777777" w:rsidR="004D405C" w:rsidRPr="004D405C" w:rsidRDefault="004D405C" w:rsidP="004D405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Margin </w:t>
      </w:r>
    </w:p>
    <w:p w14:paraId="6D6CFF0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2CB2E73">
          <v:rect id="_x0000_i1453" style="width:0;height:1.5pt" o:hralign="center" o:hrstd="t" o:hr="t" fillcolor="#a0a0a0" stroked="f"/>
        </w:pict>
      </w:r>
    </w:p>
    <w:p w14:paraId="0981602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14. Metadata</w:t>
      </w:r>
    </w:p>
    <w:p w14:paraId="435193B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Source</w:t>
      </w:r>
    </w:p>
    <w:p w14:paraId="2B9C1F5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NSE Financial Results</w:t>
      </w:r>
    </w:p>
    <w:p w14:paraId="1F6AC98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Calculation</w:t>
      </w:r>
    </w:p>
    <w:p w14:paraId="5EC2557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Backend</w:t>
      </w:r>
    </w:p>
    <w:p w14:paraId="6054FDF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Updated</w:t>
      </w:r>
    </w:p>
    <w:p w14:paraId="379F906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Quarterly</w:t>
      </w:r>
    </w:p>
    <w:p w14:paraId="7F735E3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b/>
          <w:bCs/>
          <w:sz w:val="24"/>
          <w:szCs w:val="24"/>
        </w:rPr>
        <w:t>Timezone</w:t>
      </w:r>
      <w:proofErr w:type="spellEnd"/>
    </w:p>
    <w:p w14:paraId="07F2309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Asia/Kolkata</w:t>
      </w:r>
    </w:p>
    <w:p w14:paraId="713DAA0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Storage</w:t>
      </w:r>
    </w:p>
    <w:p w14:paraId="65AFA9D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Local Electron Database</w:t>
      </w:r>
    </w:p>
    <w:p w14:paraId="1F13E0B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7C1C026">
          <v:rect id="_x0000_i1454" style="width:0;height:1.5pt" o:hralign="center" o:hrstd="t" o:hr="t" fillcolor="#a0a0a0" stroked="f"/>
        </w:pict>
      </w:r>
    </w:p>
    <w:p w14:paraId="58A1BCF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15. Developer Notes</w:t>
      </w:r>
    </w:p>
    <w:p w14:paraId="4FDBA87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Store:</w:t>
      </w:r>
    </w:p>
    <w:p w14:paraId="38DBFCA2" w14:textId="77777777" w:rsidR="004D405C" w:rsidRPr="004D405C" w:rsidRDefault="004D405C" w:rsidP="004D405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Interest Coverage Ratio </w:t>
      </w:r>
    </w:p>
    <w:p w14:paraId="6A77AD4A" w14:textId="77777777" w:rsidR="004D405C" w:rsidRPr="004D405C" w:rsidRDefault="004D405C" w:rsidP="004D405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EBIT </w:t>
      </w:r>
    </w:p>
    <w:p w14:paraId="0C3FD2F1" w14:textId="77777777" w:rsidR="004D405C" w:rsidRPr="004D405C" w:rsidRDefault="004D405C" w:rsidP="004D405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Expense </w:t>
      </w:r>
    </w:p>
    <w:p w14:paraId="078C1FFA" w14:textId="77777777" w:rsidR="004D405C" w:rsidRPr="004D405C" w:rsidRDefault="004D405C" w:rsidP="004D405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Interest Coverage </w:t>
      </w:r>
    </w:p>
    <w:p w14:paraId="25B364AE" w14:textId="77777777" w:rsidR="004D405C" w:rsidRPr="004D405C" w:rsidRDefault="004D405C" w:rsidP="004D405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Score </w:t>
      </w:r>
    </w:p>
    <w:p w14:paraId="6E2A3D27" w14:textId="77777777" w:rsidR="004D405C" w:rsidRPr="004D405C" w:rsidRDefault="004D405C" w:rsidP="004D405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Confidence </w:t>
      </w:r>
    </w:p>
    <w:p w14:paraId="6578E81E" w14:textId="77777777" w:rsidR="004D405C" w:rsidRPr="004D405C" w:rsidRDefault="004D405C" w:rsidP="004D405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Last Updated </w:t>
      </w:r>
    </w:p>
    <w:p w14:paraId="6A6DB6E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If Interest Expense is zero or negligible, display </w:t>
      </w:r>
      <w:r w:rsidRPr="004D405C">
        <w:rPr>
          <w:rFonts w:ascii="Times New Roman" w:eastAsia="Times New Roman" w:hAnsi="Times New Roman" w:cs="Times New Roman"/>
          <w:b/>
          <w:bCs/>
          <w:sz w:val="24"/>
          <w:szCs w:val="24"/>
        </w:rPr>
        <w:t>"Not Applicable"</w:t>
      </w:r>
      <w:r w:rsidRPr="004D405C">
        <w:rPr>
          <w:rFonts w:ascii="Times New Roman" w:eastAsia="Times New Roman" w:hAnsi="Times New Roman" w:cs="Times New Roman"/>
          <w:sz w:val="24"/>
          <w:szCs w:val="24"/>
        </w:rPr>
        <w:t xml:space="preserve"> instead of calculating the ratio to avoid misleading values.</w:t>
      </w:r>
    </w:p>
    <w:p w14:paraId="0E0F1E0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EF571DC">
          <v:rect id="_x0000_i1455" style="width:0;height:1.5pt" o:hralign="center" o:hrstd="t" o:hr="t" fillcolor="#a0a0a0" stroked="f"/>
        </w:pict>
      </w:r>
    </w:p>
    <w:p w14:paraId="7500B9E7"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 xml:space="preserve">16. Praxis Engine Integration </w:t>
      </w:r>
      <w:r w:rsidRPr="004D405C">
        <w:rPr>
          <w:rFonts w:ascii="Segoe UI Emoji" w:eastAsia="Times New Roman" w:hAnsi="Segoe UI Emoji" w:cs="Segoe UI Emoji"/>
          <w:b/>
          <w:bCs/>
          <w:kern w:val="36"/>
          <w:sz w:val="48"/>
          <w:szCs w:val="48"/>
        </w:rPr>
        <w:t>⭐</w:t>
      </w:r>
    </w:p>
    <w:p w14:paraId="37E8C35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Engine Weight</w:t>
      </w:r>
    </w:p>
    <w:p w14:paraId="7799993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 (Configurable)</w:t>
      </w:r>
    </w:p>
    <w:p w14:paraId="5A97EC4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Relative Importance</w:t>
      </w:r>
    </w:p>
    <w:p w14:paraId="1150789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572E60E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Decision Engine Role</w:t>
      </w:r>
    </w:p>
    <w:p w14:paraId="2947DB3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Debt Servicing Assessment</w:t>
      </w:r>
    </w:p>
    <w:p w14:paraId="44B2161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Primary Use</w:t>
      </w:r>
    </w:p>
    <w:p w14:paraId="7F0637E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Evaluate the company's ability to meet interest obligations from operating profits.</w:t>
      </w:r>
    </w:p>
    <w:p w14:paraId="2C9BD16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Bullish Confirmation</w:t>
      </w:r>
    </w:p>
    <w:p w14:paraId="70BCCAF5" w14:textId="77777777" w:rsidR="004D405C" w:rsidRPr="004D405C" w:rsidRDefault="004D405C" w:rsidP="004D405C">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Coverage &gt;5 </w:t>
      </w:r>
    </w:p>
    <w:p w14:paraId="15C30CD9" w14:textId="77777777" w:rsidR="004D405C" w:rsidRPr="004D405C" w:rsidRDefault="004D405C" w:rsidP="004D405C">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Low Debt to Equity </w:t>
      </w:r>
    </w:p>
    <w:p w14:paraId="76D08D69" w14:textId="77777777" w:rsidR="004D405C" w:rsidRPr="004D405C" w:rsidRDefault="004D405C" w:rsidP="004D405C">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Free Cash Flow </w:t>
      </w:r>
    </w:p>
    <w:p w14:paraId="39CDF84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Bearish Confirmation</w:t>
      </w:r>
    </w:p>
    <w:p w14:paraId="2DBA441D" w14:textId="77777777" w:rsidR="004D405C" w:rsidRPr="004D405C" w:rsidRDefault="004D405C" w:rsidP="004D405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Coverage &lt;3 </w:t>
      </w:r>
    </w:p>
    <w:p w14:paraId="5DD3C63A" w14:textId="77777777" w:rsidR="004D405C" w:rsidRPr="004D405C" w:rsidRDefault="004D405C" w:rsidP="004D405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High Debt to Equity </w:t>
      </w:r>
    </w:p>
    <w:p w14:paraId="20689A0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Display Priority</w:t>
      </w:r>
    </w:p>
    <w:p w14:paraId="67E9DB2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1189547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pict w14:anchorId="791DC8A7">
          <v:rect id="_x0000_i1456" style="width:0;height:1.5pt" o:hralign="center" o:hrstd="t" o:hr="t" fillcolor="#a0a0a0" stroked="f"/>
        </w:pict>
      </w:r>
    </w:p>
    <w:p w14:paraId="5C7B19C6"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17. Praxis Recommendation</w:t>
      </w:r>
    </w:p>
    <w:p w14:paraId="79989D0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Coverage should act as the </w:t>
      </w:r>
      <w:r w:rsidRPr="004D405C">
        <w:rPr>
          <w:rFonts w:ascii="Times New Roman" w:eastAsia="Times New Roman" w:hAnsi="Times New Roman" w:cs="Times New Roman"/>
          <w:b/>
          <w:bCs/>
          <w:sz w:val="24"/>
          <w:szCs w:val="24"/>
        </w:rPr>
        <w:t>primary debt servicing indicator</w:t>
      </w:r>
      <w:r w:rsidRPr="004D405C">
        <w:rPr>
          <w:rFonts w:ascii="Times New Roman" w:eastAsia="Times New Roman" w:hAnsi="Times New Roman" w:cs="Times New Roman"/>
          <w:sz w:val="24"/>
          <w:szCs w:val="24"/>
        </w:rPr>
        <w:t xml:space="preserve"> within the Financial Health category.</w:t>
      </w:r>
    </w:p>
    <w:p w14:paraId="6ECC855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Financial Health Hierarchy</w:t>
      </w:r>
    </w:p>
    <w:p w14:paraId="3724EB45" w14:textId="77777777" w:rsidR="004D405C" w:rsidRPr="004D405C" w:rsidRDefault="004D405C" w:rsidP="004D405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Debt to Equity Ratio </w:t>
      </w:r>
    </w:p>
    <w:p w14:paraId="1E628F9C" w14:textId="77777777" w:rsidR="004D405C" w:rsidRPr="004D405C" w:rsidRDefault="004D405C" w:rsidP="004D405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Interest Coverage </w:t>
      </w:r>
    </w:p>
    <w:p w14:paraId="462C0978" w14:textId="77777777" w:rsidR="004D405C" w:rsidRPr="004D405C" w:rsidRDefault="004D405C" w:rsidP="004D405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Free Cash Flow </w:t>
      </w:r>
    </w:p>
    <w:p w14:paraId="22742A78" w14:textId="77777777" w:rsidR="004D405C" w:rsidRPr="004D405C" w:rsidRDefault="004D405C" w:rsidP="004D405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Current Ratio </w:t>
      </w:r>
    </w:p>
    <w:p w14:paraId="5D8E0A5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Engine Rules</w:t>
      </w:r>
    </w:p>
    <w:p w14:paraId="2D2EC5A1" w14:textId="77777777" w:rsidR="004D405C" w:rsidRPr="004D405C" w:rsidRDefault="004D405C" w:rsidP="004D405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Coverage &gt;5 + Debt to Equity &lt;0.60 → Increase Financial Health Score. </w:t>
      </w:r>
    </w:p>
    <w:p w14:paraId="76608328" w14:textId="77777777" w:rsidR="004D405C" w:rsidRPr="004D405C" w:rsidRDefault="004D405C" w:rsidP="004D405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Improving Interest Coverage for multiple quarters → Increase Fundamentals confidence. </w:t>
      </w:r>
    </w:p>
    <w:p w14:paraId="6F949548" w14:textId="77777777" w:rsidR="004D405C" w:rsidRPr="004D405C" w:rsidRDefault="004D405C" w:rsidP="004D405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Coverage &lt;3 + Rising Debt → Reduce Financial Health Score. </w:t>
      </w:r>
    </w:p>
    <w:p w14:paraId="322FDFD2" w14:textId="77777777" w:rsidR="004D405C" w:rsidRPr="004D405C" w:rsidRDefault="004D405C" w:rsidP="004D405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Low Interest Coverage + Negative Free Cash Flow → Trigger a Financial Risk warning. </w:t>
      </w:r>
    </w:p>
    <w:p w14:paraId="71AA4E15" w14:textId="59F3DC55" w:rsid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Coverage should significantly influence the </w:t>
      </w:r>
      <w:r w:rsidRPr="004D405C">
        <w:rPr>
          <w:rFonts w:ascii="Times New Roman" w:eastAsia="Times New Roman" w:hAnsi="Times New Roman" w:cs="Times New Roman"/>
          <w:b/>
          <w:bCs/>
          <w:sz w:val="24"/>
          <w:szCs w:val="24"/>
        </w:rPr>
        <w:t>Financial Health Score</w:t>
      </w:r>
      <w:r w:rsidRPr="004D405C">
        <w:rPr>
          <w:rFonts w:ascii="Times New Roman" w:eastAsia="Times New Roman" w:hAnsi="Times New Roman" w:cs="Times New Roman"/>
          <w:sz w:val="24"/>
          <w:szCs w:val="24"/>
        </w:rPr>
        <w:t xml:space="preserve"> by measuring the company's ability to service debt from operating earnings and should always be interpreted alongside Debt to Equity and Free Cash Flow for a complete assessment of financial stability.</w:t>
      </w:r>
    </w:p>
    <w:p w14:paraId="7B588350" w14:textId="0DB29D7C"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850569F" w14:textId="5D17CA8E"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74C29DA6" w14:textId="6926D101"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12CFC31" w14:textId="05D39BB3"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2208E8D6" w14:textId="4AD9262B"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079A23F4" w14:textId="3F62036F"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2E2A9137" w14:textId="3211C74B"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F1759B1" w14:textId="6DD8C625"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0367A8B" w14:textId="77777777" w:rsidR="00E11FEB" w:rsidRPr="004D405C"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EEC25D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D405C">
        <w:rPr>
          <w:rFonts w:ascii="Times New Roman" w:eastAsia="Times New Roman" w:hAnsi="Times New Roman" w:cs="Times New Roman"/>
          <w:b/>
          <w:bCs/>
          <w:color w:val="FF0000"/>
          <w:kern w:val="36"/>
          <w:sz w:val="48"/>
          <w:szCs w:val="48"/>
        </w:rPr>
        <w:lastRenderedPageBreak/>
        <w:t>15. Free Cash Flow (FCF)</w:t>
      </w:r>
    </w:p>
    <w:p w14:paraId="24743C9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Financial Health</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Status:</w:t>
      </w:r>
      <w:r w:rsidRPr="004D405C">
        <w:rPr>
          <w:rFonts w:ascii="Times New Roman" w:eastAsia="Times New Roman" w:hAnsi="Times New Roman" w:cs="Times New Roman"/>
          <w:sz w:val="24"/>
          <w:szCs w:val="24"/>
        </w:rPr>
        <w:t xml:space="preserve"> Production Ready</w:t>
      </w:r>
    </w:p>
    <w:p w14:paraId="1A454007" w14:textId="77777777" w:rsidR="004D405C" w:rsidRPr="004D405C" w:rsidRDefault="004D405C" w:rsidP="004D405C">
      <w:pPr>
        <w:spacing w:before="100" w:beforeAutospacing="1" w:after="100" w:afterAutospacing="1" w:line="240" w:lineRule="auto"/>
        <w:outlineLvl w:val="1"/>
        <w:rPr>
          <w:rFonts w:ascii="Times New Roman" w:eastAsia="Times New Roman" w:hAnsi="Times New Roman" w:cs="Times New Roman"/>
          <w:b/>
          <w:bCs/>
          <w:sz w:val="36"/>
          <w:szCs w:val="36"/>
        </w:rPr>
      </w:pPr>
      <w:r w:rsidRPr="004D405C">
        <w:rPr>
          <w:rFonts w:ascii="Times New Roman" w:eastAsia="Times New Roman" w:hAnsi="Times New Roman" w:cs="Times New Roman"/>
          <w:b/>
          <w:bCs/>
          <w:sz w:val="36"/>
          <w:szCs w:val="36"/>
        </w:rPr>
        <w:t>1. Overview</w:t>
      </w:r>
    </w:p>
    <w:p w14:paraId="6DB617D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Name:</w:t>
      </w:r>
      <w:r w:rsidRPr="004D405C">
        <w:rPr>
          <w:rFonts w:ascii="Times New Roman" w:eastAsia="Times New Roman" w:hAnsi="Times New Roman" w:cs="Times New Roman"/>
          <w:sz w:val="24"/>
          <w:szCs w:val="24"/>
        </w:rPr>
        <w:t xml:space="preserve"> Free Cash Flow</w:t>
      </w:r>
    </w:p>
    <w:p w14:paraId="7DBDA85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Short Name:</w:t>
      </w:r>
      <w:r w:rsidRPr="004D405C">
        <w:rPr>
          <w:rFonts w:ascii="Times New Roman" w:eastAsia="Times New Roman" w:hAnsi="Times New Roman" w:cs="Times New Roman"/>
          <w:sz w:val="24"/>
          <w:szCs w:val="24"/>
        </w:rPr>
        <w:t xml:space="preserve"> FCF</w:t>
      </w:r>
    </w:p>
    <w:p w14:paraId="6FF0CB0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p>
    <w:p w14:paraId="03A9C44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Financial Health</w:t>
      </w:r>
    </w:p>
    <w:p w14:paraId="22DABD1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Purpose:</w:t>
      </w:r>
    </w:p>
    <w:p w14:paraId="3C940BA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Measures the cash generated by a company after funding its operating expenses and capital expenditures. It indicates the company's ability to reinvest, reduce debt, pay dividends, or pursue future growth without relying on external financing.</w:t>
      </w:r>
    </w:p>
    <w:p w14:paraId="168F83F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Based On:</w:t>
      </w:r>
    </w:p>
    <w:p w14:paraId="1AC5ADF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Operating Cash Flow and Capital Expenditure</w:t>
      </w:r>
    </w:p>
    <w:p w14:paraId="2CAE8D8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Importance:</w:t>
      </w:r>
    </w:p>
    <w:p w14:paraId="3F79515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(Core Financial Health Indicator)</w:t>
      </w:r>
    </w:p>
    <w:p w14:paraId="2C3308E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Auto / Manual:</w:t>
      </w:r>
    </w:p>
    <w:p w14:paraId="3CE9F8B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Manual (V1)</w:t>
      </w:r>
    </w:p>
    <w:p w14:paraId="76F63F3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 Frequency:</w:t>
      </w:r>
    </w:p>
    <w:p w14:paraId="5FE3310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After every quarterly financial </w:t>
      </w:r>
      <w:proofErr w:type="gramStart"/>
      <w:r w:rsidRPr="004D405C">
        <w:rPr>
          <w:rFonts w:ascii="Times New Roman" w:eastAsia="Times New Roman" w:hAnsi="Times New Roman" w:cs="Times New Roman"/>
          <w:sz w:val="24"/>
          <w:szCs w:val="24"/>
        </w:rPr>
        <w:t>results</w:t>
      </w:r>
      <w:proofErr w:type="gramEnd"/>
      <w:r w:rsidRPr="004D405C">
        <w:rPr>
          <w:rFonts w:ascii="Times New Roman" w:eastAsia="Times New Roman" w:hAnsi="Times New Roman" w:cs="Times New Roman"/>
          <w:sz w:val="24"/>
          <w:szCs w:val="24"/>
        </w:rPr>
        <w:t>.</w:t>
      </w:r>
    </w:p>
    <w:p w14:paraId="29DD186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Praxis Note:</w:t>
      </w:r>
    </w:p>
    <w:p w14:paraId="21FD59F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Positive and consistently growing Free Cash Flow is a strong indicator of financial strength. Companies can report accounting profits while generating weak cash flow, making FCF an important validation metric.</w:t>
      </w:r>
    </w:p>
    <w:p w14:paraId="0F70537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1C5A3F1">
          <v:rect id="_x0000_i1473" style="width:0;height:1.5pt" o:hralign="center" o:hrstd="t" o:hr="t" fillcolor="#a0a0a0" stroked="f"/>
        </w:pict>
      </w:r>
    </w:p>
    <w:p w14:paraId="633D9DD7"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2. Data Requirements</w:t>
      </w:r>
    </w:p>
    <w:p w14:paraId="4DDD3D1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Required Data</w:t>
      </w:r>
    </w:p>
    <w:p w14:paraId="3B7E4C9D" w14:textId="77777777" w:rsidR="004D405C" w:rsidRPr="004D405C" w:rsidRDefault="004D405C" w:rsidP="004D405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Cash Flow </w:t>
      </w:r>
    </w:p>
    <w:p w14:paraId="774DFD05" w14:textId="77777777" w:rsidR="004D405C" w:rsidRPr="004D405C" w:rsidRDefault="004D405C" w:rsidP="004D405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Capital Expenditure (</w:t>
      </w:r>
      <w:proofErr w:type="spellStart"/>
      <w:r w:rsidRPr="004D405C">
        <w:rPr>
          <w:rFonts w:ascii="Times New Roman" w:eastAsia="Times New Roman" w:hAnsi="Times New Roman" w:cs="Times New Roman"/>
          <w:sz w:val="24"/>
          <w:szCs w:val="24"/>
        </w:rPr>
        <w:t>CapEx</w:t>
      </w:r>
      <w:proofErr w:type="spellEnd"/>
      <w:r w:rsidRPr="004D405C">
        <w:rPr>
          <w:rFonts w:ascii="Times New Roman" w:eastAsia="Times New Roman" w:hAnsi="Times New Roman" w:cs="Times New Roman"/>
          <w:sz w:val="24"/>
          <w:szCs w:val="24"/>
        </w:rPr>
        <w:t xml:space="preserve">) </w:t>
      </w:r>
    </w:p>
    <w:p w14:paraId="05F0AECB" w14:textId="77777777" w:rsidR="004D405C" w:rsidRPr="004D405C" w:rsidRDefault="004D405C" w:rsidP="004D405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Free Cash Flow </w:t>
      </w:r>
    </w:p>
    <w:p w14:paraId="7D6E4C87" w14:textId="77777777" w:rsidR="004D405C" w:rsidRPr="004D405C" w:rsidRDefault="004D405C" w:rsidP="004D405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Free Cash Flow </w:t>
      </w:r>
    </w:p>
    <w:p w14:paraId="0B7ACC6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Minimum Historical Data</w:t>
      </w:r>
    </w:p>
    <w:p w14:paraId="00FF907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 Quarterly Reports</w:t>
      </w:r>
    </w:p>
    <w:p w14:paraId="6755D5E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Recommended:</w:t>
      </w:r>
    </w:p>
    <w:p w14:paraId="62FD0E3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 Years</w:t>
      </w:r>
    </w:p>
    <w:p w14:paraId="2117118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Primary Source</w:t>
      </w:r>
    </w:p>
    <w:p w14:paraId="0D0713D9" w14:textId="77777777" w:rsidR="004D405C" w:rsidRPr="004D405C" w:rsidRDefault="004D405C" w:rsidP="004D405C">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Cash Flow Statement </w:t>
      </w:r>
    </w:p>
    <w:p w14:paraId="63913616" w14:textId="77777777" w:rsidR="004D405C" w:rsidRPr="004D405C" w:rsidRDefault="004D405C" w:rsidP="004D405C">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Financial Results </w:t>
      </w:r>
    </w:p>
    <w:p w14:paraId="54D4C40E" w14:textId="77777777" w:rsidR="004D405C" w:rsidRPr="004D405C" w:rsidRDefault="004D405C" w:rsidP="004D405C">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Company Financial Statements </w:t>
      </w:r>
    </w:p>
    <w:p w14:paraId="017233A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62F10CB">
          <v:rect id="_x0000_i1474" style="width:0;height:1.5pt" o:hralign="center" o:hrstd="t" o:hr="t" fillcolor="#a0a0a0" stroked="f"/>
        </w:pict>
      </w:r>
    </w:p>
    <w:p w14:paraId="1534CDC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3. Industry Standard Calculation</w:t>
      </w:r>
    </w:p>
    <w:p w14:paraId="25C7675F"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Formula</w:t>
      </w:r>
    </w:p>
    <w:p w14:paraId="6DD57433"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Free Cash Flow =</w:t>
      </w:r>
    </w:p>
    <w:p w14:paraId="30D7B211"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Operating Cash Flow − Capital Expenditure</w:t>
      </w:r>
    </w:p>
    <w:p w14:paraId="5DD6F6D6"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Implementation Steps</w:t>
      </w:r>
    </w:p>
    <w:p w14:paraId="1AC86695" w14:textId="77777777" w:rsidR="004D405C" w:rsidRPr="004D405C" w:rsidRDefault="004D405C" w:rsidP="004D405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Operating Cash Flow. </w:t>
      </w:r>
    </w:p>
    <w:p w14:paraId="151418C1" w14:textId="77777777" w:rsidR="004D405C" w:rsidRPr="004D405C" w:rsidRDefault="004D405C" w:rsidP="004D405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Capital Expenditure. </w:t>
      </w:r>
    </w:p>
    <w:p w14:paraId="3F06678D" w14:textId="77777777" w:rsidR="004D405C" w:rsidRPr="004D405C" w:rsidRDefault="004D405C" w:rsidP="004D405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Calculate Free Cash Flow. </w:t>
      </w:r>
    </w:p>
    <w:p w14:paraId="73BF51FA" w14:textId="77777777" w:rsidR="004D405C" w:rsidRPr="004D405C" w:rsidRDefault="004D405C" w:rsidP="004D405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 with historical FCF. </w:t>
      </w:r>
    </w:p>
    <w:p w14:paraId="0DB8E826" w14:textId="77777777" w:rsidR="004D405C" w:rsidRPr="004D405C" w:rsidRDefault="004D405C" w:rsidP="004D405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Generate the Financial Health Score. </w:t>
      </w:r>
    </w:p>
    <w:p w14:paraId="09AEA4E4"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0BF88351" w14:textId="77777777" w:rsidR="004D405C" w:rsidRPr="004D405C" w:rsidRDefault="004D405C" w:rsidP="004D405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consolidated cash flow statements. </w:t>
      </w:r>
    </w:p>
    <w:p w14:paraId="57D26EA6" w14:textId="77777777" w:rsidR="004D405C" w:rsidRPr="004D405C" w:rsidRDefault="004D405C" w:rsidP="004D405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Capital Expenditure should include investments in property, plant, and equipment. </w:t>
      </w:r>
    </w:p>
    <w:p w14:paraId="3EEBC74C" w14:textId="77777777" w:rsidR="004D405C" w:rsidRPr="004D405C" w:rsidRDefault="004D405C" w:rsidP="004D405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Evaluate consistency over multiple quarters rather than a single reporting period. </w:t>
      </w:r>
    </w:p>
    <w:p w14:paraId="7649852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6A41715">
          <v:rect id="_x0000_i1475" style="width:0;height:1.5pt" o:hralign="center" o:hrstd="t" o:hr="t" fillcolor="#a0a0a0" stroked="f"/>
        </w:pict>
      </w:r>
    </w:p>
    <w:p w14:paraId="7D85FB23"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4. Card Fields</w:t>
      </w:r>
    </w:p>
    <w:p w14:paraId="1800632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Value</w:t>
      </w:r>
    </w:p>
    <w:p w14:paraId="61E7B4B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Free Cash Flow</w:t>
      </w:r>
    </w:p>
    <w:p w14:paraId="110DA90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Operating Cash Flow</w:t>
      </w:r>
    </w:p>
    <w:p w14:paraId="541945E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Operating Cash Flow</w:t>
      </w:r>
    </w:p>
    <w:p w14:paraId="689AC39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Capital Expenditure</w:t>
      </w:r>
    </w:p>
    <w:p w14:paraId="144F806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w:t>
      </w:r>
      <w:proofErr w:type="spellStart"/>
      <w:r w:rsidRPr="004D405C">
        <w:rPr>
          <w:rFonts w:ascii="Times New Roman" w:eastAsia="Times New Roman" w:hAnsi="Times New Roman" w:cs="Times New Roman"/>
          <w:sz w:val="24"/>
          <w:szCs w:val="24"/>
        </w:rPr>
        <w:t>CapEx</w:t>
      </w:r>
      <w:proofErr w:type="spellEnd"/>
    </w:p>
    <w:p w14:paraId="48FDE0D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Score</w:t>
      </w:r>
    </w:p>
    <w:p w14:paraId="4EA831E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0–100</w:t>
      </w:r>
    </w:p>
    <w:p w14:paraId="258F974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Bias</w:t>
      </w:r>
    </w:p>
    <w:p w14:paraId="10AA69C4" w14:textId="77777777" w:rsidR="004D405C" w:rsidRPr="004D405C" w:rsidRDefault="004D405C" w:rsidP="004D405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Bullish </w:t>
      </w:r>
    </w:p>
    <w:p w14:paraId="74A82CD0" w14:textId="77777777" w:rsidR="004D405C" w:rsidRPr="004D405C" w:rsidRDefault="004D405C" w:rsidP="004D405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Neutral </w:t>
      </w:r>
    </w:p>
    <w:p w14:paraId="72CC12A2" w14:textId="77777777" w:rsidR="004D405C" w:rsidRPr="004D405C" w:rsidRDefault="004D405C" w:rsidP="004D405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Bearish </w:t>
      </w:r>
    </w:p>
    <w:p w14:paraId="19F3C06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Confidence</w:t>
      </w:r>
    </w:p>
    <w:p w14:paraId="3729B48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Financial Health Confidence</w:t>
      </w:r>
    </w:p>
    <w:p w14:paraId="5600130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Impact Weight</w:t>
      </w:r>
    </w:p>
    <w:p w14:paraId="5BE61DC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2610296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0166A94">
          <v:rect id="_x0000_i1476" style="width:0;height:1.5pt" o:hralign="center" o:hrstd="t" o:hr="t" fillcolor="#a0a0a0" stroked="f"/>
        </w:pict>
      </w:r>
    </w:p>
    <w:p w14:paraId="5511991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634"/>
        <w:gridCol w:w="1509"/>
      </w:tblGrid>
      <w:tr w:rsidR="004D405C" w:rsidRPr="004D405C" w14:paraId="02274CC6" w14:textId="77777777" w:rsidTr="004D405C">
        <w:trPr>
          <w:tblHeader/>
          <w:tblCellSpacing w:w="15" w:type="dxa"/>
        </w:trPr>
        <w:tc>
          <w:tcPr>
            <w:tcW w:w="0" w:type="auto"/>
            <w:vAlign w:val="center"/>
            <w:hideMark/>
          </w:tcPr>
          <w:p w14:paraId="1F2B733B"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Condition</w:t>
            </w:r>
          </w:p>
        </w:tc>
        <w:tc>
          <w:tcPr>
            <w:tcW w:w="0" w:type="auto"/>
            <w:vAlign w:val="center"/>
            <w:hideMark/>
          </w:tcPr>
          <w:p w14:paraId="60F070C7"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Score</w:t>
            </w:r>
          </w:p>
        </w:tc>
        <w:tc>
          <w:tcPr>
            <w:tcW w:w="0" w:type="auto"/>
            <w:vAlign w:val="center"/>
            <w:hideMark/>
          </w:tcPr>
          <w:p w14:paraId="0323740A"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Bias</w:t>
            </w:r>
          </w:p>
        </w:tc>
      </w:tr>
      <w:tr w:rsidR="004D405C" w:rsidRPr="004D405C" w14:paraId="6CD6A379" w14:textId="77777777" w:rsidTr="004D405C">
        <w:trPr>
          <w:tblCellSpacing w:w="15" w:type="dxa"/>
        </w:trPr>
        <w:tc>
          <w:tcPr>
            <w:tcW w:w="0" w:type="auto"/>
            <w:vAlign w:val="center"/>
            <w:hideMark/>
          </w:tcPr>
          <w:p w14:paraId="38B8F0B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Positive &amp; Increasing FCF</w:t>
            </w:r>
          </w:p>
        </w:tc>
        <w:tc>
          <w:tcPr>
            <w:tcW w:w="0" w:type="auto"/>
            <w:vAlign w:val="center"/>
            <w:hideMark/>
          </w:tcPr>
          <w:p w14:paraId="29F69FF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tc>
        <w:tc>
          <w:tcPr>
            <w:tcW w:w="0" w:type="auto"/>
            <w:vAlign w:val="center"/>
            <w:hideMark/>
          </w:tcPr>
          <w:p w14:paraId="7562DD7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Bullish</w:t>
            </w:r>
          </w:p>
        </w:tc>
      </w:tr>
      <w:tr w:rsidR="004D405C" w:rsidRPr="004D405C" w14:paraId="6E6D5998" w14:textId="77777777" w:rsidTr="004D405C">
        <w:trPr>
          <w:tblCellSpacing w:w="15" w:type="dxa"/>
        </w:trPr>
        <w:tc>
          <w:tcPr>
            <w:tcW w:w="0" w:type="auto"/>
            <w:vAlign w:val="center"/>
            <w:hideMark/>
          </w:tcPr>
          <w:p w14:paraId="014A4E6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Positive FCF</w:t>
            </w:r>
          </w:p>
        </w:tc>
        <w:tc>
          <w:tcPr>
            <w:tcW w:w="0" w:type="auto"/>
            <w:vAlign w:val="center"/>
            <w:hideMark/>
          </w:tcPr>
          <w:p w14:paraId="1AAD5E4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82</w:t>
            </w:r>
          </w:p>
        </w:tc>
        <w:tc>
          <w:tcPr>
            <w:tcW w:w="0" w:type="auto"/>
            <w:vAlign w:val="center"/>
            <w:hideMark/>
          </w:tcPr>
          <w:p w14:paraId="080622A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tc>
      </w:tr>
      <w:tr w:rsidR="004D405C" w:rsidRPr="004D405C" w14:paraId="7EE7D7F3" w14:textId="77777777" w:rsidTr="004D405C">
        <w:trPr>
          <w:tblCellSpacing w:w="15" w:type="dxa"/>
        </w:trPr>
        <w:tc>
          <w:tcPr>
            <w:tcW w:w="0" w:type="auto"/>
            <w:vAlign w:val="center"/>
            <w:hideMark/>
          </w:tcPr>
          <w:p w14:paraId="7412FF6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Stable / Flat FCF</w:t>
            </w:r>
          </w:p>
        </w:tc>
        <w:tc>
          <w:tcPr>
            <w:tcW w:w="0" w:type="auto"/>
            <w:vAlign w:val="center"/>
            <w:hideMark/>
          </w:tcPr>
          <w:p w14:paraId="17DC4F0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tc>
        <w:tc>
          <w:tcPr>
            <w:tcW w:w="0" w:type="auto"/>
            <w:vAlign w:val="center"/>
            <w:hideMark/>
          </w:tcPr>
          <w:p w14:paraId="79D1C10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tc>
      </w:tr>
      <w:tr w:rsidR="004D405C" w:rsidRPr="004D405C" w14:paraId="5D43A36F" w14:textId="77777777" w:rsidTr="004D405C">
        <w:trPr>
          <w:tblCellSpacing w:w="15" w:type="dxa"/>
        </w:trPr>
        <w:tc>
          <w:tcPr>
            <w:tcW w:w="0" w:type="auto"/>
            <w:vAlign w:val="center"/>
            <w:hideMark/>
          </w:tcPr>
          <w:p w14:paraId="1F54896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Slightly Negative FCF</w:t>
            </w:r>
          </w:p>
        </w:tc>
        <w:tc>
          <w:tcPr>
            <w:tcW w:w="0" w:type="auto"/>
            <w:vAlign w:val="center"/>
            <w:hideMark/>
          </w:tcPr>
          <w:p w14:paraId="09270AB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w:t>
            </w:r>
          </w:p>
        </w:tc>
        <w:tc>
          <w:tcPr>
            <w:tcW w:w="0" w:type="auto"/>
            <w:vAlign w:val="center"/>
            <w:hideMark/>
          </w:tcPr>
          <w:p w14:paraId="39D28BA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tc>
      </w:tr>
      <w:tr w:rsidR="004D405C" w:rsidRPr="004D405C" w14:paraId="2BD3F5A7" w14:textId="77777777" w:rsidTr="004D405C">
        <w:trPr>
          <w:tblCellSpacing w:w="15" w:type="dxa"/>
        </w:trPr>
        <w:tc>
          <w:tcPr>
            <w:tcW w:w="0" w:type="auto"/>
            <w:vAlign w:val="center"/>
            <w:hideMark/>
          </w:tcPr>
          <w:p w14:paraId="06E1D48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Deeply Negative FCF</w:t>
            </w:r>
          </w:p>
        </w:tc>
        <w:tc>
          <w:tcPr>
            <w:tcW w:w="0" w:type="auto"/>
            <w:vAlign w:val="center"/>
            <w:hideMark/>
          </w:tcPr>
          <w:p w14:paraId="20A24A6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w:t>
            </w:r>
          </w:p>
        </w:tc>
        <w:tc>
          <w:tcPr>
            <w:tcW w:w="0" w:type="auto"/>
            <w:vAlign w:val="center"/>
            <w:hideMark/>
          </w:tcPr>
          <w:p w14:paraId="0D0C4C3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tc>
      </w:tr>
    </w:tbl>
    <w:p w14:paraId="7D83D93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462FF841" w14:textId="77777777" w:rsidR="004D405C" w:rsidRPr="004D405C" w:rsidRDefault="004D405C" w:rsidP="004D405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Consistently positive FCF improves the Financial Health Score. </w:t>
      </w:r>
    </w:p>
    <w:p w14:paraId="3953AC28" w14:textId="77777777" w:rsidR="004D405C" w:rsidRPr="004D405C" w:rsidRDefault="004D405C" w:rsidP="004D405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Increasing FCF is preferred over volatile cash generation. </w:t>
      </w:r>
    </w:p>
    <w:p w14:paraId="5A004C80" w14:textId="77777777" w:rsidR="004D405C" w:rsidRPr="004D405C" w:rsidRDefault="004D405C" w:rsidP="004D405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Negative FCF should be confirmed with Revenue Growth and </w:t>
      </w:r>
      <w:proofErr w:type="spellStart"/>
      <w:r w:rsidRPr="004D405C">
        <w:rPr>
          <w:rFonts w:ascii="Times New Roman" w:eastAsia="Times New Roman" w:hAnsi="Times New Roman" w:cs="Times New Roman"/>
          <w:sz w:val="24"/>
          <w:szCs w:val="24"/>
        </w:rPr>
        <w:t>CapEx</w:t>
      </w:r>
      <w:proofErr w:type="spellEnd"/>
      <w:r w:rsidRPr="004D405C">
        <w:rPr>
          <w:rFonts w:ascii="Times New Roman" w:eastAsia="Times New Roman" w:hAnsi="Times New Roman" w:cs="Times New Roman"/>
          <w:sz w:val="24"/>
          <w:szCs w:val="24"/>
        </w:rPr>
        <w:t xml:space="preserve"> before assigning a bearish bias. </w:t>
      </w:r>
    </w:p>
    <w:p w14:paraId="5883BFC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7038377">
          <v:rect id="_x0000_i1477" style="width:0;height:1.5pt" o:hralign="center" o:hrstd="t" o:hr="t" fillcolor="#a0a0a0" stroked="f"/>
        </w:pict>
      </w:r>
    </w:p>
    <w:p w14:paraId="51607FF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6. Bias Rules</w:t>
      </w:r>
    </w:p>
    <w:p w14:paraId="7E19342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Positive &amp; Growing FCF</w:t>
      </w:r>
    </w:p>
    <w:p w14:paraId="27F3138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p w14:paraId="334063E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Stable FCF</w:t>
      </w:r>
    </w:p>
    <w:p w14:paraId="4846650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p w14:paraId="4F9F510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Negative FCF</w:t>
      </w:r>
    </w:p>
    <w:p w14:paraId="2DF55BC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p w14:paraId="38CFBFE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Multiple Consecutive Negative Quarters</w:t>
      </w:r>
    </w:p>
    <w:p w14:paraId="150116F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p w14:paraId="65DB081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CD71B95">
          <v:rect id="_x0000_i1478" style="width:0;height:1.5pt" o:hralign="center" o:hrstd="t" o:hr="t" fillcolor="#a0a0a0" stroked="f"/>
        </w:pict>
      </w:r>
    </w:p>
    <w:p w14:paraId="1ED1B4E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7. Confidence Logic</w:t>
      </w:r>
    </w:p>
    <w:p w14:paraId="6E156F8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 Confidence</w:t>
      </w:r>
    </w:p>
    <w:p w14:paraId="4765ADE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85%</w:t>
      </w:r>
    </w:p>
    <w:p w14:paraId="22CD083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Increase Confidence</w:t>
      </w:r>
    </w:p>
    <w:p w14:paraId="2EC1715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Positive FCF for four consecutive quarters</w:t>
      </w:r>
    </w:p>
    <w:p w14:paraId="4E25C90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+5% Positive Operating Cash Flow</w:t>
      </w:r>
    </w:p>
    <w:p w14:paraId="1A9E1B1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Audited financial statements</w:t>
      </w:r>
    </w:p>
    <w:p w14:paraId="3E82EDE5"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Decrease Confidence</w:t>
      </w:r>
    </w:p>
    <w:p w14:paraId="3FED332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Manual entry</w:t>
      </w:r>
    </w:p>
    <w:p w14:paraId="09D0F5A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Highly volatile cash flows</w:t>
      </w:r>
    </w:p>
    <w:p w14:paraId="306DCDC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Financial restatement</w:t>
      </w:r>
    </w:p>
    <w:p w14:paraId="7F7B522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390AC73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p w14:paraId="6D89029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3C360A0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p w14:paraId="002B124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34A1B89">
          <v:rect id="_x0000_i1479" style="width:0;height:1.5pt" o:hralign="center" o:hrstd="t" o:hr="t" fillcolor="#a0a0a0" stroked="f"/>
        </w:pict>
      </w:r>
    </w:p>
    <w:p w14:paraId="0F69B51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8. Score Range Bar</w:t>
      </w:r>
    </w:p>
    <w:p w14:paraId="6555182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0C8BC45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w:t>
      </w:r>
    </w:p>
    <w:p w14:paraId="68F7666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761FD3A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w:t>
      </w:r>
    </w:p>
    <w:p w14:paraId="3E08B3B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Pointer</w:t>
      </w:r>
    </w:p>
    <w:p w14:paraId="6EE471D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Score</w:t>
      </w:r>
    </w:p>
    <w:p w14:paraId="4CF01B9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Average Marker</w:t>
      </w:r>
    </w:p>
    <w:p w14:paraId="325EA18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4-Quarter Average Score</w:t>
      </w:r>
    </w:p>
    <w:p w14:paraId="7368A58A"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Color Zones</w:t>
      </w:r>
    </w:p>
    <w:p w14:paraId="10A3A0F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 → Weak</w:t>
      </w:r>
    </w:p>
    <w:p w14:paraId="7063B5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30–60 → Improving</w:t>
      </w:r>
    </w:p>
    <w:p w14:paraId="3C291ED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60–80 → Healthy</w:t>
      </w:r>
    </w:p>
    <w:p w14:paraId="1091D6A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80–100 → Strong Cash Generation</w:t>
      </w:r>
    </w:p>
    <w:p w14:paraId="45E3D03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D0F5314">
          <v:rect id="_x0000_i1480" style="width:0;height:1.5pt" o:hralign="center" o:hrstd="t" o:hr="t" fillcolor="#a0a0a0" stroked="f"/>
        </w:pict>
      </w:r>
    </w:p>
    <w:p w14:paraId="4FB836EF"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9. Dual Trend Chart</w:t>
      </w:r>
    </w:p>
    <w:p w14:paraId="69203DF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Chart Type</w:t>
      </w:r>
    </w:p>
    <w:p w14:paraId="14F565E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Dual Line</w:t>
      </w:r>
    </w:p>
    <w:p w14:paraId="2553F5F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1</w:t>
      </w:r>
    </w:p>
    <w:p w14:paraId="2110A9E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Free Cash Flow</w:t>
      </w:r>
    </w:p>
    <w:p w14:paraId="1753B9B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2</w:t>
      </w:r>
    </w:p>
    <w:p w14:paraId="0208B2C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Praxis Score</w:t>
      </w:r>
    </w:p>
    <w:p w14:paraId="22BEEAC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History</w:t>
      </w:r>
    </w:p>
    <w:p w14:paraId="1141015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Last 8 Quarterly Updates</w:t>
      </w:r>
    </w:p>
    <w:p w14:paraId="05DDA14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w:t>
      </w:r>
    </w:p>
    <w:p w14:paraId="2280000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every quarterly financial report.</w:t>
      </w:r>
    </w:p>
    <w:p w14:paraId="238CBB1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FF2E6DB">
          <v:rect id="_x0000_i1481" style="width:0;height:1.5pt" o:hralign="center" o:hrstd="t" o:hr="t" fillcolor="#a0a0a0" stroked="f"/>
        </w:pict>
      </w:r>
    </w:p>
    <w:p w14:paraId="68F353C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10. AI Insight Rules</w:t>
      </w:r>
    </w:p>
    <w:p w14:paraId="59E2BA8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Strong Positive FCF</w:t>
      </w:r>
    </w:p>
    <w:p w14:paraId="6A1A01A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company is generating healthy excess cash after investments, strengthening financial flexibility.</w:t>
      </w:r>
    </w:p>
    <w:p w14:paraId="02BEBAF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Positive FCF</w:t>
      </w:r>
    </w:p>
    <w:p w14:paraId="6A165D6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cash generation remains healthy and supports future growth.</w:t>
      </w:r>
    </w:p>
    <w:p w14:paraId="770A3EE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Stable FCF</w:t>
      </w:r>
    </w:p>
    <w:p w14:paraId="5F1C899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cash generation is stable but should continue improving.</w:t>
      </w:r>
    </w:p>
    <w:p w14:paraId="64D69BE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lastRenderedPageBreak/>
        <w:t>Negative FCF</w:t>
      </w:r>
    </w:p>
    <w:p w14:paraId="1827BC0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company is spending more cash than it generates and should be monitored.</w:t>
      </w:r>
    </w:p>
    <w:p w14:paraId="4765C4A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Low Confidence</w:t>
      </w:r>
    </w:p>
    <w:p w14:paraId="2635AED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Mention that incomplete cash flow data may affect reliability.</w:t>
      </w:r>
    </w:p>
    <w:p w14:paraId="7480E06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48F2910">
          <v:rect id="_x0000_i1482" style="width:0;height:1.5pt" o:hralign="center" o:hrstd="t" o:hr="t" fillcolor="#a0a0a0" stroked="f"/>
        </w:pict>
      </w:r>
    </w:p>
    <w:p w14:paraId="0F2D535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11. Why It Matters</w:t>
      </w:r>
    </w:p>
    <w:p w14:paraId="58E20EFC" w14:textId="77777777" w:rsidR="004D405C" w:rsidRPr="004D405C" w:rsidRDefault="004D405C" w:rsidP="004D405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actual cash generation. </w:t>
      </w:r>
    </w:p>
    <w:p w14:paraId="7365BB1A" w14:textId="77777777" w:rsidR="004D405C" w:rsidRPr="004D405C" w:rsidRDefault="004D405C" w:rsidP="004D405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Evaluates financial flexibility. </w:t>
      </w:r>
    </w:p>
    <w:p w14:paraId="20C7C151" w14:textId="77777777" w:rsidR="004D405C" w:rsidRPr="004D405C" w:rsidRDefault="004D405C" w:rsidP="004D405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Supports debt repayment capability. </w:t>
      </w:r>
    </w:p>
    <w:p w14:paraId="2A50176B" w14:textId="77777777" w:rsidR="004D405C" w:rsidRPr="004D405C" w:rsidRDefault="004D405C" w:rsidP="004D405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Indicates ability to fund future growth. </w:t>
      </w:r>
    </w:p>
    <w:p w14:paraId="5D9F394A" w14:textId="77777777" w:rsidR="004D405C" w:rsidRPr="004D405C" w:rsidRDefault="004D405C" w:rsidP="004D405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Confirms earnings quality. </w:t>
      </w:r>
    </w:p>
    <w:p w14:paraId="4065A86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3272BEB">
          <v:rect id="_x0000_i1483" style="width:0;height:1.5pt" o:hralign="center" o:hrstd="t" o:hr="t" fillcolor="#a0a0a0" stroked="f"/>
        </w:pict>
      </w:r>
    </w:p>
    <w:p w14:paraId="16FAF73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12. Trading Impact</w:t>
      </w:r>
    </w:p>
    <w:p w14:paraId="34EB243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Intraday</w:t>
      </w:r>
    </w:p>
    <w:p w14:paraId="3BD8478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p>
    <w:p w14:paraId="733C530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Swing Trading</w:t>
      </w:r>
    </w:p>
    <w:p w14:paraId="6C49A5E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606E8D0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Positional Trading</w:t>
      </w:r>
    </w:p>
    <w:p w14:paraId="0C24EDA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7FBD1A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Options Trading</w:t>
      </w:r>
    </w:p>
    <w:p w14:paraId="14A0E36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7B4161F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Best Use</w:t>
      </w:r>
    </w:p>
    <w:p w14:paraId="16579E9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Evaluating long-term financial strength.</w:t>
      </w:r>
    </w:p>
    <w:p w14:paraId="3A6ADAB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Avoid Using Alone</w:t>
      </w:r>
    </w:p>
    <w:p w14:paraId="3056A27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Yes</w:t>
      </w:r>
    </w:p>
    <w:p w14:paraId="06A350E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0CCBFCB">
          <v:rect id="_x0000_i1484" style="width:0;height:1.5pt" o:hralign="center" o:hrstd="t" o:hr="t" fillcolor="#a0a0a0" stroked="f"/>
        </w:pict>
      </w:r>
    </w:p>
    <w:p w14:paraId="42626A3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13. Supporting Indicators</w:t>
      </w:r>
    </w:p>
    <w:p w14:paraId="54913C02" w14:textId="77777777" w:rsidR="004D405C" w:rsidRPr="004D405C" w:rsidRDefault="004D405C" w:rsidP="004D405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Debt to Equity Ratio </w:t>
      </w:r>
    </w:p>
    <w:p w14:paraId="62B800E0" w14:textId="77777777" w:rsidR="004D405C" w:rsidRPr="004D405C" w:rsidRDefault="004D405C" w:rsidP="004D405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Coverage </w:t>
      </w:r>
    </w:p>
    <w:p w14:paraId="48067DA5" w14:textId="77777777" w:rsidR="004D405C" w:rsidRPr="004D405C" w:rsidRDefault="004D405C" w:rsidP="004D405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w:t>
      </w:r>
    </w:p>
    <w:p w14:paraId="3C0F0ED7" w14:textId="77777777" w:rsidR="004D405C" w:rsidRPr="004D405C" w:rsidRDefault="004D405C" w:rsidP="004D405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Profit Growth </w:t>
      </w:r>
    </w:p>
    <w:p w14:paraId="28B9172A" w14:textId="77777777" w:rsidR="004D405C" w:rsidRPr="004D405C" w:rsidRDefault="004D405C" w:rsidP="004D405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Margin </w:t>
      </w:r>
    </w:p>
    <w:p w14:paraId="5FBA5D8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9E6BE63">
          <v:rect id="_x0000_i1485" style="width:0;height:1.5pt" o:hralign="center" o:hrstd="t" o:hr="t" fillcolor="#a0a0a0" stroked="f"/>
        </w:pict>
      </w:r>
    </w:p>
    <w:p w14:paraId="0BA3EC6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14. Metadata</w:t>
      </w:r>
    </w:p>
    <w:p w14:paraId="2AAFE5E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Source</w:t>
      </w:r>
    </w:p>
    <w:p w14:paraId="3913D69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Cash Flow Statement</w:t>
      </w:r>
    </w:p>
    <w:p w14:paraId="491D1D0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Calculation</w:t>
      </w:r>
    </w:p>
    <w:p w14:paraId="7CEE6C4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Backend</w:t>
      </w:r>
    </w:p>
    <w:p w14:paraId="61BCD37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Updated</w:t>
      </w:r>
    </w:p>
    <w:p w14:paraId="240A00E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Quarterly</w:t>
      </w:r>
    </w:p>
    <w:p w14:paraId="2ED19B5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b/>
          <w:bCs/>
          <w:sz w:val="24"/>
          <w:szCs w:val="24"/>
        </w:rPr>
        <w:t>Timezone</w:t>
      </w:r>
      <w:proofErr w:type="spellEnd"/>
    </w:p>
    <w:p w14:paraId="3A4181B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Asia/Kolkata</w:t>
      </w:r>
    </w:p>
    <w:p w14:paraId="7E1A484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Storage</w:t>
      </w:r>
    </w:p>
    <w:p w14:paraId="5152F2B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Local Electron Database</w:t>
      </w:r>
    </w:p>
    <w:p w14:paraId="7635BE6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422CEAF">
          <v:rect id="_x0000_i1486" style="width:0;height:1.5pt" o:hralign="center" o:hrstd="t" o:hr="t" fillcolor="#a0a0a0" stroked="f"/>
        </w:pict>
      </w:r>
    </w:p>
    <w:p w14:paraId="06D7500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15. Developer Notes</w:t>
      </w:r>
    </w:p>
    <w:p w14:paraId="0D264D9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Store:</w:t>
      </w:r>
    </w:p>
    <w:p w14:paraId="117BC8BE" w14:textId="77777777" w:rsidR="004D405C" w:rsidRPr="004D405C" w:rsidRDefault="004D405C" w:rsidP="004D405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Free Cash Flow </w:t>
      </w:r>
    </w:p>
    <w:p w14:paraId="54D0D28D" w14:textId="77777777" w:rsidR="004D405C" w:rsidRPr="004D405C" w:rsidRDefault="004D405C" w:rsidP="004D405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Operating Cash Flow </w:t>
      </w:r>
    </w:p>
    <w:p w14:paraId="6A2A4788" w14:textId="77777777" w:rsidR="004D405C" w:rsidRPr="004D405C" w:rsidRDefault="004D405C" w:rsidP="004D405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Capital Expenditure </w:t>
      </w:r>
    </w:p>
    <w:p w14:paraId="73072437" w14:textId="77777777" w:rsidR="004D405C" w:rsidRPr="004D405C" w:rsidRDefault="004D405C" w:rsidP="004D405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Free Cash Flow </w:t>
      </w:r>
    </w:p>
    <w:p w14:paraId="74053CD3" w14:textId="77777777" w:rsidR="004D405C" w:rsidRPr="004D405C" w:rsidRDefault="004D405C" w:rsidP="004D405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Score </w:t>
      </w:r>
    </w:p>
    <w:p w14:paraId="07FB6BC2" w14:textId="77777777" w:rsidR="004D405C" w:rsidRPr="004D405C" w:rsidRDefault="004D405C" w:rsidP="004D405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Confidence </w:t>
      </w:r>
    </w:p>
    <w:p w14:paraId="5361A3C1" w14:textId="77777777" w:rsidR="004D405C" w:rsidRPr="004D405C" w:rsidRDefault="004D405C" w:rsidP="004D405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Last Updated </w:t>
      </w:r>
    </w:p>
    <w:p w14:paraId="63D3F86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Display Free Cash Flow using appropriate currency units (₹ Cr, ₹ Lakh, etc.). Preserve historical values for trend analysis. If either Operating Cash Flow or </w:t>
      </w:r>
      <w:proofErr w:type="spellStart"/>
      <w:r w:rsidRPr="004D405C">
        <w:rPr>
          <w:rFonts w:ascii="Times New Roman" w:eastAsia="Times New Roman" w:hAnsi="Times New Roman" w:cs="Times New Roman"/>
          <w:sz w:val="24"/>
          <w:szCs w:val="24"/>
        </w:rPr>
        <w:t>CapEx</w:t>
      </w:r>
      <w:proofErr w:type="spellEnd"/>
      <w:r w:rsidRPr="004D405C">
        <w:rPr>
          <w:rFonts w:ascii="Times New Roman" w:eastAsia="Times New Roman" w:hAnsi="Times New Roman" w:cs="Times New Roman"/>
          <w:sz w:val="24"/>
          <w:szCs w:val="24"/>
        </w:rPr>
        <w:t xml:space="preserve"> is unavailable, return </w:t>
      </w:r>
      <w:r w:rsidRPr="004D405C">
        <w:rPr>
          <w:rFonts w:ascii="Times New Roman" w:eastAsia="Times New Roman" w:hAnsi="Times New Roman" w:cs="Times New Roman"/>
          <w:b/>
          <w:bCs/>
          <w:sz w:val="24"/>
          <w:szCs w:val="24"/>
        </w:rPr>
        <w:t>"Insufficient Data"</w:t>
      </w:r>
      <w:r w:rsidRPr="004D405C">
        <w:rPr>
          <w:rFonts w:ascii="Times New Roman" w:eastAsia="Times New Roman" w:hAnsi="Times New Roman" w:cs="Times New Roman"/>
          <w:sz w:val="24"/>
          <w:szCs w:val="24"/>
        </w:rPr>
        <w:t>.</w:t>
      </w:r>
    </w:p>
    <w:p w14:paraId="55EC963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65FC6A5">
          <v:rect id="_x0000_i1487" style="width:0;height:1.5pt" o:hralign="center" o:hrstd="t" o:hr="t" fillcolor="#a0a0a0" stroked="f"/>
        </w:pict>
      </w:r>
    </w:p>
    <w:p w14:paraId="704B111E"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 xml:space="preserve">16. Praxis Engine Integration </w:t>
      </w:r>
      <w:r w:rsidRPr="004D405C">
        <w:rPr>
          <w:rFonts w:ascii="Segoe UI Emoji" w:eastAsia="Times New Roman" w:hAnsi="Segoe UI Emoji" w:cs="Segoe UI Emoji"/>
          <w:b/>
          <w:bCs/>
          <w:kern w:val="36"/>
          <w:sz w:val="48"/>
          <w:szCs w:val="48"/>
        </w:rPr>
        <w:t>⭐</w:t>
      </w:r>
    </w:p>
    <w:p w14:paraId="0ADCB00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Engine Weight</w:t>
      </w:r>
    </w:p>
    <w:p w14:paraId="4F58AC7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 (Configurable)</w:t>
      </w:r>
    </w:p>
    <w:p w14:paraId="17DD417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Relative Importance</w:t>
      </w:r>
    </w:p>
    <w:p w14:paraId="1E259C8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23F3555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Decision Engine Role</w:t>
      </w:r>
    </w:p>
    <w:p w14:paraId="491CCF9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Cash Flow Strength Assessment</w:t>
      </w:r>
    </w:p>
    <w:p w14:paraId="715441B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Primary Use</w:t>
      </w:r>
    </w:p>
    <w:p w14:paraId="486A31B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Evaluate the company's ability to generate excess cash after funding business operations and investments.</w:t>
      </w:r>
    </w:p>
    <w:p w14:paraId="2D014B4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Bullish Confirmation</w:t>
      </w:r>
    </w:p>
    <w:p w14:paraId="25B11BC3" w14:textId="77777777" w:rsidR="004D405C" w:rsidRPr="004D405C" w:rsidRDefault="004D405C" w:rsidP="004D405C">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Free Cash Flow </w:t>
      </w:r>
    </w:p>
    <w:p w14:paraId="1682DA30" w14:textId="77777777" w:rsidR="004D405C" w:rsidRPr="004D405C" w:rsidRDefault="004D405C" w:rsidP="004D405C">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Low Debt to Equity </w:t>
      </w:r>
    </w:p>
    <w:p w14:paraId="34F92ED1" w14:textId="77777777" w:rsidR="004D405C" w:rsidRPr="004D405C" w:rsidRDefault="004D405C" w:rsidP="004D405C">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Strong Interest Coverage </w:t>
      </w:r>
    </w:p>
    <w:p w14:paraId="5685D76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Bearish Confirmation</w:t>
      </w:r>
    </w:p>
    <w:p w14:paraId="67A63FB8" w14:textId="77777777" w:rsidR="004D405C" w:rsidRPr="004D405C" w:rsidRDefault="004D405C" w:rsidP="004D405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Negative Free Cash Flow </w:t>
      </w:r>
    </w:p>
    <w:p w14:paraId="6FE76EDA" w14:textId="77777777" w:rsidR="004D405C" w:rsidRPr="004D405C" w:rsidRDefault="004D405C" w:rsidP="004D405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Rising Debt </w:t>
      </w:r>
    </w:p>
    <w:p w14:paraId="1C948873" w14:textId="77777777" w:rsidR="004D405C" w:rsidRPr="004D405C" w:rsidRDefault="004D405C" w:rsidP="004D405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Weak Interest Coverage </w:t>
      </w:r>
    </w:p>
    <w:p w14:paraId="094362F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Display Priority</w:t>
      </w:r>
    </w:p>
    <w:p w14:paraId="793796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High</w:t>
      </w:r>
    </w:p>
    <w:p w14:paraId="648692D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3549531">
          <v:rect id="_x0000_i1488" style="width:0;height:1.5pt" o:hralign="center" o:hrstd="t" o:hr="t" fillcolor="#a0a0a0" stroked="f"/>
        </w:pict>
      </w:r>
    </w:p>
    <w:p w14:paraId="19BC9794"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17. Praxis Recommendation</w:t>
      </w:r>
    </w:p>
    <w:p w14:paraId="730FCF3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Free Cash Flow should serve as the </w:t>
      </w:r>
      <w:r w:rsidRPr="004D405C">
        <w:rPr>
          <w:rFonts w:ascii="Times New Roman" w:eastAsia="Times New Roman" w:hAnsi="Times New Roman" w:cs="Times New Roman"/>
          <w:b/>
          <w:bCs/>
          <w:sz w:val="24"/>
          <w:szCs w:val="24"/>
        </w:rPr>
        <w:t>cash flow quality indicator</w:t>
      </w:r>
      <w:r w:rsidRPr="004D405C">
        <w:rPr>
          <w:rFonts w:ascii="Times New Roman" w:eastAsia="Times New Roman" w:hAnsi="Times New Roman" w:cs="Times New Roman"/>
          <w:sz w:val="24"/>
          <w:szCs w:val="24"/>
        </w:rPr>
        <w:t xml:space="preserve"> within the Financial Health category.</w:t>
      </w:r>
    </w:p>
    <w:p w14:paraId="408CA77A"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Financial Health Hierarchy</w:t>
      </w:r>
    </w:p>
    <w:p w14:paraId="6F01C5F7" w14:textId="77777777" w:rsidR="004D405C" w:rsidRPr="004D405C" w:rsidRDefault="004D405C" w:rsidP="004D405C">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Debt to Equity Ratio </w:t>
      </w:r>
    </w:p>
    <w:p w14:paraId="32147BFC" w14:textId="77777777" w:rsidR="004D405C" w:rsidRPr="004D405C" w:rsidRDefault="004D405C" w:rsidP="004D405C">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Interest Coverage </w:t>
      </w:r>
    </w:p>
    <w:p w14:paraId="56E531B6" w14:textId="77777777" w:rsidR="004D405C" w:rsidRPr="004D405C" w:rsidRDefault="004D405C" w:rsidP="004D405C">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Free Cash Flow </w:t>
      </w:r>
    </w:p>
    <w:p w14:paraId="31B0F1AE" w14:textId="77777777" w:rsidR="004D405C" w:rsidRPr="004D405C" w:rsidRDefault="004D405C" w:rsidP="004D405C">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Current Ratio </w:t>
      </w:r>
    </w:p>
    <w:p w14:paraId="6C345C87"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Engine Rules</w:t>
      </w:r>
    </w:p>
    <w:p w14:paraId="2FCE895A" w14:textId="77777777" w:rsidR="004D405C" w:rsidRPr="004D405C" w:rsidRDefault="004D405C" w:rsidP="004D405C">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FCF + Strong Interest Coverage → Increase Financial Health Score. </w:t>
      </w:r>
    </w:p>
    <w:p w14:paraId="21780129" w14:textId="77777777" w:rsidR="004D405C" w:rsidRPr="004D405C" w:rsidRDefault="004D405C" w:rsidP="004D405C">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Improving FCF for multiple quarters → Increase Fundamentals confidence. </w:t>
      </w:r>
    </w:p>
    <w:p w14:paraId="13D155F8" w14:textId="77777777" w:rsidR="004D405C" w:rsidRPr="004D405C" w:rsidRDefault="004D405C" w:rsidP="004D405C">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Negative FCF + Rising Debt → Reduce Financial Health Score. </w:t>
      </w:r>
    </w:p>
    <w:p w14:paraId="60DBB6ED" w14:textId="77777777" w:rsidR="004D405C" w:rsidRPr="004D405C" w:rsidRDefault="004D405C" w:rsidP="004D405C">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Negative FCF with strong Revenue Growth may indicate expansion-related investments; reduce bearish conviction until the trend persists. </w:t>
      </w:r>
    </w:p>
    <w:p w14:paraId="680585E6" w14:textId="3507FF23" w:rsid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Free Cash Flow should strengthen the </w:t>
      </w:r>
      <w:r w:rsidRPr="004D405C">
        <w:rPr>
          <w:rFonts w:ascii="Times New Roman" w:eastAsia="Times New Roman" w:hAnsi="Times New Roman" w:cs="Times New Roman"/>
          <w:b/>
          <w:bCs/>
          <w:sz w:val="24"/>
          <w:szCs w:val="24"/>
        </w:rPr>
        <w:t>Financial Health Score</w:t>
      </w:r>
      <w:r w:rsidRPr="004D405C">
        <w:rPr>
          <w:rFonts w:ascii="Times New Roman" w:eastAsia="Times New Roman" w:hAnsi="Times New Roman" w:cs="Times New Roman"/>
          <w:sz w:val="24"/>
          <w:szCs w:val="24"/>
        </w:rPr>
        <w:t xml:space="preserve"> by validating the company's ability to generate sustainable cash and support future growth without excessive reliance on external financing.</w:t>
      </w:r>
    </w:p>
    <w:p w14:paraId="0ED3B6FD" w14:textId="6B1FB025"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9B56A09" w14:textId="7FB1B900"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0133E1E" w14:textId="5D42EE52"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BBDAF6E" w14:textId="67000186"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0647678C" w14:textId="7C5C0E9E"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72A9BC68" w14:textId="74ADC91B"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4A08FD3B" w14:textId="55E793FA"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024CBF7" w14:textId="77777777" w:rsidR="00E11FEB" w:rsidRPr="004D405C"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2F481E24"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D405C">
        <w:rPr>
          <w:rFonts w:ascii="Times New Roman" w:eastAsia="Times New Roman" w:hAnsi="Times New Roman" w:cs="Times New Roman"/>
          <w:b/>
          <w:bCs/>
          <w:color w:val="FF0000"/>
          <w:kern w:val="36"/>
          <w:sz w:val="48"/>
          <w:szCs w:val="48"/>
        </w:rPr>
        <w:lastRenderedPageBreak/>
        <w:t>16. Current Ratio</w:t>
      </w:r>
    </w:p>
    <w:p w14:paraId="7CB9236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Financial Health</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Status:</w:t>
      </w:r>
      <w:r w:rsidRPr="004D405C">
        <w:rPr>
          <w:rFonts w:ascii="Times New Roman" w:eastAsia="Times New Roman" w:hAnsi="Times New Roman" w:cs="Times New Roman"/>
          <w:sz w:val="24"/>
          <w:szCs w:val="24"/>
        </w:rPr>
        <w:t xml:space="preserve"> Production Ready</w:t>
      </w:r>
    </w:p>
    <w:p w14:paraId="65909FA1" w14:textId="77777777" w:rsidR="004D405C" w:rsidRPr="004D405C" w:rsidRDefault="004D405C" w:rsidP="004D405C">
      <w:pPr>
        <w:spacing w:before="100" w:beforeAutospacing="1" w:after="100" w:afterAutospacing="1" w:line="240" w:lineRule="auto"/>
        <w:outlineLvl w:val="1"/>
        <w:rPr>
          <w:rFonts w:ascii="Times New Roman" w:eastAsia="Times New Roman" w:hAnsi="Times New Roman" w:cs="Times New Roman"/>
          <w:b/>
          <w:bCs/>
          <w:sz w:val="36"/>
          <w:szCs w:val="36"/>
        </w:rPr>
      </w:pPr>
      <w:r w:rsidRPr="004D405C">
        <w:rPr>
          <w:rFonts w:ascii="Times New Roman" w:eastAsia="Times New Roman" w:hAnsi="Times New Roman" w:cs="Times New Roman"/>
          <w:b/>
          <w:bCs/>
          <w:sz w:val="36"/>
          <w:szCs w:val="36"/>
        </w:rPr>
        <w:t>1. Overview</w:t>
      </w:r>
    </w:p>
    <w:p w14:paraId="7848C2B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Name:</w:t>
      </w:r>
      <w:r w:rsidRPr="004D405C">
        <w:rPr>
          <w:rFonts w:ascii="Times New Roman" w:eastAsia="Times New Roman" w:hAnsi="Times New Roman" w:cs="Times New Roman"/>
          <w:sz w:val="24"/>
          <w:szCs w:val="24"/>
        </w:rPr>
        <w:t xml:space="preserve"> Current Ratio</w:t>
      </w:r>
    </w:p>
    <w:p w14:paraId="1A6307E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Short Name:</w:t>
      </w:r>
      <w:r w:rsidRPr="004D405C">
        <w:rPr>
          <w:rFonts w:ascii="Times New Roman" w:eastAsia="Times New Roman" w:hAnsi="Times New Roman" w:cs="Times New Roman"/>
          <w:sz w:val="24"/>
          <w:szCs w:val="24"/>
        </w:rPr>
        <w:t xml:space="preserve"> Current Ratio</w:t>
      </w:r>
    </w:p>
    <w:p w14:paraId="6432001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p>
    <w:p w14:paraId="6D3ADC9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Financial Health</w:t>
      </w:r>
    </w:p>
    <w:p w14:paraId="062D12A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Purpose:</w:t>
      </w:r>
    </w:p>
    <w:p w14:paraId="0A305D8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Measures a company's ability to meet its short-term obligations using its short-term assets. It evaluates liquidity and indicates whether the business has sufficient working capital to operate efficiently.</w:t>
      </w:r>
    </w:p>
    <w:p w14:paraId="7C805F2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Based On:</w:t>
      </w:r>
    </w:p>
    <w:p w14:paraId="63D0337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Assets and Current Liabilities</w:t>
      </w:r>
    </w:p>
    <w:p w14:paraId="4553284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Importance:</w:t>
      </w:r>
    </w:p>
    <w:p w14:paraId="223D3A0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(Core Financial Health Indicator)</w:t>
      </w:r>
    </w:p>
    <w:p w14:paraId="21E72F2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Auto / Manual:</w:t>
      </w:r>
    </w:p>
    <w:p w14:paraId="3D07B4A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Manual (V1)</w:t>
      </w:r>
    </w:p>
    <w:p w14:paraId="6BA9E57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 Frequency:</w:t>
      </w:r>
    </w:p>
    <w:p w14:paraId="6FD624E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After every quarterly financial </w:t>
      </w:r>
      <w:proofErr w:type="gramStart"/>
      <w:r w:rsidRPr="004D405C">
        <w:rPr>
          <w:rFonts w:ascii="Times New Roman" w:eastAsia="Times New Roman" w:hAnsi="Times New Roman" w:cs="Times New Roman"/>
          <w:sz w:val="24"/>
          <w:szCs w:val="24"/>
        </w:rPr>
        <w:t>results</w:t>
      </w:r>
      <w:proofErr w:type="gramEnd"/>
      <w:r w:rsidRPr="004D405C">
        <w:rPr>
          <w:rFonts w:ascii="Times New Roman" w:eastAsia="Times New Roman" w:hAnsi="Times New Roman" w:cs="Times New Roman"/>
          <w:sz w:val="24"/>
          <w:szCs w:val="24"/>
        </w:rPr>
        <w:t>.</w:t>
      </w:r>
    </w:p>
    <w:p w14:paraId="0551D3B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Praxis Note:</w:t>
      </w:r>
    </w:p>
    <w:p w14:paraId="2F34A0D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 Current Ratio between </w:t>
      </w:r>
      <w:r w:rsidRPr="004D405C">
        <w:rPr>
          <w:rFonts w:ascii="Times New Roman" w:eastAsia="Times New Roman" w:hAnsi="Times New Roman" w:cs="Times New Roman"/>
          <w:b/>
          <w:bCs/>
          <w:sz w:val="24"/>
          <w:szCs w:val="24"/>
        </w:rPr>
        <w:t>1.5 and 3.0</w:t>
      </w:r>
      <w:r w:rsidRPr="004D405C">
        <w:rPr>
          <w:rFonts w:ascii="Times New Roman" w:eastAsia="Times New Roman" w:hAnsi="Times New Roman" w:cs="Times New Roman"/>
          <w:sz w:val="24"/>
          <w:szCs w:val="24"/>
        </w:rPr>
        <w:t xml:space="preserve"> is generally considered healthy for most businesses. Extremely low values may indicate liquidity stress, while excessively high values can suggest inefficient utilization of current assets.</w:t>
      </w:r>
    </w:p>
    <w:p w14:paraId="110B7E9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8FE8D34">
          <v:rect id="_x0000_i1505" style="width:0;height:1.5pt" o:hralign="center" o:hrstd="t" o:hr="t" fillcolor="#a0a0a0" stroked="f"/>
        </w:pict>
      </w:r>
    </w:p>
    <w:p w14:paraId="01047E4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2. Data Requirements</w:t>
      </w:r>
    </w:p>
    <w:p w14:paraId="246D9408"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Required Data</w:t>
      </w:r>
    </w:p>
    <w:p w14:paraId="1AD4C4C3" w14:textId="77777777" w:rsidR="004D405C" w:rsidRPr="004D405C" w:rsidRDefault="004D405C" w:rsidP="004D405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Assets </w:t>
      </w:r>
    </w:p>
    <w:p w14:paraId="6F8D2140" w14:textId="77777777" w:rsidR="004D405C" w:rsidRPr="004D405C" w:rsidRDefault="004D405C" w:rsidP="004D405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Liabilities </w:t>
      </w:r>
    </w:p>
    <w:p w14:paraId="1441837C" w14:textId="77777777" w:rsidR="004D405C" w:rsidRPr="004D405C" w:rsidRDefault="004D405C" w:rsidP="004D405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w:t>
      </w:r>
    </w:p>
    <w:p w14:paraId="305DE538" w14:textId="77777777" w:rsidR="004D405C" w:rsidRPr="004D405C" w:rsidRDefault="004D405C" w:rsidP="004D405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Current Ratio </w:t>
      </w:r>
    </w:p>
    <w:p w14:paraId="1D2F5F86"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Minimum Historical Data</w:t>
      </w:r>
    </w:p>
    <w:p w14:paraId="3D706AC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 Quarterly Reports</w:t>
      </w:r>
    </w:p>
    <w:p w14:paraId="1CBD18A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Recommended:</w:t>
      </w:r>
    </w:p>
    <w:p w14:paraId="1D66A5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 Years</w:t>
      </w:r>
    </w:p>
    <w:p w14:paraId="05DA28F4"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Primary Source</w:t>
      </w:r>
    </w:p>
    <w:p w14:paraId="1D61C813" w14:textId="77777777" w:rsidR="004D405C" w:rsidRPr="004D405C" w:rsidRDefault="004D405C" w:rsidP="004D405C">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Company Balance Sheet </w:t>
      </w:r>
    </w:p>
    <w:p w14:paraId="4B45338E" w14:textId="77777777" w:rsidR="004D405C" w:rsidRPr="004D405C" w:rsidRDefault="004D405C" w:rsidP="004D405C">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Financial Results </w:t>
      </w:r>
    </w:p>
    <w:p w14:paraId="38D7A055" w14:textId="77777777" w:rsidR="004D405C" w:rsidRPr="004D405C" w:rsidRDefault="004D405C" w:rsidP="004D405C">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Annual Reports </w:t>
      </w:r>
    </w:p>
    <w:p w14:paraId="432EBD3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87BFFE7">
          <v:rect id="_x0000_i1506" style="width:0;height:1.5pt" o:hralign="center" o:hrstd="t" o:hr="t" fillcolor="#a0a0a0" stroked="f"/>
        </w:pict>
      </w:r>
    </w:p>
    <w:p w14:paraId="731E9743"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3. Industry Standard Calculation</w:t>
      </w:r>
    </w:p>
    <w:p w14:paraId="779DD7D4"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Formula</w:t>
      </w:r>
    </w:p>
    <w:p w14:paraId="7D6DCED5"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Current Ratio =</w:t>
      </w:r>
    </w:p>
    <w:p w14:paraId="78A4B417"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Current Assets ÷ Current Liabilities</w:t>
      </w:r>
    </w:p>
    <w:p w14:paraId="619DDA27"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Implementation Steps</w:t>
      </w:r>
    </w:p>
    <w:p w14:paraId="7FC6F77C" w14:textId="77777777" w:rsidR="004D405C" w:rsidRPr="004D405C" w:rsidRDefault="004D405C" w:rsidP="004D405C">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Current Assets. </w:t>
      </w:r>
    </w:p>
    <w:p w14:paraId="0F1150C7" w14:textId="77777777" w:rsidR="004D405C" w:rsidRPr="004D405C" w:rsidRDefault="004D405C" w:rsidP="004D405C">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Current Liabilities. </w:t>
      </w:r>
    </w:p>
    <w:p w14:paraId="2654982B" w14:textId="77777777" w:rsidR="004D405C" w:rsidRPr="004D405C" w:rsidRDefault="004D405C" w:rsidP="004D405C">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Calculate the Current Ratio. </w:t>
      </w:r>
    </w:p>
    <w:p w14:paraId="165E741A" w14:textId="77777777" w:rsidR="004D405C" w:rsidRPr="004D405C" w:rsidRDefault="004D405C" w:rsidP="004D405C">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 with historical liquidity trends. </w:t>
      </w:r>
    </w:p>
    <w:p w14:paraId="4098D20D" w14:textId="77777777" w:rsidR="004D405C" w:rsidRPr="004D405C" w:rsidRDefault="004D405C" w:rsidP="004D405C">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Generate the Financial Health Score. </w:t>
      </w:r>
    </w:p>
    <w:p w14:paraId="41BF16F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5ADFC356" w14:textId="77777777" w:rsidR="004D405C" w:rsidRPr="004D405C" w:rsidRDefault="004D405C" w:rsidP="004D405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consolidated balance sheet values. </w:t>
      </w:r>
    </w:p>
    <w:p w14:paraId="5555A563" w14:textId="77777777" w:rsidR="004D405C" w:rsidRPr="004D405C" w:rsidRDefault="004D405C" w:rsidP="004D405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Evaluate trend consistency rather than a single reporting period. </w:t>
      </w:r>
    </w:p>
    <w:p w14:paraId="51B6BD6D" w14:textId="77777777" w:rsidR="004D405C" w:rsidRPr="004D405C" w:rsidRDefault="004D405C" w:rsidP="004D405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Industry-specific benchmarks may vary. </w:t>
      </w:r>
    </w:p>
    <w:p w14:paraId="6A8DDF1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814E5A3">
          <v:rect id="_x0000_i1507" style="width:0;height:1.5pt" o:hralign="center" o:hrstd="t" o:hr="t" fillcolor="#a0a0a0" stroked="f"/>
        </w:pict>
      </w:r>
    </w:p>
    <w:p w14:paraId="5FB4E6D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4. Card Fields</w:t>
      </w:r>
    </w:p>
    <w:p w14:paraId="3A08FD1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Value</w:t>
      </w:r>
    </w:p>
    <w:p w14:paraId="05E1D7D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Ratio</w:t>
      </w:r>
    </w:p>
    <w:p w14:paraId="4421F1F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Assets</w:t>
      </w:r>
    </w:p>
    <w:p w14:paraId="654CD75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Assets</w:t>
      </w:r>
    </w:p>
    <w:p w14:paraId="4FEEF8E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Liabilities</w:t>
      </w:r>
    </w:p>
    <w:p w14:paraId="1DD09CC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Liabilities</w:t>
      </w:r>
    </w:p>
    <w:p w14:paraId="671A46D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Score</w:t>
      </w:r>
    </w:p>
    <w:p w14:paraId="761D99A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0–100</w:t>
      </w:r>
    </w:p>
    <w:p w14:paraId="689D525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Bias</w:t>
      </w:r>
    </w:p>
    <w:p w14:paraId="766BF0EC" w14:textId="77777777" w:rsidR="004D405C" w:rsidRPr="004D405C" w:rsidRDefault="004D405C" w:rsidP="004D405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Bullish </w:t>
      </w:r>
    </w:p>
    <w:p w14:paraId="26068579" w14:textId="77777777" w:rsidR="004D405C" w:rsidRPr="004D405C" w:rsidRDefault="004D405C" w:rsidP="004D405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Neutral </w:t>
      </w:r>
    </w:p>
    <w:p w14:paraId="633B309F" w14:textId="77777777" w:rsidR="004D405C" w:rsidRPr="004D405C" w:rsidRDefault="004D405C" w:rsidP="004D405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Bearish </w:t>
      </w:r>
    </w:p>
    <w:p w14:paraId="70C5306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Confidence</w:t>
      </w:r>
    </w:p>
    <w:p w14:paraId="57DEEE2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Financial Health Confidence</w:t>
      </w:r>
    </w:p>
    <w:p w14:paraId="1E634F6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Impact Weight</w:t>
      </w:r>
    </w:p>
    <w:p w14:paraId="62EAA25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w:t>
      </w:r>
    </w:p>
    <w:p w14:paraId="5E6402E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4BA51D6">
          <v:rect id="_x0000_i1508" style="width:0;height:1.5pt" o:hralign="center" o:hrstd="t" o:hr="t" fillcolor="#a0a0a0" stroked="f"/>
        </w:pict>
      </w:r>
    </w:p>
    <w:p w14:paraId="3DD15E4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634"/>
        <w:gridCol w:w="1509"/>
      </w:tblGrid>
      <w:tr w:rsidR="004D405C" w:rsidRPr="004D405C" w14:paraId="7EA0611E" w14:textId="77777777" w:rsidTr="004D405C">
        <w:trPr>
          <w:tblHeader/>
          <w:tblCellSpacing w:w="15" w:type="dxa"/>
        </w:trPr>
        <w:tc>
          <w:tcPr>
            <w:tcW w:w="0" w:type="auto"/>
            <w:vAlign w:val="center"/>
            <w:hideMark/>
          </w:tcPr>
          <w:p w14:paraId="241B4A6D"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Current Ratio</w:t>
            </w:r>
          </w:p>
        </w:tc>
        <w:tc>
          <w:tcPr>
            <w:tcW w:w="0" w:type="auto"/>
            <w:vAlign w:val="center"/>
            <w:hideMark/>
          </w:tcPr>
          <w:p w14:paraId="4602EFA5"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Score</w:t>
            </w:r>
          </w:p>
        </w:tc>
        <w:tc>
          <w:tcPr>
            <w:tcW w:w="0" w:type="auto"/>
            <w:vAlign w:val="center"/>
            <w:hideMark/>
          </w:tcPr>
          <w:p w14:paraId="79B061AF"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Bias</w:t>
            </w:r>
          </w:p>
        </w:tc>
      </w:tr>
      <w:tr w:rsidR="004D405C" w:rsidRPr="004D405C" w14:paraId="6ECB40D1" w14:textId="77777777" w:rsidTr="004D405C">
        <w:trPr>
          <w:tblCellSpacing w:w="15" w:type="dxa"/>
        </w:trPr>
        <w:tc>
          <w:tcPr>
            <w:tcW w:w="0" w:type="auto"/>
            <w:vAlign w:val="center"/>
            <w:hideMark/>
          </w:tcPr>
          <w:p w14:paraId="69BAC77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1.50 – 3.00</w:t>
            </w:r>
          </w:p>
        </w:tc>
        <w:tc>
          <w:tcPr>
            <w:tcW w:w="0" w:type="auto"/>
            <w:vAlign w:val="center"/>
            <w:hideMark/>
          </w:tcPr>
          <w:p w14:paraId="3D83EF8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tc>
        <w:tc>
          <w:tcPr>
            <w:tcW w:w="0" w:type="auto"/>
            <w:vAlign w:val="center"/>
            <w:hideMark/>
          </w:tcPr>
          <w:p w14:paraId="09892E8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Bullish</w:t>
            </w:r>
          </w:p>
        </w:tc>
      </w:tr>
      <w:tr w:rsidR="004D405C" w:rsidRPr="004D405C" w14:paraId="69B10E01" w14:textId="77777777" w:rsidTr="004D405C">
        <w:trPr>
          <w:tblCellSpacing w:w="15" w:type="dxa"/>
        </w:trPr>
        <w:tc>
          <w:tcPr>
            <w:tcW w:w="0" w:type="auto"/>
            <w:vAlign w:val="center"/>
            <w:hideMark/>
          </w:tcPr>
          <w:p w14:paraId="0682863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1.20 – 1.49</w:t>
            </w:r>
          </w:p>
        </w:tc>
        <w:tc>
          <w:tcPr>
            <w:tcW w:w="0" w:type="auto"/>
            <w:vAlign w:val="center"/>
            <w:hideMark/>
          </w:tcPr>
          <w:p w14:paraId="5863C23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82</w:t>
            </w:r>
          </w:p>
        </w:tc>
        <w:tc>
          <w:tcPr>
            <w:tcW w:w="0" w:type="auto"/>
            <w:vAlign w:val="center"/>
            <w:hideMark/>
          </w:tcPr>
          <w:p w14:paraId="061EE12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tc>
      </w:tr>
      <w:tr w:rsidR="004D405C" w:rsidRPr="004D405C" w14:paraId="6881F256" w14:textId="77777777" w:rsidTr="004D405C">
        <w:trPr>
          <w:tblCellSpacing w:w="15" w:type="dxa"/>
        </w:trPr>
        <w:tc>
          <w:tcPr>
            <w:tcW w:w="0" w:type="auto"/>
            <w:vAlign w:val="center"/>
            <w:hideMark/>
          </w:tcPr>
          <w:p w14:paraId="48731EF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1.00 – 1.19</w:t>
            </w:r>
          </w:p>
        </w:tc>
        <w:tc>
          <w:tcPr>
            <w:tcW w:w="0" w:type="auto"/>
            <w:vAlign w:val="center"/>
            <w:hideMark/>
          </w:tcPr>
          <w:p w14:paraId="0377EB6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tc>
        <w:tc>
          <w:tcPr>
            <w:tcW w:w="0" w:type="auto"/>
            <w:vAlign w:val="center"/>
            <w:hideMark/>
          </w:tcPr>
          <w:p w14:paraId="2A8FC4E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tc>
      </w:tr>
      <w:tr w:rsidR="004D405C" w:rsidRPr="004D405C" w14:paraId="0B6513AE" w14:textId="77777777" w:rsidTr="004D405C">
        <w:trPr>
          <w:tblCellSpacing w:w="15" w:type="dxa"/>
        </w:trPr>
        <w:tc>
          <w:tcPr>
            <w:tcW w:w="0" w:type="auto"/>
            <w:vAlign w:val="center"/>
            <w:hideMark/>
          </w:tcPr>
          <w:p w14:paraId="5C3AC95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0.80 – 0.99</w:t>
            </w:r>
          </w:p>
        </w:tc>
        <w:tc>
          <w:tcPr>
            <w:tcW w:w="0" w:type="auto"/>
            <w:vAlign w:val="center"/>
            <w:hideMark/>
          </w:tcPr>
          <w:p w14:paraId="564A473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w:t>
            </w:r>
          </w:p>
        </w:tc>
        <w:tc>
          <w:tcPr>
            <w:tcW w:w="0" w:type="auto"/>
            <w:vAlign w:val="center"/>
            <w:hideMark/>
          </w:tcPr>
          <w:p w14:paraId="7A9A456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tc>
      </w:tr>
      <w:tr w:rsidR="004D405C" w:rsidRPr="004D405C" w14:paraId="6E175F43" w14:textId="77777777" w:rsidTr="004D405C">
        <w:trPr>
          <w:tblCellSpacing w:w="15" w:type="dxa"/>
        </w:trPr>
        <w:tc>
          <w:tcPr>
            <w:tcW w:w="0" w:type="auto"/>
            <w:vAlign w:val="center"/>
            <w:hideMark/>
          </w:tcPr>
          <w:p w14:paraId="3FB0A18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&lt;0.80</w:t>
            </w:r>
          </w:p>
        </w:tc>
        <w:tc>
          <w:tcPr>
            <w:tcW w:w="0" w:type="auto"/>
            <w:vAlign w:val="center"/>
            <w:hideMark/>
          </w:tcPr>
          <w:p w14:paraId="76325F8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w:t>
            </w:r>
          </w:p>
        </w:tc>
        <w:tc>
          <w:tcPr>
            <w:tcW w:w="0" w:type="auto"/>
            <w:vAlign w:val="center"/>
            <w:hideMark/>
          </w:tcPr>
          <w:p w14:paraId="0588D9C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tc>
      </w:tr>
    </w:tbl>
    <w:p w14:paraId="11AE817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6EAA1423" w14:textId="77777777" w:rsidR="004D405C" w:rsidRPr="004D405C" w:rsidRDefault="004D405C" w:rsidP="004D405C">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Ratios above 1 generally indicate sufficient short-term liquidity. </w:t>
      </w:r>
    </w:p>
    <w:p w14:paraId="0DD3755C" w14:textId="77777777" w:rsidR="004D405C" w:rsidRPr="004D405C" w:rsidRDefault="004D405C" w:rsidP="004D405C">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Extremely high ratios (&gt;3) should not automatically receive higher scores, as they may indicate inefficient capital allocation. </w:t>
      </w:r>
    </w:p>
    <w:p w14:paraId="0449FA9B" w14:textId="77777777" w:rsidR="004D405C" w:rsidRPr="004D405C" w:rsidRDefault="004D405C" w:rsidP="004D405C">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Sustained improvement over multiple quarters </w:t>
      </w:r>
      <w:proofErr w:type="gramStart"/>
      <w:r w:rsidRPr="004D405C">
        <w:rPr>
          <w:rFonts w:ascii="Times New Roman" w:eastAsia="Times New Roman" w:hAnsi="Times New Roman" w:cs="Times New Roman"/>
          <w:sz w:val="24"/>
          <w:szCs w:val="24"/>
        </w:rPr>
        <w:t>strengthens</w:t>
      </w:r>
      <w:proofErr w:type="gramEnd"/>
      <w:r w:rsidRPr="004D405C">
        <w:rPr>
          <w:rFonts w:ascii="Times New Roman" w:eastAsia="Times New Roman" w:hAnsi="Times New Roman" w:cs="Times New Roman"/>
          <w:sz w:val="24"/>
          <w:szCs w:val="24"/>
        </w:rPr>
        <w:t xml:space="preserve"> the score. </w:t>
      </w:r>
    </w:p>
    <w:p w14:paraId="251FB7E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AE284B7">
          <v:rect id="_x0000_i1509" style="width:0;height:1.5pt" o:hralign="center" o:hrstd="t" o:hr="t" fillcolor="#a0a0a0" stroked="f"/>
        </w:pict>
      </w:r>
    </w:p>
    <w:p w14:paraId="4CDF814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6. Bias Rules</w:t>
      </w:r>
    </w:p>
    <w:p w14:paraId="356F182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Ratio Above 1.50</w:t>
      </w:r>
    </w:p>
    <w:p w14:paraId="01FF1D3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p w14:paraId="33116B0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Ratio Between 1.00–1.50</w:t>
      </w:r>
    </w:p>
    <w:p w14:paraId="3E44ACE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p w14:paraId="6BAA59A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Ratio Below 1.00</w:t>
      </w:r>
    </w:p>
    <w:p w14:paraId="013E7B4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p w14:paraId="550BB5A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Ratio Below 0.80</w:t>
      </w:r>
    </w:p>
    <w:p w14:paraId="3D4461E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p w14:paraId="036C632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F0A31A1">
          <v:rect id="_x0000_i1510" style="width:0;height:1.5pt" o:hralign="center" o:hrstd="t" o:hr="t" fillcolor="#a0a0a0" stroked="f"/>
        </w:pict>
      </w:r>
    </w:p>
    <w:p w14:paraId="7024F4F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7. Confidence Logic</w:t>
      </w:r>
    </w:p>
    <w:p w14:paraId="54D7404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 Confidence</w:t>
      </w:r>
    </w:p>
    <w:p w14:paraId="60C9269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85%</w:t>
      </w:r>
    </w:p>
    <w:p w14:paraId="1FD9C63F"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Increase Confidence</w:t>
      </w:r>
    </w:p>
    <w:p w14:paraId="0097277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Stable liquidity improvement</w:t>
      </w:r>
    </w:p>
    <w:p w14:paraId="41D2E6F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+5% Positive Operating Cash Flow</w:t>
      </w:r>
    </w:p>
    <w:p w14:paraId="52F4461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Audited financial statements</w:t>
      </w:r>
    </w:p>
    <w:p w14:paraId="0030A411"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Decrease Confidence</w:t>
      </w:r>
    </w:p>
    <w:p w14:paraId="6512C1E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Manual entry</w:t>
      </w:r>
    </w:p>
    <w:p w14:paraId="1BA53DF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Large quarter-to-quarter fluctuations</w:t>
      </w:r>
    </w:p>
    <w:p w14:paraId="2D480C4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Financial restatement</w:t>
      </w:r>
    </w:p>
    <w:p w14:paraId="400C7CF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3A23539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p w14:paraId="784AC0B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66D005C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p w14:paraId="557B2A5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51EBC76">
          <v:rect id="_x0000_i1511" style="width:0;height:1.5pt" o:hralign="center" o:hrstd="t" o:hr="t" fillcolor="#a0a0a0" stroked="f"/>
        </w:pict>
      </w:r>
    </w:p>
    <w:p w14:paraId="7115280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8. Score Range Bar</w:t>
      </w:r>
    </w:p>
    <w:p w14:paraId="53AD39C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378E922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w:t>
      </w:r>
    </w:p>
    <w:p w14:paraId="7389127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6C956F0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w:t>
      </w:r>
    </w:p>
    <w:p w14:paraId="3BD295F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Pointer</w:t>
      </w:r>
    </w:p>
    <w:p w14:paraId="18CF5CB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Score</w:t>
      </w:r>
    </w:p>
    <w:p w14:paraId="6625100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Average Marker</w:t>
      </w:r>
    </w:p>
    <w:p w14:paraId="36E5C3A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4-Quarter Average Score</w:t>
      </w:r>
    </w:p>
    <w:p w14:paraId="27908E7A"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Color Zones</w:t>
      </w:r>
    </w:p>
    <w:p w14:paraId="6FB6B4D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 → Liquidity Risk</w:t>
      </w:r>
    </w:p>
    <w:p w14:paraId="4F45544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30–60 → Weak</w:t>
      </w:r>
    </w:p>
    <w:p w14:paraId="31BE370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60–80 → Healthy</w:t>
      </w:r>
    </w:p>
    <w:p w14:paraId="6951D33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80–100 → Strong Liquidity</w:t>
      </w:r>
    </w:p>
    <w:p w14:paraId="0320F6B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730E5F1">
          <v:rect id="_x0000_i1512" style="width:0;height:1.5pt" o:hralign="center" o:hrstd="t" o:hr="t" fillcolor="#a0a0a0" stroked="f"/>
        </w:pict>
      </w:r>
    </w:p>
    <w:p w14:paraId="22A5AF7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9. Dual Trend Chart</w:t>
      </w:r>
    </w:p>
    <w:p w14:paraId="4949FC3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Chart Type</w:t>
      </w:r>
    </w:p>
    <w:p w14:paraId="365CD3F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Dual Line</w:t>
      </w:r>
    </w:p>
    <w:p w14:paraId="223CA7B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1</w:t>
      </w:r>
    </w:p>
    <w:p w14:paraId="0BFACA1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Ratio</w:t>
      </w:r>
    </w:p>
    <w:p w14:paraId="2F266C3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2</w:t>
      </w:r>
    </w:p>
    <w:p w14:paraId="7012D1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Praxis Score</w:t>
      </w:r>
    </w:p>
    <w:p w14:paraId="1CFDD7F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History</w:t>
      </w:r>
    </w:p>
    <w:p w14:paraId="51527B4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Last 8 Quarterly Updates</w:t>
      </w:r>
    </w:p>
    <w:p w14:paraId="6450A2F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w:t>
      </w:r>
    </w:p>
    <w:p w14:paraId="0487E85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every quarterly financial report.</w:t>
      </w:r>
    </w:p>
    <w:p w14:paraId="6CE8536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9F217AE">
          <v:rect id="_x0000_i1513" style="width:0;height:1.5pt" o:hralign="center" o:hrstd="t" o:hr="t" fillcolor="#a0a0a0" stroked="f"/>
        </w:pict>
      </w:r>
    </w:p>
    <w:p w14:paraId="27D55AEF"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10. AI Insight Rules</w:t>
      </w:r>
    </w:p>
    <w:p w14:paraId="3F0E50A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Ratio Above 1.50</w:t>
      </w:r>
    </w:p>
    <w:p w14:paraId="2339CC2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company has strong short-term liquidity and is well-positioned to meet current obligations.</w:t>
      </w:r>
    </w:p>
    <w:p w14:paraId="7B58A1D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Ratio Between 1.00 and 1.50</w:t>
      </w:r>
    </w:p>
    <w:p w14:paraId="1245BA7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liquidity is adequate but should continue to be monitored.</w:t>
      </w:r>
    </w:p>
    <w:p w14:paraId="180FC07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Ratio Below 1.00</w:t>
      </w:r>
    </w:p>
    <w:p w14:paraId="2F56C55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current liabilities exceed readily available current assets, increasing liquidity risk.</w:t>
      </w:r>
    </w:p>
    <w:p w14:paraId="2EDE1C2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lastRenderedPageBreak/>
        <w:t>Current Ratio Below 0.80</w:t>
      </w:r>
    </w:p>
    <w:p w14:paraId="19EA29A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company may face difficulty meeting short-term obligations without additional financing.</w:t>
      </w:r>
    </w:p>
    <w:p w14:paraId="474CDBB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Low Confidence</w:t>
      </w:r>
    </w:p>
    <w:p w14:paraId="6A94B79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Mention that incomplete balance sheet data may reduce confidence.</w:t>
      </w:r>
    </w:p>
    <w:p w14:paraId="6655099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78352D6">
          <v:rect id="_x0000_i1514" style="width:0;height:1.5pt" o:hralign="center" o:hrstd="t" o:hr="t" fillcolor="#a0a0a0" stroked="f"/>
        </w:pict>
      </w:r>
    </w:p>
    <w:p w14:paraId="675D632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11. Why It Matters</w:t>
      </w:r>
    </w:p>
    <w:p w14:paraId="04B1E10F" w14:textId="77777777" w:rsidR="004D405C" w:rsidRPr="004D405C" w:rsidRDefault="004D405C" w:rsidP="004D405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short-term financial stability. </w:t>
      </w:r>
    </w:p>
    <w:p w14:paraId="3713A2AA" w14:textId="77777777" w:rsidR="004D405C" w:rsidRPr="004D405C" w:rsidRDefault="004D405C" w:rsidP="004D405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Evaluates working capital strength. </w:t>
      </w:r>
    </w:p>
    <w:p w14:paraId="07541FAA" w14:textId="77777777" w:rsidR="004D405C" w:rsidRPr="004D405C" w:rsidRDefault="004D405C" w:rsidP="004D405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Identifies potential liquidity issues. </w:t>
      </w:r>
    </w:p>
    <w:p w14:paraId="414F704F" w14:textId="77777777" w:rsidR="004D405C" w:rsidRPr="004D405C" w:rsidRDefault="004D405C" w:rsidP="004D405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Complements debt-related indicators. </w:t>
      </w:r>
    </w:p>
    <w:p w14:paraId="1F945F57" w14:textId="77777777" w:rsidR="004D405C" w:rsidRPr="004D405C" w:rsidRDefault="004D405C" w:rsidP="004D405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Supports overall financial health assessment. </w:t>
      </w:r>
    </w:p>
    <w:p w14:paraId="1A1A61E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40DD9C6">
          <v:rect id="_x0000_i1515" style="width:0;height:1.5pt" o:hralign="center" o:hrstd="t" o:hr="t" fillcolor="#a0a0a0" stroked="f"/>
        </w:pict>
      </w:r>
    </w:p>
    <w:p w14:paraId="01299CF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12. Trading Impact</w:t>
      </w:r>
    </w:p>
    <w:p w14:paraId="3477EB0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Intraday</w:t>
      </w:r>
    </w:p>
    <w:p w14:paraId="77812F7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p>
    <w:p w14:paraId="320689C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Swing Trading</w:t>
      </w:r>
    </w:p>
    <w:p w14:paraId="3FDFCF7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0825CE1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Positional Trading</w:t>
      </w:r>
    </w:p>
    <w:p w14:paraId="2D60DA8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77ABEBB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Options Trading</w:t>
      </w:r>
    </w:p>
    <w:p w14:paraId="197DDB2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0C4DA97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Best Use</w:t>
      </w:r>
    </w:p>
    <w:p w14:paraId="1A6AC71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Evaluating short-term liquidity.</w:t>
      </w:r>
    </w:p>
    <w:p w14:paraId="0D65AD0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Avoid Using Alone</w:t>
      </w:r>
    </w:p>
    <w:p w14:paraId="10ABCB4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Yes</w:t>
      </w:r>
    </w:p>
    <w:p w14:paraId="29A2EFB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2684857">
          <v:rect id="_x0000_i1516" style="width:0;height:1.5pt" o:hralign="center" o:hrstd="t" o:hr="t" fillcolor="#a0a0a0" stroked="f"/>
        </w:pict>
      </w:r>
    </w:p>
    <w:p w14:paraId="6AD2EF6F"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13. Supporting Indicators</w:t>
      </w:r>
    </w:p>
    <w:p w14:paraId="393858C1" w14:textId="77777777" w:rsidR="004D405C" w:rsidRPr="004D405C" w:rsidRDefault="004D405C" w:rsidP="004D405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Debt to Equity Ratio </w:t>
      </w:r>
    </w:p>
    <w:p w14:paraId="41B1BF73" w14:textId="77777777" w:rsidR="004D405C" w:rsidRPr="004D405C" w:rsidRDefault="004D405C" w:rsidP="004D405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Interest Coverage </w:t>
      </w:r>
    </w:p>
    <w:p w14:paraId="5B0A88BA" w14:textId="77777777" w:rsidR="004D405C" w:rsidRPr="004D405C" w:rsidRDefault="004D405C" w:rsidP="004D405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Free Cash Flow </w:t>
      </w:r>
    </w:p>
    <w:p w14:paraId="3E2C1B44" w14:textId="77777777" w:rsidR="004D405C" w:rsidRPr="004D405C" w:rsidRDefault="004D405C" w:rsidP="004D405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Operating Margin </w:t>
      </w:r>
    </w:p>
    <w:p w14:paraId="3D1ED56C" w14:textId="77777777" w:rsidR="004D405C" w:rsidRPr="004D405C" w:rsidRDefault="004D405C" w:rsidP="004D405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Net Margin </w:t>
      </w:r>
    </w:p>
    <w:p w14:paraId="62EE624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5ABE90D">
          <v:rect id="_x0000_i1517" style="width:0;height:1.5pt" o:hralign="center" o:hrstd="t" o:hr="t" fillcolor="#a0a0a0" stroked="f"/>
        </w:pict>
      </w:r>
    </w:p>
    <w:p w14:paraId="6E3D3A06"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14. Metadata</w:t>
      </w:r>
    </w:p>
    <w:p w14:paraId="3DE7D82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Source</w:t>
      </w:r>
    </w:p>
    <w:p w14:paraId="025C90F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Company Balance Sheet</w:t>
      </w:r>
    </w:p>
    <w:p w14:paraId="3431EEB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Calculation</w:t>
      </w:r>
    </w:p>
    <w:p w14:paraId="7A9F583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Backend</w:t>
      </w:r>
    </w:p>
    <w:p w14:paraId="4E082B3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Updated</w:t>
      </w:r>
    </w:p>
    <w:p w14:paraId="2A6FCDB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Quarterly</w:t>
      </w:r>
    </w:p>
    <w:p w14:paraId="1E33469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b/>
          <w:bCs/>
          <w:sz w:val="24"/>
          <w:szCs w:val="24"/>
        </w:rPr>
        <w:t>Timezone</w:t>
      </w:r>
      <w:proofErr w:type="spellEnd"/>
    </w:p>
    <w:p w14:paraId="3028AEC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Asia/Kolkata</w:t>
      </w:r>
    </w:p>
    <w:p w14:paraId="23C6F06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Storage</w:t>
      </w:r>
    </w:p>
    <w:p w14:paraId="220151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Local Electron Database</w:t>
      </w:r>
    </w:p>
    <w:p w14:paraId="27A22F3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F188172">
          <v:rect id="_x0000_i1518" style="width:0;height:1.5pt" o:hralign="center" o:hrstd="t" o:hr="t" fillcolor="#a0a0a0" stroked="f"/>
        </w:pict>
      </w:r>
    </w:p>
    <w:p w14:paraId="13F941A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15. Developer Notes</w:t>
      </w:r>
    </w:p>
    <w:p w14:paraId="5C581E6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Store:</w:t>
      </w:r>
    </w:p>
    <w:p w14:paraId="3B93FA03" w14:textId="77777777" w:rsidR="004D405C" w:rsidRPr="004D405C" w:rsidRDefault="004D405C" w:rsidP="004D405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w:t>
      </w:r>
    </w:p>
    <w:p w14:paraId="36EB2AB2" w14:textId="77777777" w:rsidR="004D405C" w:rsidRPr="004D405C" w:rsidRDefault="004D405C" w:rsidP="004D405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Current Assets </w:t>
      </w:r>
    </w:p>
    <w:p w14:paraId="76D1ADD3" w14:textId="77777777" w:rsidR="004D405C" w:rsidRPr="004D405C" w:rsidRDefault="004D405C" w:rsidP="004D405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Liabilities </w:t>
      </w:r>
    </w:p>
    <w:p w14:paraId="65067C93" w14:textId="77777777" w:rsidR="004D405C" w:rsidRPr="004D405C" w:rsidRDefault="004D405C" w:rsidP="004D405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Current Ratio </w:t>
      </w:r>
    </w:p>
    <w:p w14:paraId="44E5F63C" w14:textId="77777777" w:rsidR="004D405C" w:rsidRPr="004D405C" w:rsidRDefault="004D405C" w:rsidP="004D405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Score </w:t>
      </w:r>
    </w:p>
    <w:p w14:paraId="452425AD" w14:textId="77777777" w:rsidR="004D405C" w:rsidRPr="004D405C" w:rsidRDefault="004D405C" w:rsidP="004D405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Confidence </w:t>
      </w:r>
    </w:p>
    <w:p w14:paraId="16C63B70" w14:textId="77777777" w:rsidR="004D405C" w:rsidRPr="004D405C" w:rsidRDefault="004D405C" w:rsidP="004D405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Last Updated </w:t>
      </w:r>
    </w:p>
    <w:p w14:paraId="4DE2E6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If Current Liabilities are zero, return </w:t>
      </w:r>
      <w:r w:rsidRPr="004D405C">
        <w:rPr>
          <w:rFonts w:ascii="Times New Roman" w:eastAsia="Times New Roman" w:hAnsi="Times New Roman" w:cs="Times New Roman"/>
          <w:b/>
          <w:bCs/>
          <w:sz w:val="24"/>
          <w:szCs w:val="24"/>
        </w:rPr>
        <w:t>"Not Available"</w:t>
      </w:r>
      <w:r w:rsidRPr="004D405C">
        <w:rPr>
          <w:rFonts w:ascii="Times New Roman" w:eastAsia="Times New Roman" w:hAnsi="Times New Roman" w:cs="Times New Roman"/>
          <w:sz w:val="24"/>
          <w:szCs w:val="24"/>
        </w:rPr>
        <w:t xml:space="preserve"> instead of calculating the ratio. Preserve historical values for trend analysis and liquidity monitoring.</w:t>
      </w:r>
    </w:p>
    <w:p w14:paraId="14A3E49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A2AD792">
          <v:rect id="_x0000_i1519" style="width:0;height:1.5pt" o:hralign="center" o:hrstd="t" o:hr="t" fillcolor="#a0a0a0" stroked="f"/>
        </w:pict>
      </w:r>
    </w:p>
    <w:p w14:paraId="6E857C2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 xml:space="preserve">16. Praxis Engine Integration </w:t>
      </w:r>
      <w:r w:rsidRPr="004D405C">
        <w:rPr>
          <w:rFonts w:ascii="Segoe UI Emoji" w:eastAsia="Times New Roman" w:hAnsi="Segoe UI Emoji" w:cs="Segoe UI Emoji"/>
          <w:b/>
          <w:bCs/>
          <w:kern w:val="36"/>
          <w:sz w:val="48"/>
          <w:szCs w:val="48"/>
        </w:rPr>
        <w:t>⭐</w:t>
      </w:r>
    </w:p>
    <w:p w14:paraId="11F9A5D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Engine Weight</w:t>
      </w:r>
    </w:p>
    <w:p w14:paraId="315BD45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 (Configurable)</w:t>
      </w:r>
    </w:p>
    <w:p w14:paraId="2AEDE00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Relative Importance</w:t>
      </w:r>
    </w:p>
    <w:p w14:paraId="02B83EE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Medium-High</w:t>
      </w:r>
    </w:p>
    <w:p w14:paraId="71517C3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Decision Engine Role</w:t>
      </w:r>
    </w:p>
    <w:p w14:paraId="5E16CCC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Liquidity Assessment</w:t>
      </w:r>
    </w:p>
    <w:p w14:paraId="2BB9EE3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Primary Use</w:t>
      </w:r>
    </w:p>
    <w:p w14:paraId="16F58A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Evaluate the company's ability to meet short-term obligations using current assets.</w:t>
      </w:r>
    </w:p>
    <w:p w14:paraId="64BFEF8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Bullish Confirmation</w:t>
      </w:r>
    </w:p>
    <w:p w14:paraId="3254A69F" w14:textId="77777777" w:rsidR="004D405C" w:rsidRPr="004D405C" w:rsidRDefault="004D405C" w:rsidP="004D405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&gt;1.5 </w:t>
      </w:r>
    </w:p>
    <w:p w14:paraId="7488EB6A" w14:textId="77777777" w:rsidR="004D405C" w:rsidRPr="004D405C" w:rsidRDefault="004D405C" w:rsidP="004D405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Free Cash Flow </w:t>
      </w:r>
    </w:p>
    <w:p w14:paraId="43BC308D" w14:textId="77777777" w:rsidR="004D405C" w:rsidRPr="004D405C" w:rsidRDefault="004D405C" w:rsidP="004D405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Strong Operating Cash Flow </w:t>
      </w:r>
    </w:p>
    <w:p w14:paraId="259F728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Bearish Confirmation</w:t>
      </w:r>
    </w:p>
    <w:p w14:paraId="70FA898D" w14:textId="77777777" w:rsidR="004D405C" w:rsidRPr="004D405C" w:rsidRDefault="004D405C" w:rsidP="004D405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&lt;1.0 </w:t>
      </w:r>
    </w:p>
    <w:p w14:paraId="567BC980" w14:textId="77777777" w:rsidR="004D405C" w:rsidRPr="004D405C" w:rsidRDefault="004D405C" w:rsidP="004D405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Negative Free Cash Flow </w:t>
      </w:r>
    </w:p>
    <w:p w14:paraId="65EE274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Display Priority</w:t>
      </w:r>
    </w:p>
    <w:p w14:paraId="7C65278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w:t>
      </w:r>
    </w:p>
    <w:p w14:paraId="4FAA5F5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pict w14:anchorId="789CB7E7">
          <v:rect id="_x0000_i1520" style="width:0;height:1.5pt" o:hralign="center" o:hrstd="t" o:hr="t" fillcolor="#a0a0a0" stroked="f"/>
        </w:pict>
      </w:r>
    </w:p>
    <w:p w14:paraId="5618DC8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17. Praxis Recommendation</w:t>
      </w:r>
    </w:p>
    <w:p w14:paraId="12D1294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should serve as the </w:t>
      </w:r>
      <w:r w:rsidRPr="004D405C">
        <w:rPr>
          <w:rFonts w:ascii="Times New Roman" w:eastAsia="Times New Roman" w:hAnsi="Times New Roman" w:cs="Times New Roman"/>
          <w:b/>
          <w:bCs/>
          <w:sz w:val="24"/>
          <w:szCs w:val="24"/>
        </w:rPr>
        <w:t>liquidity indicator</w:t>
      </w:r>
      <w:r w:rsidRPr="004D405C">
        <w:rPr>
          <w:rFonts w:ascii="Times New Roman" w:eastAsia="Times New Roman" w:hAnsi="Times New Roman" w:cs="Times New Roman"/>
          <w:sz w:val="24"/>
          <w:szCs w:val="24"/>
        </w:rPr>
        <w:t xml:space="preserve"> within the Financial Health category.</w:t>
      </w:r>
    </w:p>
    <w:p w14:paraId="7D290A1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Financial Health Hierarchy</w:t>
      </w:r>
    </w:p>
    <w:p w14:paraId="2A740B63" w14:textId="77777777" w:rsidR="004D405C" w:rsidRPr="004D405C" w:rsidRDefault="004D405C" w:rsidP="004D405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Debt to Equity Ratio </w:t>
      </w:r>
    </w:p>
    <w:p w14:paraId="40E5AD4E" w14:textId="77777777" w:rsidR="004D405C" w:rsidRPr="004D405C" w:rsidRDefault="004D405C" w:rsidP="004D405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Interest Coverage </w:t>
      </w:r>
    </w:p>
    <w:p w14:paraId="46366918" w14:textId="77777777" w:rsidR="004D405C" w:rsidRPr="004D405C" w:rsidRDefault="004D405C" w:rsidP="004D405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Free Cash Flow </w:t>
      </w:r>
    </w:p>
    <w:p w14:paraId="306A9CCE" w14:textId="77777777" w:rsidR="004D405C" w:rsidRPr="004D405C" w:rsidRDefault="004D405C" w:rsidP="004D405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Current Ratio </w:t>
      </w:r>
    </w:p>
    <w:p w14:paraId="050E519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Engine Rules</w:t>
      </w:r>
    </w:p>
    <w:p w14:paraId="115C1380" w14:textId="77777777" w:rsidR="004D405C" w:rsidRPr="004D405C" w:rsidRDefault="004D405C" w:rsidP="004D405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&gt;1.5 + Positive Free Cash Flow → Increase Financial Health Score. </w:t>
      </w:r>
    </w:p>
    <w:p w14:paraId="1464D797" w14:textId="77777777" w:rsidR="004D405C" w:rsidRPr="004D405C" w:rsidRDefault="004D405C" w:rsidP="004D405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Improving Current Ratio over multiple quarters → Increase Fundamentals confidence. </w:t>
      </w:r>
    </w:p>
    <w:p w14:paraId="7BAF7745" w14:textId="77777777" w:rsidR="004D405C" w:rsidRPr="004D405C" w:rsidRDefault="004D405C" w:rsidP="004D405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&lt;1.0 + Negative Operating Cash Flow → Reduce Financial Health Score. </w:t>
      </w:r>
    </w:p>
    <w:p w14:paraId="157F93D8" w14:textId="77777777" w:rsidR="004D405C" w:rsidRPr="004D405C" w:rsidRDefault="004D405C" w:rsidP="004D405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Extremely high Current Ratio (&gt;3.0) should not automatically increase the score; flag it for potential working capital inefficiency. </w:t>
      </w:r>
    </w:p>
    <w:p w14:paraId="5A579005" w14:textId="0EB19D06" w:rsid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Ratio should strengthen the </w:t>
      </w:r>
      <w:r w:rsidRPr="004D405C">
        <w:rPr>
          <w:rFonts w:ascii="Times New Roman" w:eastAsia="Times New Roman" w:hAnsi="Times New Roman" w:cs="Times New Roman"/>
          <w:b/>
          <w:bCs/>
          <w:sz w:val="24"/>
          <w:szCs w:val="24"/>
        </w:rPr>
        <w:t>Financial Health Score</w:t>
      </w:r>
      <w:r w:rsidRPr="004D405C">
        <w:rPr>
          <w:rFonts w:ascii="Times New Roman" w:eastAsia="Times New Roman" w:hAnsi="Times New Roman" w:cs="Times New Roman"/>
          <w:sz w:val="24"/>
          <w:szCs w:val="24"/>
        </w:rPr>
        <w:t xml:space="preserve"> by evaluating short-term liquidity and should be interpreted alongside Debt to Equity, Interest Coverage, and Free Cash Flow to provide a balanced assessment of the company's financial stability.</w:t>
      </w:r>
    </w:p>
    <w:p w14:paraId="4EE19DEF" w14:textId="4074C0DA"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A173BAB" w14:textId="4858EC1B"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666B19C" w14:textId="7CB8736D"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4B3120EC" w14:textId="36C8CF2F"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0C1028F" w14:textId="178C028A"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714A32C2" w14:textId="468A3962"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FC836A6" w14:textId="7EE5542B"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EDAFBF8" w14:textId="77777777" w:rsidR="00E11FEB" w:rsidRPr="004D405C"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0495217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D405C">
        <w:rPr>
          <w:rFonts w:ascii="Times New Roman" w:eastAsia="Times New Roman" w:hAnsi="Times New Roman" w:cs="Times New Roman"/>
          <w:b/>
          <w:bCs/>
          <w:color w:val="FF0000"/>
          <w:kern w:val="36"/>
          <w:sz w:val="48"/>
          <w:szCs w:val="48"/>
        </w:rPr>
        <w:lastRenderedPageBreak/>
        <w:t>17. Market Cap to GDP Ratio (Buffett Indicator)</w:t>
      </w:r>
    </w:p>
    <w:p w14:paraId="68307F9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Market Health</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Status:</w:t>
      </w:r>
      <w:r w:rsidRPr="004D405C">
        <w:rPr>
          <w:rFonts w:ascii="Times New Roman" w:eastAsia="Times New Roman" w:hAnsi="Times New Roman" w:cs="Times New Roman"/>
          <w:sz w:val="24"/>
          <w:szCs w:val="24"/>
        </w:rPr>
        <w:t xml:space="preserve"> Production Ready</w:t>
      </w:r>
    </w:p>
    <w:p w14:paraId="279C46CF" w14:textId="77777777" w:rsidR="004D405C" w:rsidRPr="004D405C" w:rsidRDefault="004D405C" w:rsidP="004D405C">
      <w:pPr>
        <w:spacing w:before="100" w:beforeAutospacing="1" w:after="100" w:afterAutospacing="1" w:line="240" w:lineRule="auto"/>
        <w:outlineLvl w:val="1"/>
        <w:rPr>
          <w:rFonts w:ascii="Times New Roman" w:eastAsia="Times New Roman" w:hAnsi="Times New Roman" w:cs="Times New Roman"/>
          <w:b/>
          <w:bCs/>
          <w:sz w:val="36"/>
          <w:szCs w:val="36"/>
        </w:rPr>
      </w:pPr>
      <w:r w:rsidRPr="004D405C">
        <w:rPr>
          <w:rFonts w:ascii="Times New Roman" w:eastAsia="Times New Roman" w:hAnsi="Times New Roman" w:cs="Times New Roman"/>
          <w:b/>
          <w:bCs/>
          <w:sz w:val="36"/>
          <w:szCs w:val="36"/>
        </w:rPr>
        <w:t>1. Overview</w:t>
      </w:r>
    </w:p>
    <w:p w14:paraId="3155437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Name:</w:t>
      </w:r>
      <w:r w:rsidRPr="004D405C">
        <w:rPr>
          <w:rFonts w:ascii="Times New Roman" w:eastAsia="Times New Roman" w:hAnsi="Times New Roman" w:cs="Times New Roman"/>
          <w:sz w:val="24"/>
          <w:szCs w:val="24"/>
        </w:rPr>
        <w:t xml:space="preserve"> Market Cap to GDP Ratio</w:t>
      </w:r>
    </w:p>
    <w:p w14:paraId="2F095AD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Short Name:</w:t>
      </w:r>
      <w:r w:rsidRPr="004D405C">
        <w:rPr>
          <w:rFonts w:ascii="Times New Roman" w:eastAsia="Times New Roman" w:hAnsi="Times New Roman" w:cs="Times New Roman"/>
          <w:sz w:val="24"/>
          <w:szCs w:val="24"/>
        </w:rPr>
        <w:t xml:space="preserve"> MC/GDP</w:t>
      </w:r>
    </w:p>
    <w:p w14:paraId="14EF79B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p>
    <w:p w14:paraId="421D72D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Market Health</w:t>
      </w:r>
    </w:p>
    <w:p w14:paraId="7ECB8AA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Purpose:</w:t>
      </w:r>
    </w:p>
    <w:p w14:paraId="61922B3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the total stock market valuation relative to the size of the economy. Commonly known as the </w:t>
      </w:r>
      <w:r w:rsidRPr="004D405C">
        <w:rPr>
          <w:rFonts w:ascii="Times New Roman" w:eastAsia="Times New Roman" w:hAnsi="Times New Roman" w:cs="Times New Roman"/>
          <w:b/>
          <w:bCs/>
          <w:sz w:val="24"/>
          <w:szCs w:val="24"/>
        </w:rPr>
        <w:t>Buffett Indicator</w:t>
      </w:r>
      <w:r w:rsidRPr="004D405C">
        <w:rPr>
          <w:rFonts w:ascii="Times New Roman" w:eastAsia="Times New Roman" w:hAnsi="Times New Roman" w:cs="Times New Roman"/>
          <w:sz w:val="24"/>
          <w:szCs w:val="24"/>
        </w:rPr>
        <w:t>, it helps determine whether the overall market is undervalued or overvalued over the long term.</w:t>
      </w:r>
    </w:p>
    <w:p w14:paraId="3F919A9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Based On:</w:t>
      </w:r>
    </w:p>
    <w:p w14:paraId="4FE4DEC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Total Market Capitalization and Nominal GDP</w:t>
      </w:r>
    </w:p>
    <w:p w14:paraId="1A44956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Importance:</w:t>
      </w:r>
    </w:p>
    <w:p w14:paraId="5423461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(Core Market Valuation Indicator)</w:t>
      </w:r>
    </w:p>
    <w:p w14:paraId="68458FE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Auto / Manual:</w:t>
      </w:r>
    </w:p>
    <w:p w14:paraId="4FADF0F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Manual (V1)</w:t>
      </w:r>
    </w:p>
    <w:p w14:paraId="5F03584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 Frequency:</w:t>
      </w:r>
    </w:p>
    <w:p w14:paraId="1E5F70D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Quarterly (or whenever official GDP or Market Capitalization data is updated)</w:t>
      </w:r>
    </w:p>
    <w:p w14:paraId="4E79C7E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Praxis Note:</w:t>
      </w:r>
    </w:p>
    <w:p w14:paraId="30F66E7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Market Cap to GDP is a long-term valuation indicator. It should never be used for short-term market timing and should always be interpreted alongside PE Ratio and Earnings Yield.</w:t>
      </w:r>
    </w:p>
    <w:p w14:paraId="78F88FA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pict w14:anchorId="27231B7A">
          <v:rect id="_x0000_i1537" style="width:0;height:1.5pt" o:hralign="center" o:hrstd="t" o:hr="t" fillcolor="#a0a0a0" stroked="f"/>
        </w:pict>
      </w:r>
    </w:p>
    <w:p w14:paraId="72AB5A3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2. Data Requirements</w:t>
      </w:r>
    </w:p>
    <w:p w14:paraId="32B02547"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Required Data</w:t>
      </w:r>
    </w:p>
    <w:p w14:paraId="2A92EB09" w14:textId="77777777" w:rsidR="004D405C" w:rsidRPr="004D405C" w:rsidRDefault="004D405C" w:rsidP="004D405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Total Indian Market Capitalization </w:t>
      </w:r>
    </w:p>
    <w:p w14:paraId="614F94BB" w14:textId="77777777" w:rsidR="004D405C" w:rsidRPr="004D405C" w:rsidRDefault="004D405C" w:rsidP="004D405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Nominal GDP </w:t>
      </w:r>
    </w:p>
    <w:p w14:paraId="4509A951" w14:textId="77777777" w:rsidR="004D405C" w:rsidRPr="004D405C" w:rsidRDefault="004D405C" w:rsidP="004D405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Market Cap to GDP Ratio </w:t>
      </w:r>
    </w:p>
    <w:p w14:paraId="1EB16B09" w14:textId="77777777" w:rsidR="004D405C" w:rsidRPr="004D405C" w:rsidRDefault="004D405C" w:rsidP="004D405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Market Cap to GDP Ratio </w:t>
      </w:r>
    </w:p>
    <w:p w14:paraId="1763ED3F"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Minimum Historical Data</w:t>
      </w:r>
    </w:p>
    <w:p w14:paraId="6F914D7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Years</w:t>
      </w:r>
    </w:p>
    <w:p w14:paraId="3455EEA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Recommended:</w:t>
      </w:r>
    </w:p>
    <w:p w14:paraId="5FB1527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Years</w:t>
      </w:r>
    </w:p>
    <w:p w14:paraId="30B551E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Primary Source</w:t>
      </w:r>
    </w:p>
    <w:p w14:paraId="37131CD9" w14:textId="77777777" w:rsidR="004D405C" w:rsidRPr="004D405C" w:rsidRDefault="004D405C" w:rsidP="004D405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w:t>
      </w:r>
    </w:p>
    <w:p w14:paraId="73469130" w14:textId="77777777" w:rsidR="004D405C" w:rsidRPr="004D405C" w:rsidRDefault="004D405C" w:rsidP="004D405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BSE </w:t>
      </w:r>
    </w:p>
    <w:p w14:paraId="753CCEE7" w14:textId="77777777" w:rsidR="004D405C" w:rsidRPr="004D405C" w:rsidRDefault="004D405C" w:rsidP="004D405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RBI </w:t>
      </w:r>
    </w:p>
    <w:p w14:paraId="38DA667C" w14:textId="77777777" w:rsidR="004D405C" w:rsidRPr="004D405C" w:rsidRDefault="004D405C" w:rsidP="004D405C">
      <w:pPr>
        <w:numPr>
          <w:ilvl w:val="0"/>
          <w:numId w:val="210"/>
        </w:num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sz w:val="24"/>
          <w:szCs w:val="24"/>
        </w:rPr>
        <w:t>MoSPI</w:t>
      </w:r>
      <w:proofErr w:type="spellEnd"/>
      <w:r w:rsidRPr="004D405C">
        <w:rPr>
          <w:rFonts w:ascii="Times New Roman" w:eastAsia="Times New Roman" w:hAnsi="Times New Roman" w:cs="Times New Roman"/>
          <w:sz w:val="24"/>
          <w:szCs w:val="24"/>
        </w:rPr>
        <w:t xml:space="preserve"> </w:t>
      </w:r>
    </w:p>
    <w:p w14:paraId="2D9A728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8E1EA7F">
          <v:rect id="_x0000_i1538" style="width:0;height:1.5pt" o:hralign="center" o:hrstd="t" o:hr="t" fillcolor="#a0a0a0" stroked="f"/>
        </w:pict>
      </w:r>
    </w:p>
    <w:p w14:paraId="192933FD"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3. Industry Standard Calculation</w:t>
      </w:r>
    </w:p>
    <w:p w14:paraId="5CBC1D31"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Formula</w:t>
      </w:r>
    </w:p>
    <w:p w14:paraId="37B8C80E"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Market Cap to GDP (%) =</w:t>
      </w:r>
    </w:p>
    <w:p w14:paraId="46DF801A"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(Total Market Capitalization ÷ Nominal GDP) × 100</w:t>
      </w:r>
    </w:p>
    <w:p w14:paraId="0742361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Implementation Steps</w:t>
      </w:r>
    </w:p>
    <w:p w14:paraId="1221151A" w14:textId="77777777" w:rsidR="004D405C" w:rsidRPr="004D405C" w:rsidRDefault="004D405C" w:rsidP="004D405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Total Indian Market Capitalization. </w:t>
      </w:r>
    </w:p>
    <w:p w14:paraId="1A3341A4" w14:textId="77777777" w:rsidR="004D405C" w:rsidRPr="004D405C" w:rsidRDefault="004D405C" w:rsidP="004D405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latest Nominal GDP. </w:t>
      </w:r>
    </w:p>
    <w:p w14:paraId="3B69F716" w14:textId="77777777" w:rsidR="004D405C" w:rsidRPr="004D405C" w:rsidRDefault="004D405C" w:rsidP="004D405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Calculate the Market Cap to GDP Ratio. </w:t>
      </w:r>
    </w:p>
    <w:p w14:paraId="6B38DDE8" w14:textId="77777777" w:rsidR="004D405C" w:rsidRPr="004D405C" w:rsidRDefault="004D405C" w:rsidP="004D405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 with historical averages. </w:t>
      </w:r>
    </w:p>
    <w:p w14:paraId="7FA60217" w14:textId="77777777" w:rsidR="004D405C" w:rsidRPr="004D405C" w:rsidRDefault="004D405C" w:rsidP="004D405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Generate the Market Health Score. </w:t>
      </w:r>
    </w:p>
    <w:p w14:paraId="1EAB3374"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28E1AFCD" w14:textId="77777777" w:rsidR="004D405C" w:rsidRPr="004D405C" w:rsidRDefault="004D405C" w:rsidP="004D405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Use </w:t>
      </w:r>
      <w:r w:rsidRPr="004D405C">
        <w:rPr>
          <w:rFonts w:ascii="Times New Roman" w:eastAsia="Times New Roman" w:hAnsi="Times New Roman" w:cs="Times New Roman"/>
          <w:b/>
          <w:bCs/>
          <w:sz w:val="24"/>
          <w:szCs w:val="24"/>
        </w:rPr>
        <w:t>Nominal GDP</w:t>
      </w:r>
      <w:r w:rsidRPr="004D405C">
        <w:rPr>
          <w:rFonts w:ascii="Times New Roman" w:eastAsia="Times New Roman" w:hAnsi="Times New Roman" w:cs="Times New Roman"/>
          <w:sz w:val="24"/>
          <w:szCs w:val="24"/>
        </w:rPr>
        <w:t xml:space="preserve">, not Real GDP. </w:t>
      </w:r>
    </w:p>
    <w:p w14:paraId="752209F6" w14:textId="77777777" w:rsidR="004D405C" w:rsidRPr="004D405C" w:rsidRDefault="004D405C" w:rsidP="004D405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Include the total listed Indian equity market capitalization. </w:t>
      </w:r>
    </w:p>
    <w:p w14:paraId="35E50EF0" w14:textId="77777777" w:rsidR="004D405C" w:rsidRPr="004D405C" w:rsidRDefault="004D405C" w:rsidP="004D405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 against historical valuation ranges rather than fixed values alone. </w:t>
      </w:r>
    </w:p>
    <w:p w14:paraId="2F7AEEA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DEDAF13">
          <v:rect id="_x0000_i1539" style="width:0;height:1.5pt" o:hralign="center" o:hrstd="t" o:hr="t" fillcolor="#a0a0a0" stroked="f"/>
        </w:pict>
      </w:r>
    </w:p>
    <w:p w14:paraId="1A22FC07"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4. Card Fields</w:t>
      </w:r>
    </w:p>
    <w:p w14:paraId="4B2B4D3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Value</w:t>
      </w:r>
    </w:p>
    <w:p w14:paraId="573E2B6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Market Cap to GDP (%)</w:t>
      </w:r>
    </w:p>
    <w:p w14:paraId="07148C0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Market Capitalization</w:t>
      </w:r>
    </w:p>
    <w:p w14:paraId="3A4DA2F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Total Listed Market Cap</w:t>
      </w:r>
    </w:p>
    <w:p w14:paraId="4F70D7A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GDP</w:t>
      </w:r>
    </w:p>
    <w:p w14:paraId="370F302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Latest Nominal GDP</w:t>
      </w:r>
    </w:p>
    <w:p w14:paraId="5CB6873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Score</w:t>
      </w:r>
    </w:p>
    <w:p w14:paraId="616DC39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0–100</w:t>
      </w:r>
    </w:p>
    <w:p w14:paraId="4AF5285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Bias</w:t>
      </w:r>
    </w:p>
    <w:p w14:paraId="3A1932B9" w14:textId="77777777" w:rsidR="004D405C" w:rsidRPr="004D405C" w:rsidRDefault="004D405C" w:rsidP="004D405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Bullish </w:t>
      </w:r>
    </w:p>
    <w:p w14:paraId="73BBC7FC" w14:textId="77777777" w:rsidR="004D405C" w:rsidRPr="004D405C" w:rsidRDefault="004D405C" w:rsidP="004D405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Neutral </w:t>
      </w:r>
    </w:p>
    <w:p w14:paraId="05F3F427" w14:textId="77777777" w:rsidR="004D405C" w:rsidRPr="004D405C" w:rsidRDefault="004D405C" w:rsidP="004D405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Bearish </w:t>
      </w:r>
    </w:p>
    <w:p w14:paraId="7AEA3B5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Confidence</w:t>
      </w:r>
    </w:p>
    <w:p w14:paraId="06F30A7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Market Health Confidence</w:t>
      </w:r>
    </w:p>
    <w:p w14:paraId="34E44D8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Impact Weight</w:t>
      </w:r>
    </w:p>
    <w:p w14:paraId="357EB13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5860A8C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2625ACD">
          <v:rect id="_x0000_i1540" style="width:0;height:1.5pt" o:hralign="center" o:hrstd="t" o:hr="t" fillcolor="#a0a0a0" stroked="f"/>
        </w:pict>
      </w:r>
    </w:p>
    <w:p w14:paraId="0F36A29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634"/>
        <w:gridCol w:w="1509"/>
      </w:tblGrid>
      <w:tr w:rsidR="004D405C" w:rsidRPr="004D405C" w14:paraId="33A88441" w14:textId="77777777" w:rsidTr="004D405C">
        <w:trPr>
          <w:tblHeader/>
          <w:tblCellSpacing w:w="15" w:type="dxa"/>
        </w:trPr>
        <w:tc>
          <w:tcPr>
            <w:tcW w:w="0" w:type="auto"/>
            <w:vAlign w:val="center"/>
            <w:hideMark/>
          </w:tcPr>
          <w:p w14:paraId="3E078631"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Market Cap / GDP</w:t>
            </w:r>
          </w:p>
        </w:tc>
        <w:tc>
          <w:tcPr>
            <w:tcW w:w="0" w:type="auto"/>
            <w:vAlign w:val="center"/>
            <w:hideMark/>
          </w:tcPr>
          <w:p w14:paraId="41B3E6C2"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Score</w:t>
            </w:r>
          </w:p>
        </w:tc>
        <w:tc>
          <w:tcPr>
            <w:tcW w:w="0" w:type="auto"/>
            <w:vAlign w:val="center"/>
            <w:hideMark/>
          </w:tcPr>
          <w:p w14:paraId="2DA87BF7"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Bias</w:t>
            </w:r>
          </w:p>
        </w:tc>
      </w:tr>
      <w:tr w:rsidR="004D405C" w:rsidRPr="004D405C" w14:paraId="49006DEF" w14:textId="77777777" w:rsidTr="004D405C">
        <w:trPr>
          <w:tblCellSpacing w:w="15" w:type="dxa"/>
        </w:trPr>
        <w:tc>
          <w:tcPr>
            <w:tcW w:w="0" w:type="auto"/>
            <w:vAlign w:val="center"/>
            <w:hideMark/>
          </w:tcPr>
          <w:p w14:paraId="62E67D1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&lt;80%</w:t>
            </w:r>
          </w:p>
        </w:tc>
        <w:tc>
          <w:tcPr>
            <w:tcW w:w="0" w:type="auto"/>
            <w:vAlign w:val="center"/>
            <w:hideMark/>
          </w:tcPr>
          <w:p w14:paraId="3F58CBA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tc>
        <w:tc>
          <w:tcPr>
            <w:tcW w:w="0" w:type="auto"/>
            <w:vAlign w:val="center"/>
            <w:hideMark/>
          </w:tcPr>
          <w:p w14:paraId="4C8943F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Bullish</w:t>
            </w:r>
          </w:p>
        </w:tc>
      </w:tr>
      <w:tr w:rsidR="004D405C" w:rsidRPr="004D405C" w14:paraId="1E20B8B0" w14:textId="77777777" w:rsidTr="004D405C">
        <w:trPr>
          <w:tblCellSpacing w:w="15" w:type="dxa"/>
        </w:trPr>
        <w:tc>
          <w:tcPr>
            <w:tcW w:w="0" w:type="auto"/>
            <w:vAlign w:val="center"/>
            <w:hideMark/>
          </w:tcPr>
          <w:p w14:paraId="30864D8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80–100%</w:t>
            </w:r>
          </w:p>
        </w:tc>
        <w:tc>
          <w:tcPr>
            <w:tcW w:w="0" w:type="auto"/>
            <w:vAlign w:val="center"/>
            <w:hideMark/>
          </w:tcPr>
          <w:p w14:paraId="2B5A115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82</w:t>
            </w:r>
          </w:p>
        </w:tc>
        <w:tc>
          <w:tcPr>
            <w:tcW w:w="0" w:type="auto"/>
            <w:vAlign w:val="center"/>
            <w:hideMark/>
          </w:tcPr>
          <w:p w14:paraId="3958C8E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tc>
      </w:tr>
      <w:tr w:rsidR="004D405C" w:rsidRPr="004D405C" w14:paraId="06EA5A34" w14:textId="77777777" w:rsidTr="004D405C">
        <w:trPr>
          <w:tblCellSpacing w:w="15" w:type="dxa"/>
        </w:trPr>
        <w:tc>
          <w:tcPr>
            <w:tcW w:w="0" w:type="auto"/>
            <w:vAlign w:val="center"/>
            <w:hideMark/>
          </w:tcPr>
          <w:p w14:paraId="6859FF3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100–120%</w:t>
            </w:r>
          </w:p>
        </w:tc>
        <w:tc>
          <w:tcPr>
            <w:tcW w:w="0" w:type="auto"/>
            <w:vAlign w:val="center"/>
            <w:hideMark/>
          </w:tcPr>
          <w:p w14:paraId="5F9FF10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tc>
        <w:tc>
          <w:tcPr>
            <w:tcW w:w="0" w:type="auto"/>
            <w:vAlign w:val="center"/>
            <w:hideMark/>
          </w:tcPr>
          <w:p w14:paraId="15EED83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tc>
      </w:tr>
      <w:tr w:rsidR="004D405C" w:rsidRPr="004D405C" w14:paraId="402086CD" w14:textId="77777777" w:rsidTr="004D405C">
        <w:trPr>
          <w:tblCellSpacing w:w="15" w:type="dxa"/>
        </w:trPr>
        <w:tc>
          <w:tcPr>
            <w:tcW w:w="0" w:type="auto"/>
            <w:vAlign w:val="center"/>
            <w:hideMark/>
          </w:tcPr>
          <w:p w14:paraId="67933FA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120–150%</w:t>
            </w:r>
          </w:p>
        </w:tc>
        <w:tc>
          <w:tcPr>
            <w:tcW w:w="0" w:type="auto"/>
            <w:vAlign w:val="center"/>
            <w:hideMark/>
          </w:tcPr>
          <w:p w14:paraId="16FDBD7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w:t>
            </w:r>
          </w:p>
        </w:tc>
        <w:tc>
          <w:tcPr>
            <w:tcW w:w="0" w:type="auto"/>
            <w:vAlign w:val="center"/>
            <w:hideMark/>
          </w:tcPr>
          <w:p w14:paraId="1F594E6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tc>
      </w:tr>
      <w:tr w:rsidR="004D405C" w:rsidRPr="004D405C" w14:paraId="526DF36E" w14:textId="77777777" w:rsidTr="004D405C">
        <w:trPr>
          <w:tblCellSpacing w:w="15" w:type="dxa"/>
        </w:trPr>
        <w:tc>
          <w:tcPr>
            <w:tcW w:w="0" w:type="auto"/>
            <w:vAlign w:val="center"/>
            <w:hideMark/>
          </w:tcPr>
          <w:p w14:paraId="3AE03CB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&gt;150%</w:t>
            </w:r>
          </w:p>
        </w:tc>
        <w:tc>
          <w:tcPr>
            <w:tcW w:w="0" w:type="auto"/>
            <w:vAlign w:val="center"/>
            <w:hideMark/>
          </w:tcPr>
          <w:p w14:paraId="478614F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w:t>
            </w:r>
          </w:p>
        </w:tc>
        <w:tc>
          <w:tcPr>
            <w:tcW w:w="0" w:type="auto"/>
            <w:vAlign w:val="center"/>
            <w:hideMark/>
          </w:tcPr>
          <w:p w14:paraId="7DDE40E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tc>
      </w:tr>
    </w:tbl>
    <w:p w14:paraId="5F209E4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0165B390" w14:textId="77777777" w:rsidR="004D405C" w:rsidRPr="004D405C" w:rsidRDefault="004D405C" w:rsidP="004D405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Lower ratios generally indicate attractive market valuations. </w:t>
      </w:r>
    </w:p>
    <w:p w14:paraId="35A648A5" w14:textId="77777777" w:rsidR="004D405C" w:rsidRPr="004D405C" w:rsidRDefault="004D405C" w:rsidP="004D405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Very high ratios suggest markets may be priced ahead of economic growth. </w:t>
      </w:r>
    </w:p>
    <w:p w14:paraId="473DB7A9" w14:textId="77777777" w:rsidR="004D405C" w:rsidRPr="004D405C" w:rsidRDefault="004D405C" w:rsidP="004D405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comparison should take precedence over fixed thresholds. </w:t>
      </w:r>
    </w:p>
    <w:p w14:paraId="25BBABE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242175C">
          <v:rect id="_x0000_i1541" style="width:0;height:1.5pt" o:hralign="center" o:hrstd="t" o:hr="t" fillcolor="#a0a0a0" stroked="f"/>
        </w:pict>
      </w:r>
    </w:p>
    <w:p w14:paraId="2BBEB12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6. Bias Rules</w:t>
      </w:r>
    </w:p>
    <w:p w14:paraId="4D9E34A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Ratio Below 100%</w:t>
      </w:r>
    </w:p>
    <w:p w14:paraId="4955BEB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p w14:paraId="798204C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Ratio Between 100%–120%</w:t>
      </w:r>
    </w:p>
    <w:p w14:paraId="0BFD92F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p w14:paraId="19FBFDC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Ratio Above 120%</w:t>
      </w:r>
    </w:p>
    <w:p w14:paraId="7342776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p w14:paraId="57EC98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Ratio Above 150%</w:t>
      </w:r>
    </w:p>
    <w:p w14:paraId="2A958D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p w14:paraId="4663FFF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C86D056">
          <v:rect id="_x0000_i1542" style="width:0;height:1.5pt" o:hralign="center" o:hrstd="t" o:hr="t" fillcolor="#a0a0a0" stroked="f"/>
        </w:pict>
      </w:r>
    </w:p>
    <w:p w14:paraId="0560555F"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7. Confidence Logic</w:t>
      </w:r>
    </w:p>
    <w:p w14:paraId="5BB7C36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 Confidence</w:t>
      </w:r>
    </w:p>
    <w:p w14:paraId="33D102F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90%</w:t>
      </w:r>
    </w:p>
    <w:p w14:paraId="746C8E4E"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Increase Confidence</w:t>
      </w:r>
    </w:p>
    <w:p w14:paraId="039C43D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Official GDP release</w:t>
      </w:r>
    </w:p>
    <w:p w14:paraId="1CE3728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+5% Official Market Cap data</w:t>
      </w:r>
    </w:p>
    <w:p w14:paraId="5CADCD08"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Decrease Confidence</w:t>
      </w:r>
    </w:p>
    <w:p w14:paraId="129F8EE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Manual entry</w:t>
      </w:r>
    </w:p>
    <w:p w14:paraId="0E39724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Preliminary GDP estimate</w:t>
      </w:r>
    </w:p>
    <w:p w14:paraId="4CE2098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1693491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70%</w:t>
      </w:r>
    </w:p>
    <w:p w14:paraId="2B66FBA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28D0ED6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99%</w:t>
      </w:r>
    </w:p>
    <w:p w14:paraId="7230DAB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AF3284B">
          <v:rect id="_x0000_i1543" style="width:0;height:1.5pt" o:hralign="center" o:hrstd="t" o:hr="t" fillcolor="#a0a0a0" stroked="f"/>
        </w:pict>
      </w:r>
    </w:p>
    <w:p w14:paraId="57447FB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8. Score Range Bar</w:t>
      </w:r>
    </w:p>
    <w:p w14:paraId="79E38D0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29A63CA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w:t>
      </w:r>
    </w:p>
    <w:p w14:paraId="6972B1D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701E05C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w:t>
      </w:r>
    </w:p>
    <w:p w14:paraId="4AD1BB9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Pointer</w:t>
      </w:r>
    </w:p>
    <w:p w14:paraId="6B15ED7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Score</w:t>
      </w:r>
    </w:p>
    <w:p w14:paraId="4343B9C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Average Marker</w:t>
      </w:r>
    </w:p>
    <w:p w14:paraId="183A24E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1-Year Average Score</w:t>
      </w:r>
    </w:p>
    <w:p w14:paraId="09A6EBE5"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Color Zones</w:t>
      </w:r>
    </w:p>
    <w:p w14:paraId="63B45D3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 → Overvalued</w:t>
      </w:r>
    </w:p>
    <w:p w14:paraId="196933E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30–60 → Expensive</w:t>
      </w:r>
    </w:p>
    <w:p w14:paraId="73F97A8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60–80 → Fair Value</w:t>
      </w:r>
    </w:p>
    <w:p w14:paraId="44DED48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80–100 → Attractive</w:t>
      </w:r>
    </w:p>
    <w:p w14:paraId="338B20B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pict w14:anchorId="4D5D8FCD">
          <v:rect id="_x0000_i1544" style="width:0;height:1.5pt" o:hralign="center" o:hrstd="t" o:hr="t" fillcolor="#a0a0a0" stroked="f"/>
        </w:pict>
      </w:r>
    </w:p>
    <w:p w14:paraId="7B73141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9. Dual Trend Chart</w:t>
      </w:r>
    </w:p>
    <w:p w14:paraId="08D6FA7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Chart Type</w:t>
      </w:r>
    </w:p>
    <w:p w14:paraId="3A52A88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Dual Line</w:t>
      </w:r>
    </w:p>
    <w:p w14:paraId="101816F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1</w:t>
      </w:r>
    </w:p>
    <w:p w14:paraId="0735C5F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Market Cap to GDP Ratio</w:t>
      </w:r>
    </w:p>
    <w:p w14:paraId="34F966F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2</w:t>
      </w:r>
    </w:p>
    <w:p w14:paraId="5EEF9BF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Praxis Score</w:t>
      </w:r>
    </w:p>
    <w:p w14:paraId="29405B0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History</w:t>
      </w:r>
    </w:p>
    <w:p w14:paraId="24F204A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Last 5 Years</w:t>
      </w:r>
    </w:p>
    <w:p w14:paraId="73A82E1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w:t>
      </w:r>
    </w:p>
    <w:p w14:paraId="15FDED0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every GDP or Market Capitalization update.</w:t>
      </w:r>
    </w:p>
    <w:p w14:paraId="497AB49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9627B0D">
          <v:rect id="_x0000_i1545" style="width:0;height:1.5pt" o:hralign="center" o:hrstd="t" o:hr="t" fillcolor="#a0a0a0" stroked="f"/>
        </w:pict>
      </w:r>
    </w:p>
    <w:p w14:paraId="036F655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10. AI Insight Rules</w:t>
      </w:r>
    </w:p>
    <w:p w14:paraId="638F9BE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Ratio Below 80%</w:t>
      </w:r>
    </w:p>
    <w:p w14:paraId="175E1E2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overall market appears attractively valued relative to the economy.</w:t>
      </w:r>
    </w:p>
    <w:p w14:paraId="10B7A17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Ratio Between 80% and 120%</w:t>
      </w:r>
    </w:p>
    <w:p w14:paraId="6FB9861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market valuation remains broadly aligned with economic output.</w:t>
      </w:r>
    </w:p>
    <w:p w14:paraId="3B5A7EA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Ratio Between 120% and 150%</w:t>
      </w:r>
    </w:p>
    <w:p w14:paraId="19BA3D4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market valuations are elevated compared to the size of the economy.</w:t>
      </w:r>
    </w:p>
    <w:p w14:paraId="18CD16B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Ratio Above 150%</w:t>
      </w:r>
    </w:p>
    <w:p w14:paraId="0EEC7EF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market appears historically expensive and may carry elevated valuation risk.</w:t>
      </w:r>
    </w:p>
    <w:p w14:paraId="21CF64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lastRenderedPageBreak/>
        <w:t>Low Confidence</w:t>
      </w:r>
    </w:p>
    <w:p w14:paraId="2C40374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Mention that delayed macroeconomic data may reduce reliability.</w:t>
      </w:r>
    </w:p>
    <w:p w14:paraId="36946B1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2175173">
          <v:rect id="_x0000_i1546" style="width:0;height:1.5pt" o:hralign="center" o:hrstd="t" o:hr="t" fillcolor="#a0a0a0" stroked="f"/>
        </w:pict>
      </w:r>
    </w:p>
    <w:p w14:paraId="76DE21B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11. Why It Matters</w:t>
      </w:r>
    </w:p>
    <w:p w14:paraId="42C0055B" w14:textId="77777777" w:rsidR="004D405C" w:rsidRPr="004D405C" w:rsidRDefault="004D405C" w:rsidP="004D405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overall market valuation. </w:t>
      </w:r>
    </w:p>
    <w:p w14:paraId="5B9A3D69" w14:textId="77777777" w:rsidR="004D405C" w:rsidRPr="004D405C" w:rsidRDefault="004D405C" w:rsidP="004D405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Compares stock market size with economic output. </w:t>
      </w:r>
    </w:p>
    <w:p w14:paraId="4732DEAE" w14:textId="77777777" w:rsidR="004D405C" w:rsidRPr="004D405C" w:rsidRDefault="004D405C" w:rsidP="004D405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Widely known as the Buffett Indicator. </w:t>
      </w:r>
    </w:p>
    <w:p w14:paraId="05958485" w14:textId="77777777" w:rsidR="004D405C" w:rsidRPr="004D405C" w:rsidRDefault="004D405C" w:rsidP="004D405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Helps identify long-term valuation extremes. </w:t>
      </w:r>
    </w:p>
    <w:p w14:paraId="5409847C" w14:textId="77777777" w:rsidR="004D405C" w:rsidRPr="004D405C" w:rsidRDefault="004D405C" w:rsidP="004D405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Provides macro-level investment context. </w:t>
      </w:r>
    </w:p>
    <w:p w14:paraId="0C2C5C4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39C9DAB">
          <v:rect id="_x0000_i1547" style="width:0;height:1.5pt" o:hralign="center" o:hrstd="t" o:hr="t" fillcolor="#a0a0a0" stroked="f"/>
        </w:pict>
      </w:r>
    </w:p>
    <w:p w14:paraId="1CDD7B8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12. Trading Impact</w:t>
      </w:r>
    </w:p>
    <w:p w14:paraId="77D861B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Intraday</w:t>
      </w:r>
    </w:p>
    <w:p w14:paraId="4329F03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p>
    <w:p w14:paraId="3AF0568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Swing Trading</w:t>
      </w:r>
    </w:p>
    <w:p w14:paraId="3135356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614E12D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Positional Trading</w:t>
      </w:r>
    </w:p>
    <w:p w14:paraId="0B34E5C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07607EF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Options Trading</w:t>
      </w:r>
    </w:p>
    <w:p w14:paraId="1BF41BA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7ED6BA6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Best Use</w:t>
      </w:r>
    </w:p>
    <w:p w14:paraId="0EB9D33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Long-term market valuation analysis.</w:t>
      </w:r>
    </w:p>
    <w:p w14:paraId="09E9B27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Avoid Using Alone</w:t>
      </w:r>
    </w:p>
    <w:p w14:paraId="65712B6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Yes</w:t>
      </w:r>
    </w:p>
    <w:p w14:paraId="419A8E3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A596A63">
          <v:rect id="_x0000_i1548" style="width:0;height:1.5pt" o:hralign="center" o:hrstd="t" o:hr="t" fillcolor="#a0a0a0" stroked="f"/>
        </w:pict>
      </w:r>
    </w:p>
    <w:p w14:paraId="614DD91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13. Supporting Indicators</w:t>
      </w:r>
    </w:p>
    <w:p w14:paraId="028E721F" w14:textId="77777777" w:rsidR="004D405C" w:rsidRPr="004D405C" w:rsidRDefault="004D405C" w:rsidP="004D405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PE Ratio </w:t>
      </w:r>
    </w:p>
    <w:p w14:paraId="2DBCC12A" w14:textId="77777777" w:rsidR="004D405C" w:rsidRPr="004D405C" w:rsidRDefault="004D405C" w:rsidP="004D405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Earnings Yield </w:t>
      </w:r>
    </w:p>
    <w:p w14:paraId="3D4B410D" w14:textId="77777777" w:rsidR="004D405C" w:rsidRPr="004D405C" w:rsidRDefault="004D405C" w:rsidP="004D405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GDP Growth </w:t>
      </w:r>
    </w:p>
    <w:p w14:paraId="0B0B6392" w14:textId="77777777" w:rsidR="004D405C" w:rsidRPr="004D405C" w:rsidRDefault="004D405C" w:rsidP="004D405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Forward PE </w:t>
      </w:r>
    </w:p>
    <w:p w14:paraId="4EF79554" w14:textId="77777777" w:rsidR="004D405C" w:rsidRPr="004D405C" w:rsidRDefault="004D405C" w:rsidP="004D405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FII/DII Flow </w:t>
      </w:r>
    </w:p>
    <w:p w14:paraId="0B28A7B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3531375">
          <v:rect id="_x0000_i1549" style="width:0;height:1.5pt" o:hralign="center" o:hrstd="t" o:hr="t" fillcolor="#a0a0a0" stroked="f"/>
        </w:pict>
      </w:r>
    </w:p>
    <w:p w14:paraId="31B5BB3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14. Metadata</w:t>
      </w:r>
    </w:p>
    <w:p w14:paraId="23DB1FB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Source</w:t>
      </w:r>
    </w:p>
    <w:p w14:paraId="285D86C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 BSE / RBI / </w:t>
      </w:r>
      <w:proofErr w:type="spellStart"/>
      <w:r w:rsidRPr="004D405C">
        <w:rPr>
          <w:rFonts w:ascii="Times New Roman" w:eastAsia="Times New Roman" w:hAnsi="Times New Roman" w:cs="Times New Roman"/>
          <w:sz w:val="24"/>
          <w:szCs w:val="24"/>
        </w:rPr>
        <w:t>MoSPI</w:t>
      </w:r>
      <w:proofErr w:type="spellEnd"/>
    </w:p>
    <w:p w14:paraId="27094AF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Calculation</w:t>
      </w:r>
    </w:p>
    <w:p w14:paraId="2A8D3C5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Backend</w:t>
      </w:r>
    </w:p>
    <w:p w14:paraId="0751D82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Updated</w:t>
      </w:r>
    </w:p>
    <w:p w14:paraId="69DE79F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Quarterly</w:t>
      </w:r>
    </w:p>
    <w:p w14:paraId="16F9766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b/>
          <w:bCs/>
          <w:sz w:val="24"/>
          <w:szCs w:val="24"/>
        </w:rPr>
        <w:t>Timezone</w:t>
      </w:r>
      <w:proofErr w:type="spellEnd"/>
    </w:p>
    <w:p w14:paraId="7B405BC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Asia/Kolkata</w:t>
      </w:r>
    </w:p>
    <w:p w14:paraId="6F0DE5F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Storage</w:t>
      </w:r>
    </w:p>
    <w:p w14:paraId="033D0F2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Local Electron Database</w:t>
      </w:r>
    </w:p>
    <w:p w14:paraId="587A0DF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51E51E2">
          <v:rect id="_x0000_i1550" style="width:0;height:1.5pt" o:hralign="center" o:hrstd="t" o:hr="t" fillcolor="#a0a0a0" stroked="f"/>
        </w:pict>
      </w:r>
    </w:p>
    <w:p w14:paraId="5D76F10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15. Developer Notes</w:t>
      </w:r>
    </w:p>
    <w:p w14:paraId="3708CB9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Store:</w:t>
      </w:r>
    </w:p>
    <w:p w14:paraId="677849D5" w14:textId="77777777" w:rsidR="004D405C" w:rsidRPr="004D405C" w:rsidRDefault="004D405C" w:rsidP="004D405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Market Cap to GDP Ratio </w:t>
      </w:r>
    </w:p>
    <w:p w14:paraId="0CB55DA1" w14:textId="77777777" w:rsidR="004D405C" w:rsidRPr="004D405C" w:rsidRDefault="004D405C" w:rsidP="004D405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Total Market Capitalization </w:t>
      </w:r>
    </w:p>
    <w:p w14:paraId="24D59686" w14:textId="77777777" w:rsidR="004D405C" w:rsidRPr="004D405C" w:rsidRDefault="004D405C" w:rsidP="004D405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Nominal GDP </w:t>
      </w:r>
    </w:p>
    <w:p w14:paraId="30FC4C87" w14:textId="77777777" w:rsidR="004D405C" w:rsidRPr="004D405C" w:rsidRDefault="004D405C" w:rsidP="004D405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Ratio </w:t>
      </w:r>
    </w:p>
    <w:p w14:paraId="5A109336" w14:textId="77777777" w:rsidR="004D405C" w:rsidRPr="004D405C" w:rsidRDefault="004D405C" w:rsidP="004D405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Score </w:t>
      </w:r>
    </w:p>
    <w:p w14:paraId="48EC52FC" w14:textId="77777777" w:rsidR="004D405C" w:rsidRPr="004D405C" w:rsidRDefault="004D405C" w:rsidP="004D405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Confidence </w:t>
      </w:r>
    </w:p>
    <w:p w14:paraId="2D387B9E" w14:textId="77777777" w:rsidR="004D405C" w:rsidRPr="004D405C" w:rsidRDefault="004D405C" w:rsidP="004D405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Last Updated </w:t>
      </w:r>
    </w:p>
    <w:p w14:paraId="6AEB2FB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Update only after official GDP releases or market capitalization updates. Preserve long-term historical data for valuation trend analysis.</w:t>
      </w:r>
    </w:p>
    <w:p w14:paraId="5B927F1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73837E5">
          <v:rect id="_x0000_i1551" style="width:0;height:1.5pt" o:hralign="center" o:hrstd="t" o:hr="t" fillcolor="#a0a0a0" stroked="f"/>
        </w:pict>
      </w:r>
    </w:p>
    <w:p w14:paraId="1E222F5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 xml:space="preserve">16. Praxis Engine Integration </w:t>
      </w:r>
      <w:r w:rsidRPr="004D405C">
        <w:rPr>
          <w:rFonts w:ascii="Segoe UI Emoji" w:eastAsia="Times New Roman" w:hAnsi="Segoe UI Emoji" w:cs="Segoe UI Emoji"/>
          <w:b/>
          <w:bCs/>
          <w:kern w:val="36"/>
          <w:sz w:val="48"/>
          <w:szCs w:val="48"/>
        </w:rPr>
        <w:t>⭐</w:t>
      </w:r>
    </w:p>
    <w:p w14:paraId="207F910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Engine Weight</w:t>
      </w:r>
    </w:p>
    <w:p w14:paraId="58EB5A4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 (Configurable)</w:t>
      </w:r>
    </w:p>
    <w:p w14:paraId="57F38AD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Relative Importance</w:t>
      </w:r>
    </w:p>
    <w:p w14:paraId="35216E2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5E8AF20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Decision Engine Role</w:t>
      </w:r>
    </w:p>
    <w:p w14:paraId="1373008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Macro Valuation Assessment</w:t>
      </w:r>
    </w:p>
    <w:p w14:paraId="3DE8380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Primary Use</w:t>
      </w:r>
    </w:p>
    <w:p w14:paraId="10BA171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Evaluate whether the overall equity market is trading at a premium or discount relative to the economy.</w:t>
      </w:r>
    </w:p>
    <w:p w14:paraId="4E15CB0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Bullish Confirmation</w:t>
      </w:r>
    </w:p>
    <w:p w14:paraId="351B231D" w14:textId="77777777" w:rsidR="004D405C" w:rsidRPr="004D405C" w:rsidRDefault="004D405C" w:rsidP="004D405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Market Cap to GDP below 100% </w:t>
      </w:r>
    </w:p>
    <w:p w14:paraId="6D1ED943" w14:textId="77777777" w:rsidR="004D405C" w:rsidRPr="004D405C" w:rsidRDefault="004D405C" w:rsidP="004D405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Low PE Ratio </w:t>
      </w:r>
    </w:p>
    <w:p w14:paraId="5381D55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Bearish Confirmation</w:t>
      </w:r>
    </w:p>
    <w:p w14:paraId="36E2BAD5" w14:textId="77777777" w:rsidR="004D405C" w:rsidRPr="004D405C" w:rsidRDefault="004D405C" w:rsidP="004D405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Market Cap to GDP above 120% </w:t>
      </w:r>
    </w:p>
    <w:p w14:paraId="33264EC1" w14:textId="77777777" w:rsidR="004D405C" w:rsidRPr="004D405C" w:rsidRDefault="004D405C" w:rsidP="004D405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High PE Ratio </w:t>
      </w:r>
    </w:p>
    <w:p w14:paraId="5FA7FFA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Display Priority</w:t>
      </w:r>
    </w:p>
    <w:p w14:paraId="4B06A23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588948C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2C54281">
          <v:rect id="_x0000_i1552" style="width:0;height:1.5pt" o:hralign="center" o:hrstd="t" o:hr="t" fillcolor="#a0a0a0" stroked="f"/>
        </w:pict>
      </w:r>
    </w:p>
    <w:p w14:paraId="25B9FAB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17. Praxis Recommendation</w:t>
      </w:r>
    </w:p>
    <w:p w14:paraId="6AD44B6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Market Cap to GDP should be the </w:t>
      </w:r>
      <w:r w:rsidRPr="004D405C">
        <w:rPr>
          <w:rFonts w:ascii="Times New Roman" w:eastAsia="Times New Roman" w:hAnsi="Times New Roman" w:cs="Times New Roman"/>
          <w:b/>
          <w:bCs/>
          <w:sz w:val="24"/>
          <w:szCs w:val="24"/>
        </w:rPr>
        <w:t>primary macro valuation indicator</w:t>
      </w:r>
      <w:r w:rsidRPr="004D405C">
        <w:rPr>
          <w:rFonts w:ascii="Times New Roman" w:eastAsia="Times New Roman" w:hAnsi="Times New Roman" w:cs="Times New Roman"/>
          <w:sz w:val="24"/>
          <w:szCs w:val="24"/>
        </w:rPr>
        <w:t xml:space="preserve"> within the Market Health category.</w:t>
      </w:r>
    </w:p>
    <w:p w14:paraId="6D5E3B4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Market Health Hierarchy</w:t>
      </w:r>
    </w:p>
    <w:p w14:paraId="531448B0" w14:textId="77777777" w:rsidR="004D405C" w:rsidRPr="004D405C" w:rsidRDefault="004D405C" w:rsidP="004D405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Market Cap to GDP </w:t>
      </w:r>
    </w:p>
    <w:p w14:paraId="4C356F90" w14:textId="77777777" w:rsidR="004D405C" w:rsidRPr="004D405C" w:rsidRDefault="004D405C" w:rsidP="004D405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Dividend Yield </w:t>
      </w:r>
    </w:p>
    <w:p w14:paraId="3905C92B" w14:textId="77777777" w:rsidR="004D405C" w:rsidRPr="004D405C" w:rsidRDefault="004D405C" w:rsidP="004D405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Earnings Trend </w:t>
      </w:r>
    </w:p>
    <w:p w14:paraId="2E035901" w14:textId="77777777" w:rsidR="004D405C" w:rsidRPr="004D405C" w:rsidRDefault="004D405C" w:rsidP="004D405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FII/DII Flow </w:t>
      </w:r>
    </w:p>
    <w:p w14:paraId="517A41C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Engine Rules</w:t>
      </w:r>
    </w:p>
    <w:p w14:paraId="5A3AFF0E" w14:textId="77777777" w:rsidR="004D405C" w:rsidRPr="004D405C" w:rsidRDefault="004D405C" w:rsidP="004D405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Market Cap to GDP &lt;100% + Low PE Ratio → Increase Market Health Score. </w:t>
      </w:r>
    </w:p>
    <w:p w14:paraId="2457B506" w14:textId="77777777" w:rsidR="004D405C" w:rsidRPr="004D405C" w:rsidRDefault="004D405C" w:rsidP="004D405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Market Cap to GDP within historical average → Maintain Neutral Bias. </w:t>
      </w:r>
    </w:p>
    <w:p w14:paraId="53C86119" w14:textId="77777777" w:rsidR="004D405C" w:rsidRPr="004D405C" w:rsidRDefault="004D405C" w:rsidP="004D405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Market Cap to GDP &gt;120% + High PE Ratio → Reduce Market Health Score. </w:t>
      </w:r>
    </w:p>
    <w:p w14:paraId="4941E595" w14:textId="77777777" w:rsidR="004D405C" w:rsidRPr="004D405C" w:rsidRDefault="004D405C" w:rsidP="004D405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Confirm valuation signals with Earnings Yield before assigning a strong bullish or bearish market outlook. </w:t>
      </w:r>
    </w:p>
    <w:p w14:paraId="00115562" w14:textId="720126CB" w:rsid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Market Cap to GDP should provide a </w:t>
      </w:r>
      <w:r w:rsidRPr="004D405C">
        <w:rPr>
          <w:rFonts w:ascii="Times New Roman" w:eastAsia="Times New Roman" w:hAnsi="Times New Roman" w:cs="Times New Roman"/>
          <w:b/>
          <w:bCs/>
          <w:sz w:val="24"/>
          <w:szCs w:val="24"/>
        </w:rPr>
        <w:t>macro-level valuation perspective</w:t>
      </w:r>
      <w:r w:rsidRPr="004D405C">
        <w:rPr>
          <w:rFonts w:ascii="Times New Roman" w:eastAsia="Times New Roman" w:hAnsi="Times New Roman" w:cs="Times New Roman"/>
          <w:sz w:val="24"/>
          <w:szCs w:val="24"/>
        </w:rPr>
        <w:t xml:space="preserve"> within the Fundamentals module and complement other valuation indicators rather than act as a standalone market timing tool.</w:t>
      </w:r>
    </w:p>
    <w:p w14:paraId="313A2173" w14:textId="1E21FB3E"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8B0316C" w14:textId="3A64C30B"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469B496C" w14:textId="4E5C9890"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155AE78" w14:textId="5F13097C"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785FB65B" w14:textId="0AE3B8DF"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D380792" w14:textId="49874D98"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6B8AD16" w14:textId="55D52245"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C90A5E1" w14:textId="04388966"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07FBCDD3" w14:textId="6213BADE"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29F4BEBA" w14:textId="2D45A483"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3C4FF3E" w14:textId="77777777" w:rsidR="00E11FEB" w:rsidRPr="004D405C"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3B3F2A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color w:val="FF0000"/>
          <w:kern w:val="36"/>
          <w:sz w:val="48"/>
          <w:szCs w:val="48"/>
        </w:rPr>
        <w:lastRenderedPageBreak/>
        <w:t>18. Dividend Yield</w:t>
      </w:r>
    </w:p>
    <w:p w14:paraId="3970995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Market Health</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Status:</w:t>
      </w:r>
      <w:r w:rsidRPr="004D405C">
        <w:rPr>
          <w:rFonts w:ascii="Times New Roman" w:eastAsia="Times New Roman" w:hAnsi="Times New Roman" w:cs="Times New Roman"/>
          <w:sz w:val="24"/>
          <w:szCs w:val="24"/>
        </w:rPr>
        <w:t xml:space="preserve"> Production Ready</w:t>
      </w:r>
    </w:p>
    <w:p w14:paraId="2FB803BD" w14:textId="77777777" w:rsidR="004D405C" w:rsidRPr="004D405C" w:rsidRDefault="004D405C" w:rsidP="004D405C">
      <w:pPr>
        <w:spacing w:before="100" w:beforeAutospacing="1" w:after="100" w:afterAutospacing="1" w:line="240" w:lineRule="auto"/>
        <w:outlineLvl w:val="1"/>
        <w:rPr>
          <w:rFonts w:ascii="Times New Roman" w:eastAsia="Times New Roman" w:hAnsi="Times New Roman" w:cs="Times New Roman"/>
          <w:b/>
          <w:bCs/>
          <w:sz w:val="36"/>
          <w:szCs w:val="36"/>
        </w:rPr>
      </w:pPr>
      <w:r w:rsidRPr="004D405C">
        <w:rPr>
          <w:rFonts w:ascii="Times New Roman" w:eastAsia="Times New Roman" w:hAnsi="Times New Roman" w:cs="Times New Roman"/>
          <w:b/>
          <w:bCs/>
          <w:sz w:val="36"/>
          <w:szCs w:val="36"/>
        </w:rPr>
        <w:t>1. Overview</w:t>
      </w:r>
    </w:p>
    <w:p w14:paraId="41742EA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Name:</w:t>
      </w:r>
      <w:r w:rsidRPr="004D405C">
        <w:rPr>
          <w:rFonts w:ascii="Times New Roman" w:eastAsia="Times New Roman" w:hAnsi="Times New Roman" w:cs="Times New Roman"/>
          <w:sz w:val="24"/>
          <w:szCs w:val="24"/>
        </w:rPr>
        <w:t xml:space="preserve"> Dividend Yield</w:t>
      </w:r>
    </w:p>
    <w:p w14:paraId="212F3B2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Short Name:</w:t>
      </w:r>
      <w:r w:rsidRPr="004D405C">
        <w:rPr>
          <w:rFonts w:ascii="Times New Roman" w:eastAsia="Times New Roman" w:hAnsi="Times New Roman" w:cs="Times New Roman"/>
          <w:sz w:val="24"/>
          <w:szCs w:val="24"/>
        </w:rPr>
        <w:t xml:space="preserve"> Dividend Yield</w:t>
      </w:r>
    </w:p>
    <w:p w14:paraId="2BFC0EC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p>
    <w:p w14:paraId="7FCF74B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Market Health</w:t>
      </w:r>
    </w:p>
    <w:p w14:paraId="54BE099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Purpose:</w:t>
      </w:r>
    </w:p>
    <w:p w14:paraId="1983CA9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Measures the annual dividend income generated relative to the current market price. It helps evaluate whether investors are receiving an attractive cash return from holding equities.</w:t>
      </w:r>
    </w:p>
    <w:p w14:paraId="6FFFD4A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Based On:</w:t>
      </w:r>
    </w:p>
    <w:p w14:paraId="448ED82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Annual Dividend Per Share and Current Market Price</w:t>
      </w:r>
    </w:p>
    <w:p w14:paraId="3707FC6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Importance:</w:t>
      </w:r>
    </w:p>
    <w:p w14:paraId="486AF54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(Market Valuation Indicator)</w:t>
      </w:r>
    </w:p>
    <w:p w14:paraId="4A4F7F6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Auto / Manual:</w:t>
      </w:r>
    </w:p>
    <w:p w14:paraId="66D8570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Manual (V1)</w:t>
      </w:r>
    </w:p>
    <w:p w14:paraId="148EBC7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 Frequency:</w:t>
      </w:r>
    </w:p>
    <w:p w14:paraId="42E132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dividend declarations or annual financial updates.</w:t>
      </w:r>
    </w:p>
    <w:p w14:paraId="544D742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Praxis Note:</w:t>
      </w:r>
    </w:p>
    <w:p w14:paraId="3A6DFDA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Dividend Yield should be interpreted together with PE Ratio and Earnings Yield. A high yield may indicate an undervalued market or a declining share price, while a very low yield often reflects growth-oriented or expensive markets.</w:t>
      </w:r>
    </w:p>
    <w:p w14:paraId="28A877F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1662FBD">
          <v:rect id="_x0000_i1569" style="width:0;height:1.5pt" o:hralign="center" o:hrstd="t" o:hr="t" fillcolor="#a0a0a0" stroked="f"/>
        </w:pict>
      </w:r>
    </w:p>
    <w:p w14:paraId="620FDE9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2. Data Requirements</w:t>
      </w:r>
    </w:p>
    <w:p w14:paraId="15DBB4E8"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Required Data</w:t>
      </w:r>
    </w:p>
    <w:p w14:paraId="28B7DE88" w14:textId="77777777" w:rsidR="004D405C" w:rsidRPr="004D405C" w:rsidRDefault="004D405C" w:rsidP="004D405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Annual Dividend Per Share </w:t>
      </w:r>
    </w:p>
    <w:p w14:paraId="30E0CE5D" w14:textId="77777777" w:rsidR="004D405C" w:rsidRPr="004D405C" w:rsidRDefault="004D405C" w:rsidP="004D405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Market Price </w:t>
      </w:r>
    </w:p>
    <w:p w14:paraId="3B59A026" w14:textId="77777777" w:rsidR="004D405C" w:rsidRPr="004D405C" w:rsidRDefault="004D405C" w:rsidP="004D405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Dividend Yield </w:t>
      </w:r>
    </w:p>
    <w:p w14:paraId="7861ADE3" w14:textId="77777777" w:rsidR="004D405C" w:rsidRPr="004D405C" w:rsidRDefault="004D405C" w:rsidP="004D405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Dividend Yield </w:t>
      </w:r>
    </w:p>
    <w:p w14:paraId="5658E6B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Minimum Historical Data</w:t>
      </w:r>
    </w:p>
    <w:p w14:paraId="2B988B2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Years</w:t>
      </w:r>
    </w:p>
    <w:p w14:paraId="161EE3E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Recommended:</w:t>
      </w:r>
    </w:p>
    <w:p w14:paraId="3A1A107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Years</w:t>
      </w:r>
    </w:p>
    <w:p w14:paraId="14F6DFF4"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Primary Source</w:t>
      </w:r>
    </w:p>
    <w:p w14:paraId="5DFA5FFE" w14:textId="77777777" w:rsidR="004D405C" w:rsidRPr="004D405C" w:rsidRDefault="004D405C" w:rsidP="004D405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w:t>
      </w:r>
    </w:p>
    <w:p w14:paraId="694170A2" w14:textId="77777777" w:rsidR="004D405C" w:rsidRPr="004D405C" w:rsidRDefault="004D405C" w:rsidP="004D405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Company Annual Reports </w:t>
      </w:r>
    </w:p>
    <w:p w14:paraId="0E8ADD22" w14:textId="77777777" w:rsidR="004D405C" w:rsidRPr="004D405C" w:rsidRDefault="004D405C" w:rsidP="004D405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Corporate Actions </w:t>
      </w:r>
    </w:p>
    <w:p w14:paraId="0052128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8421996">
          <v:rect id="_x0000_i1570" style="width:0;height:1.5pt" o:hralign="center" o:hrstd="t" o:hr="t" fillcolor="#a0a0a0" stroked="f"/>
        </w:pict>
      </w:r>
    </w:p>
    <w:p w14:paraId="679CBEB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3. Industry Standard Calculation</w:t>
      </w:r>
    </w:p>
    <w:p w14:paraId="034C98B9"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Formula</w:t>
      </w:r>
    </w:p>
    <w:p w14:paraId="2C8B9BD8"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Dividend Yield (%) =</w:t>
      </w:r>
    </w:p>
    <w:p w14:paraId="02E66E83"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(Annual Dividend Per Share ÷ Current Market Price) × 100</w:t>
      </w:r>
    </w:p>
    <w:p w14:paraId="5D2A552E"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Implementation Steps</w:t>
      </w:r>
    </w:p>
    <w:p w14:paraId="3C12AB64" w14:textId="77777777" w:rsidR="004D405C" w:rsidRPr="004D405C" w:rsidRDefault="004D405C" w:rsidP="004D405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the latest annual dividend. </w:t>
      </w:r>
    </w:p>
    <w:p w14:paraId="3345F877" w14:textId="77777777" w:rsidR="004D405C" w:rsidRPr="004D405C" w:rsidRDefault="004D405C" w:rsidP="004D405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the current market price. </w:t>
      </w:r>
    </w:p>
    <w:p w14:paraId="1E59BE9B" w14:textId="77777777" w:rsidR="004D405C" w:rsidRPr="004D405C" w:rsidRDefault="004D405C" w:rsidP="004D405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Calculate Dividend Yield. </w:t>
      </w:r>
    </w:p>
    <w:p w14:paraId="73F1FDD2" w14:textId="77777777" w:rsidR="004D405C" w:rsidRPr="004D405C" w:rsidRDefault="004D405C" w:rsidP="004D405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Compare with historical averages. </w:t>
      </w:r>
    </w:p>
    <w:p w14:paraId="25A3665D" w14:textId="77777777" w:rsidR="004D405C" w:rsidRPr="004D405C" w:rsidRDefault="004D405C" w:rsidP="004D405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Generate the Market Health Score. </w:t>
      </w:r>
    </w:p>
    <w:p w14:paraId="089AC80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34F901B3" w14:textId="77777777" w:rsidR="004D405C" w:rsidRPr="004D405C" w:rsidRDefault="004D405C" w:rsidP="004D405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total dividends declared over the last 12 months. </w:t>
      </w:r>
    </w:p>
    <w:p w14:paraId="4FC2F03E" w14:textId="77777777" w:rsidR="004D405C" w:rsidRPr="004D405C" w:rsidRDefault="004D405C" w:rsidP="004D405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Adjust for bonus issues and stock splits where applicable. </w:t>
      </w:r>
    </w:p>
    <w:p w14:paraId="0487478E" w14:textId="77777777" w:rsidR="004D405C" w:rsidRPr="004D405C" w:rsidRDefault="004D405C" w:rsidP="004D405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Compare with historical yield trends. </w:t>
      </w:r>
    </w:p>
    <w:p w14:paraId="54D0BB9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ADC649D">
          <v:rect id="_x0000_i1571" style="width:0;height:1.5pt" o:hralign="center" o:hrstd="t" o:hr="t" fillcolor="#a0a0a0" stroked="f"/>
        </w:pict>
      </w:r>
    </w:p>
    <w:p w14:paraId="66B8B797"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4. Card Fields</w:t>
      </w:r>
    </w:p>
    <w:p w14:paraId="5767F6B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Value</w:t>
      </w:r>
    </w:p>
    <w:p w14:paraId="4A71BD8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Dividend Yield (%)</w:t>
      </w:r>
    </w:p>
    <w:p w14:paraId="0880AA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Annual Dividend</w:t>
      </w:r>
    </w:p>
    <w:p w14:paraId="4B0A7AE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Dividend Per Share</w:t>
      </w:r>
    </w:p>
    <w:p w14:paraId="6C1A4A2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Price</w:t>
      </w:r>
    </w:p>
    <w:p w14:paraId="479CCB7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Market Price</w:t>
      </w:r>
    </w:p>
    <w:p w14:paraId="653728C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Score</w:t>
      </w:r>
    </w:p>
    <w:p w14:paraId="1024B7E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0–100</w:t>
      </w:r>
    </w:p>
    <w:p w14:paraId="6BB10A8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Bias</w:t>
      </w:r>
    </w:p>
    <w:p w14:paraId="01EE2B40" w14:textId="77777777" w:rsidR="004D405C" w:rsidRPr="004D405C" w:rsidRDefault="004D405C" w:rsidP="004D405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Bullish </w:t>
      </w:r>
    </w:p>
    <w:p w14:paraId="28FDE4EF" w14:textId="77777777" w:rsidR="004D405C" w:rsidRPr="004D405C" w:rsidRDefault="004D405C" w:rsidP="004D405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Neutral </w:t>
      </w:r>
    </w:p>
    <w:p w14:paraId="2F445E86" w14:textId="77777777" w:rsidR="004D405C" w:rsidRPr="004D405C" w:rsidRDefault="004D405C" w:rsidP="004D405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Bearish </w:t>
      </w:r>
    </w:p>
    <w:p w14:paraId="6CEAFFE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Confidence</w:t>
      </w:r>
    </w:p>
    <w:p w14:paraId="0E68878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Market Health Confidence</w:t>
      </w:r>
    </w:p>
    <w:p w14:paraId="5B251A7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Impact Weight</w:t>
      </w:r>
    </w:p>
    <w:p w14:paraId="3974424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w:t>
      </w:r>
    </w:p>
    <w:p w14:paraId="3C20A1B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40CA729">
          <v:rect id="_x0000_i1572" style="width:0;height:1.5pt" o:hralign="center" o:hrstd="t" o:hr="t" fillcolor="#a0a0a0" stroked="f"/>
        </w:pict>
      </w:r>
    </w:p>
    <w:p w14:paraId="4AE8111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634"/>
        <w:gridCol w:w="1509"/>
      </w:tblGrid>
      <w:tr w:rsidR="004D405C" w:rsidRPr="004D405C" w14:paraId="198057CE" w14:textId="77777777" w:rsidTr="004D405C">
        <w:trPr>
          <w:tblHeader/>
          <w:tblCellSpacing w:w="15" w:type="dxa"/>
        </w:trPr>
        <w:tc>
          <w:tcPr>
            <w:tcW w:w="0" w:type="auto"/>
            <w:vAlign w:val="center"/>
            <w:hideMark/>
          </w:tcPr>
          <w:p w14:paraId="43E38621"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Dividend Yield</w:t>
            </w:r>
          </w:p>
        </w:tc>
        <w:tc>
          <w:tcPr>
            <w:tcW w:w="0" w:type="auto"/>
            <w:vAlign w:val="center"/>
            <w:hideMark/>
          </w:tcPr>
          <w:p w14:paraId="0A9D685F"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Score</w:t>
            </w:r>
          </w:p>
        </w:tc>
        <w:tc>
          <w:tcPr>
            <w:tcW w:w="0" w:type="auto"/>
            <w:vAlign w:val="center"/>
            <w:hideMark/>
          </w:tcPr>
          <w:p w14:paraId="53B9C9D2"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Bias</w:t>
            </w:r>
          </w:p>
        </w:tc>
      </w:tr>
      <w:tr w:rsidR="004D405C" w:rsidRPr="004D405C" w14:paraId="5D7709B3" w14:textId="77777777" w:rsidTr="004D405C">
        <w:trPr>
          <w:tblCellSpacing w:w="15" w:type="dxa"/>
        </w:trPr>
        <w:tc>
          <w:tcPr>
            <w:tcW w:w="0" w:type="auto"/>
            <w:vAlign w:val="center"/>
            <w:hideMark/>
          </w:tcPr>
          <w:p w14:paraId="6BB53D7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&gt;3.0%</w:t>
            </w:r>
          </w:p>
        </w:tc>
        <w:tc>
          <w:tcPr>
            <w:tcW w:w="0" w:type="auto"/>
            <w:vAlign w:val="center"/>
            <w:hideMark/>
          </w:tcPr>
          <w:p w14:paraId="23050BC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tc>
        <w:tc>
          <w:tcPr>
            <w:tcW w:w="0" w:type="auto"/>
            <w:vAlign w:val="center"/>
            <w:hideMark/>
          </w:tcPr>
          <w:p w14:paraId="13A2893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Bullish</w:t>
            </w:r>
          </w:p>
        </w:tc>
      </w:tr>
      <w:tr w:rsidR="004D405C" w:rsidRPr="004D405C" w14:paraId="76CF022B" w14:textId="77777777" w:rsidTr="004D405C">
        <w:trPr>
          <w:tblCellSpacing w:w="15" w:type="dxa"/>
        </w:trPr>
        <w:tc>
          <w:tcPr>
            <w:tcW w:w="0" w:type="auto"/>
            <w:vAlign w:val="center"/>
            <w:hideMark/>
          </w:tcPr>
          <w:p w14:paraId="3ABC087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2.0–3.0%</w:t>
            </w:r>
          </w:p>
        </w:tc>
        <w:tc>
          <w:tcPr>
            <w:tcW w:w="0" w:type="auto"/>
            <w:vAlign w:val="center"/>
            <w:hideMark/>
          </w:tcPr>
          <w:p w14:paraId="5A9EBC4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82</w:t>
            </w:r>
          </w:p>
        </w:tc>
        <w:tc>
          <w:tcPr>
            <w:tcW w:w="0" w:type="auto"/>
            <w:vAlign w:val="center"/>
            <w:hideMark/>
          </w:tcPr>
          <w:p w14:paraId="16A9452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tc>
      </w:tr>
      <w:tr w:rsidR="004D405C" w:rsidRPr="004D405C" w14:paraId="22C5CF3B" w14:textId="77777777" w:rsidTr="004D405C">
        <w:trPr>
          <w:tblCellSpacing w:w="15" w:type="dxa"/>
        </w:trPr>
        <w:tc>
          <w:tcPr>
            <w:tcW w:w="0" w:type="auto"/>
            <w:vAlign w:val="center"/>
            <w:hideMark/>
          </w:tcPr>
          <w:p w14:paraId="7E93286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1.0–2.0%</w:t>
            </w:r>
          </w:p>
        </w:tc>
        <w:tc>
          <w:tcPr>
            <w:tcW w:w="0" w:type="auto"/>
            <w:vAlign w:val="center"/>
            <w:hideMark/>
          </w:tcPr>
          <w:p w14:paraId="6E80D55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tc>
        <w:tc>
          <w:tcPr>
            <w:tcW w:w="0" w:type="auto"/>
            <w:vAlign w:val="center"/>
            <w:hideMark/>
          </w:tcPr>
          <w:p w14:paraId="5F85958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tc>
      </w:tr>
      <w:tr w:rsidR="004D405C" w:rsidRPr="004D405C" w14:paraId="2853AAD5" w14:textId="77777777" w:rsidTr="004D405C">
        <w:trPr>
          <w:tblCellSpacing w:w="15" w:type="dxa"/>
        </w:trPr>
        <w:tc>
          <w:tcPr>
            <w:tcW w:w="0" w:type="auto"/>
            <w:vAlign w:val="center"/>
            <w:hideMark/>
          </w:tcPr>
          <w:p w14:paraId="19ABE1F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0.5–1.0%</w:t>
            </w:r>
          </w:p>
        </w:tc>
        <w:tc>
          <w:tcPr>
            <w:tcW w:w="0" w:type="auto"/>
            <w:vAlign w:val="center"/>
            <w:hideMark/>
          </w:tcPr>
          <w:p w14:paraId="7208071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w:t>
            </w:r>
          </w:p>
        </w:tc>
        <w:tc>
          <w:tcPr>
            <w:tcW w:w="0" w:type="auto"/>
            <w:vAlign w:val="center"/>
            <w:hideMark/>
          </w:tcPr>
          <w:p w14:paraId="3905A33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tc>
      </w:tr>
      <w:tr w:rsidR="004D405C" w:rsidRPr="004D405C" w14:paraId="4FD73F45" w14:textId="77777777" w:rsidTr="004D405C">
        <w:trPr>
          <w:tblCellSpacing w:w="15" w:type="dxa"/>
        </w:trPr>
        <w:tc>
          <w:tcPr>
            <w:tcW w:w="0" w:type="auto"/>
            <w:vAlign w:val="center"/>
            <w:hideMark/>
          </w:tcPr>
          <w:p w14:paraId="2CCD812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&lt;0.5%</w:t>
            </w:r>
          </w:p>
        </w:tc>
        <w:tc>
          <w:tcPr>
            <w:tcW w:w="0" w:type="auto"/>
            <w:vAlign w:val="center"/>
            <w:hideMark/>
          </w:tcPr>
          <w:p w14:paraId="62E06B7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w:t>
            </w:r>
          </w:p>
        </w:tc>
        <w:tc>
          <w:tcPr>
            <w:tcW w:w="0" w:type="auto"/>
            <w:vAlign w:val="center"/>
            <w:hideMark/>
          </w:tcPr>
          <w:p w14:paraId="56888EB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tc>
      </w:tr>
    </w:tbl>
    <w:p w14:paraId="0FA31688"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7EA4186C" w14:textId="77777777" w:rsidR="004D405C" w:rsidRPr="004D405C" w:rsidRDefault="004D405C" w:rsidP="004D405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Higher yield generally indicates better income potential. </w:t>
      </w:r>
    </w:p>
    <w:p w14:paraId="7849F033" w14:textId="77777777" w:rsidR="004D405C" w:rsidRPr="004D405C" w:rsidRDefault="004D405C" w:rsidP="004D405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Extremely high yields should be validated to ensure they are sustainable. </w:t>
      </w:r>
    </w:p>
    <w:p w14:paraId="4790D63A" w14:textId="77777777" w:rsidR="004D405C" w:rsidRPr="004D405C" w:rsidRDefault="004D405C" w:rsidP="004D405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comparison should supplement fixed thresholds. </w:t>
      </w:r>
    </w:p>
    <w:p w14:paraId="1A77591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475BEB6">
          <v:rect id="_x0000_i1573" style="width:0;height:1.5pt" o:hralign="center" o:hrstd="t" o:hr="t" fillcolor="#a0a0a0" stroked="f"/>
        </w:pict>
      </w:r>
    </w:p>
    <w:p w14:paraId="6FA1C86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6. Bias Rules</w:t>
      </w:r>
    </w:p>
    <w:p w14:paraId="2C91293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Yield Above 2%</w:t>
      </w:r>
    </w:p>
    <w:p w14:paraId="57E65C0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p w14:paraId="3B652B7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Yield Between 1%–2%</w:t>
      </w:r>
    </w:p>
    <w:p w14:paraId="33426E6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p w14:paraId="1691E89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Yield Below 1%</w:t>
      </w:r>
    </w:p>
    <w:p w14:paraId="7693CE4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p w14:paraId="1F5D5E3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Rapidly Declining Yield</w:t>
      </w:r>
    </w:p>
    <w:p w14:paraId="5BF38D4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p w14:paraId="298023A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4223EC2">
          <v:rect id="_x0000_i1574" style="width:0;height:1.5pt" o:hralign="center" o:hrstd="t" o:hr="t" fillcolor="#a0a0a0" stroked="f"/>
        </w:pict>
      </w:r>
    </w:p>
    <w:p w14:paraId="33E49A5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7. Confidence Logic</w:t>
      </w:r>
    </w:p>
    <w:p w14:paraId="640262F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 Confidence</w:t>
      </w:r>
    </w:p>
    <w:p w14:paraId="4A9C33C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90%</w:t>
      </w:r>
    </w:p>
    <w:p w14:paraId="657BA8D8"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Increase Confidence</w:t>
      </w:r>
    </w:p>
    <w:p w14:paraId="540945D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Official dividend declaration</w:t>
      </w:r>
    </w:p>
    <w:p w14:paraId="02C99EC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+5% Consistent dividend history</w:t>
      </w:r>
    </w:p>
    <w:p w14:paraId="0BDDF9D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Decrease Confidence</w:t>
      </w:r>
    </w:p>
    <w:p w14:paraId="5DC5642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Manual entry</w:t>
      </w:r>
    </w:p>
    <w:p w14:paraId="789FF07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Special or one-time dividend</w:t>
      </w:r>
    </w:p>
    <w:p w14:paraId="2AD9F58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06AC26B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70%</w:t>
      </w:r>
    </w:p>
    <w:p w14:paraId="1555ED9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1C88425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99%</w:t>
      </w:r>
    </w:p>
    <w:p w14:paraId="326531C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0CE6EDE">
          <v:rect id="_x0000_i1575" style="width:0;height:1.5pt" o:hralign="center" o:hrstd="t" o:hr="t" fillcolor="#a0a0a0" stroked="f"/>
        </w:pict>
      </w:r>
    </w:p>
    <w:p w14:paraId="6F33B85E"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8. Score Range Bar</w:t>
      </w:r>
    </w:p>
    <w:p w14:paraId="2E34F1E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402FDE7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w:t>
      </w:r>
    </w:p>
    <w:p w14:paraId="0775542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3B29C0A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w:t>
      </w:r>
    </w:p>
    <w:p w14:paraId="4BD146E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Pointer</w:t>
      </w:r>
    </w:p>
    <w:p w14:paraId="369AADA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Score</w:t>
      </w:r>
    </w:p>
    <w:p w14:paraId="67053C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Average Marker</w:t>
      </w:r>
    </w:p>
    <w:p w14:paraId="4EDFC07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1-Year Average Score</w:t>
      </w:r>
    </w:p>
    <w:p w14:paraId="78E8255E"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Color Zones</w:t>
      </w:r>
    </w:p>
    <w:p w14:paraId="7CEE7C8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 → Low Yield</w:t>
      </w:r>
    </w:p>
    <w:p w14:paraId="642D6C1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30–60 → Average</w:t>
      </w:r>
    </w:p>
    <w:p w14:paraId="3D97943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60–80 → Healthy</w:t>
      </w:r>
    </w:p>
    <w:p w14:paraId="7B1E5CE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80–100 → High Yield</w:t>
      </w:r>
    </w:p>
    <w:p w14:paraId="56DF9A2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pict w14:anchorId="3A80250C">
          <v:rect id="_x0000_i1576" style="width:0;height:1.5pt" o:hralign="center" o:hrstd="t" o:hr="t" fillcolor="#a0a0a0" stroked="f"/>
        </w:pict>
      </w:r>
    </w:p>
    <w:p w14:paraId="5B28E07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9. Dual Trend Chart</w:t>
      </w:r>
    </w:p>
    <w:p w14:paraId="4A3743F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Chart Type</w:t>
      </w:r>
    </w:p>
    <w:p w14:paraId="453635D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Dual Line</w:t>
      </w:r>
    </w:p>
    <w:p w14:paraId="4BBB4E6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1</w:t>
      </w:r>
    </w:p>
    <w:p w14:paraId="6BBC414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Dividend Yield (%)</w:t>
      </w:r>
    </w:p>
    <w:p w14:paraId="3020210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2</w:t>
      </w:r>
    </w:p>
    <w:p w14:paraId="5BA0994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Praxis Score</w:t>
      </w:r>
    </w:p>
    <w:p w14:paraId="3B263E4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History</w:t>
      </w:r>
    </w:p>
    <w:p w14:paraId="452FBD5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Last 5 Years</w:t>
      </w:r>
    </w:p>
    <w:p w14:paraId="537FE8D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w:t>
      </w:r>
    </w:p>
    <w:p w14:paraId="6D1403A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dividend declarations.</w:t>
      </w:r>
    </w:p>
    <w:p w14:paraId="33DBFF9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11A1480">
          <v:rect id="_x0000_i1577" style="width:0;height:1.5pt" o:hralign="center" o:hrstd="t" o:hr="t" fillcolor="#a0a0a0" stroked="f"/>
        </w:pict>
      </w:r>
    </w:p>
    <w:p w14:paraId="19E853FD"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10. AI Insight Rules</w:t>
      </w:r>
    </w:p>
    <w:p w14:paraId="00EAE37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Yield Above 3%</w:t>
      </w:r>
    </w:p>
    <w:p w14:paraId="4E25C5F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market is offering attractive income relative to current prices.</w:t>
      </w:r>
    </w:p>
    <w:p w14:paraId="1A287E3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Yield Between 2% and 3%</w:t>
      </w:r>
    </w:p>
    <w:p w14:paraId="1E7F792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dividend returns remain healthy.</w:t>
      </w:r>
    </w:p>
    <w:p w14:paraId="1B5766D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Yield Between 1% and 2%</w:t>
      </w:r>
    </w:p>
    <w:p w14:paraId="031238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dividend income is moderate.</w:t>
      </w:r>
    </w:p>
    <w:p w14:paraId="6CFF150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Yield Below 1%</w:t>
      </w:r>
    </w:p>
    <w:p w14:paraId="10D6E11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the market is primarily pricing future growth rather than dividend income.</w:t>
      </w:r>
    </w:p>
    <w:p w14:paraId="1E85688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lastRenderedPageBreak/>
        <w:t>Low Confidence</w:t>
      </w:r>
    </w:p>
    <w:p w14:paraId="7F08AA1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Mention that recent dividend changes may affect the reliability of the assessment.</w:t>
      </w:r>
    </w:p>
    <w:p w14:paraId="0A72D98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09155DB">
          <v:rect id="_x0000_i1578" style="width:0;height:1.5pt" o:hralign="center" o:hrstd="t" o:hr="t" fillcolor="#a0a0a0" stroked="f"/>
        </w:pict>
      </w:r>
    </w:p>
    <w:p w14:paraId="7310C6E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11. Why It Matters</w:t>
      </w:r>
    </w:p>
    <w:p w14:paraId="65AC1743" w14:textId="77777777" w:rsidR="004D405C" w:rsidRPr="004D405C" w:rsidRDefault="004D405C" w:rsidP="004D405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cash return on investment. </w:t>
      </w:r>
    </w:p>
    <w:p w14:paraId="160542C7" w14:textId="77777777" w:rsidR="004D405C" w:rsidRPr="004D405C" w:rsidRDefault="004D405C" w:rsidP="004D405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Supports valuation analysis. </w:t>
      </w:r>
    </w:p>
    <w:p w14:paraId="62DF932C" w14:textId="77777777" w:rsidR="004D405C" w:rsidRPr="004D405C" w:rsidRDefault="004D405C" w:rsidP="004D405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Indicates shareholder return. </w:t>
      </w:r>
    </w:p>
    <w:p w14:paraId="361DF8BE" w14:textId="77777777" w:rsidR="004D405C" w:rsidRPr="004D405C" w:rsidRDefault="004D405C" w:rsidP="004D405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Complements PE Ratio and Earnings Yield. </w:t>
      </w:r>
    </w:p>
    <w:p w14:paraId="36DC713B" w14:textId="77777777" w:rsidR="004D405C" w:rsidRPr="004D405C" w:rsidRDefault="004D405C" w:rsidP="004D405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Useful for long-term investors. </w:t>
      </w:r>
    </w:p>
    <w:p w14:paraId="41F0C6F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29786DB">
          <v:rect id="_x0000_i1579" style="width:0;height:1.5pt" o:hralign="center" o:hrstd="t" o:hr="t" fillcolor="#a0a0a0" stroked="f"/>
        </w:pict>
      </w:r>
    </w:p>
    <w:p w14:paraId="4D0DC61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12. Trading Impact</w:t>
      </w:r>
    </w:p>
    <w:p w14:paraId="24759B2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Intraday</w:t>
      </w:r>
    </w:p>
    <w:p w14:paraId="4ECDFA7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p>
    <w:p w14:paraId="4F0F66A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Swing Trading</w:t>
      </w:r>
    </w:p>
    <w:p w14:paraId="1CE1D4F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1EB38F0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Positional Trading</w:t>
      </w:r>
    </w:p>
    <w:p w14:paraId="6981BE3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316B9EF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Options Trading</w:t>
      </w:r>
    </w:p>
    <w:p w14:paraId="08BF740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33D21C4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Best Use</w:t>
      </w:r>
    </w:p>
    <w:p w14:paraId="1E92FE4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Long-term income and valuation analysis.</w:t>
      </w:r>
    </w:p>
    <w:p w14:paraId="0831854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Avoid Using Alone</w:t>
      </w:r>
    </w:p>
    <w:p w14:paraId="6ED35B1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Yes</w:t>
      </w:r>
    </w:p>
    <w:p w14:paraId="3D5B9C0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A1D404C">
          <v:rect id="_x0000_i1580" style="width:0;height:1.5pt" o:hralign="center" o:hrstd="t" o:hr="t" fillcolor="#a0a0a0" stroked="f"/>
        </w:pict>
      </w:r>
    </w:p>
    <w:p w14:paraId="7E7DF52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13. Supporting Indicators</w:t>
      </w:r>
    </w:p>
    <w:p w14:paraId="413220D2" w14:textId="77777777" w:rsidR="004D405C" w:rsidRPr="004D405C" w:rsidRDefault="004D405C" w:rsidP="004D405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PE Ratio </w:t>
      </w:r>
    </w:p>
    <w:p w14:paraId="3B2201B7" w14:textId="77777777" w:rsidR="004D405C" w:rsidRPr="004D405C" w:rsidRDefault="004D405C" w:rsidP="004D405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Earnings Yield </w:t>
      </w:r>
    </w:p>
    <w:p w14:paraId="22A892C3" w14:textId="77777777" w:rsidR="004D405C" w:rsidRPr="004D405C" w:rsidRDefault="004D405C" w:rsidP="004D405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Market Cap to GDP </w:t>
      </w:r>
    </w:p>
    <w:p w14:paraId="38130F0B" w14:textId="77777777" w:rsidR="004D405C" w:rsidRPr="004D405C" w:rsidRDefault="004D405C" w:rsidP="004D405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Free Cash Flow </w:t>
      </w:r>
    </w:p>
    <w:p w14:paraId="4E34E86B" w14:textId="77777777" w:rsidR="004D405C" w:rsidRPr="004D405C" w:rsidRDefault="004D405C" w:rsidP="004D405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Profit Growth </w:t>
      </w:r>
    </w:p>
    <w:p w14:paraId="5EC53F6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F387B0D">
          <v:rect id="_x0000_i1581" style="width:0;height:1.5pt" o:hralign="center" o:hrstd="t" o:hr="t" fillcolor="#a0a0a0" stroked="f"/>
        </w:pict>
      </w:r>
    </w:p>
    <w:p w14:paraId="501DB61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14. Metadata</w:t>
      </w:r>
    </w:p>
    <w:p w14:paraId="1EDF9D9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Source</w:t>
      </w:r>
    </w:p>
    <w:p w14:paraId="03ADB91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NSE / Corporate Actions</w:t>
      </w:r>
    </w:p>
    <w:p w14:paraId="3AA3992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Calculation</w:t>
      </w:r>
    </w:p>
    <w:p w14:paraId="313649A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Backend</w:t>
      </w:r>
    </w:p>
    <w:p w14:paraId="0AB53EA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Updated</w:t>
      </w:r>
    </w:p>
    <w:p w14:paraId="6631471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dividend announcements</w:t>
      </w:r>
    </w:p>
    <w:p w14:paraId="0B81F11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b/>
          <w:bCs/>
          <w:sz w:val="24"/>
          <w:szCs w:val="24"/>
        </w:rPr>
        <w:t>Timezone</w:t>
      </w:r>
      <w:proofErr w:type="spellEnd"/>
    </w:p>
    <w:p w14:paraId="130AB2C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Asia/Kolkata</w:t>
      </w:r>
    </w:p>
    <w:p w14:paraId="1C78872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Storage</w:t>
      </w:r>
    </w:p>
    <w:p w14:paraId="56E6CD3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Local Electron Database</w:t>
      </w:r>
    </w:p>
    <w:p w14:paraId="6F5BD18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4D57A96">
          <v:rect id="_x0000_i1582" style="width:0;height:1.5pt" o:hralign="center" o:hrstd="t" o:hr="t" fillcolor="#a0a0a0" stroked="f"/>
        </w:pict>
      </w:r>
    </w:p>
    <w:p w14:paraId="30832A3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15. Developer Notes</w:t>
      </w:r>
    </w:p>
    <w:p w14:paraId="32F7AD7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Store:</w:t>
      </w:r>
    </w:p>
    <w:p w14:paraId="62C58EA2" w14:textId="77777777" w:rsidR="004D405C" w:rsidRPr="004D405C" w:rsidRDefault="004D405C" w:rsidP="004D405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Dividend Yield </w:t>
      </w:r>
    </w:p>
    <w:p w14:paraId="4FFDBABC" w14:textId="77777777" w:rsidR="004D405C" w:rsidRPr="004D405C" w:rsidRDefault="004D405C" w:rsidP="004D405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Annual Dividend </w:t>
      </w:r>
    </w:p>
    <w:p w14:paraId="53F1AEFD" w14:textId="77777777" w:rsidR="004D405C" w:rsidRPr="004D405C" w:rsidRDefault="004D405C" w:rsidP="004D405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Dividend Yield </w:t>
      </w:r>
    </w:p>
    <w:p w14:paraId="79D300F0" w14:textId="77777777" w:rsidR="004D405C" w:rsidRPr="004D405C" w:rsidRDefault="004D405C" w:rsidP="004D405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Score </w:t>
      </w:r>
    </w:p>
    <w:p w14:paraId="2ED80002" w14:textId="77777777" w:rsidR="004D405C" w:rsidRPr="004D405C" w:rsidRDefault="004D405C" w:rsidP="004D405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Confidence </w:t>
      </w:r>
    </w:p>
    <w:p w14:paraId="2F851A47" w14:textId="77777777" w:rsidR="004D405C" w:rsidRPr="004D405C" w:rsidRDefault="004D405C" w:rsidP="004D405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Last Updated </w:t>
      </w:r>
    </w:p>
    <w:p w14:paraId="204DEF8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Exclude one-time special dividends when calculating long-term historical averages. Adjust historical data for stock splits and bonus issues.</w:t>
      </w:r>
    </w:p>
    <w:p w14:paraId="68EC0BA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CCCB6AB">
          <v:rect id="_x0000_i1583" style="width:0;height:1.5pt" o:hralign="center" o:hrstd="t" o:hr="t" fillcolor="#a0a0a0" stroked="f"/>
        </w:pict>
      </w:r>
    </w:p>
    <w:p w14:paraId="4287E32E"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 xml:space="preserve">16. Praxis Engine Integration </w:t>
      </w:r>
      <w:r w:rsidRPr="004D405C">
        <w:rPr>
          <w:rFonts w:ascii="Segoe UI Emoji" w:eastAsia="Times New Roman" w:hAnsi="Segoe UI Emoji" w:cs="Segoe UI Emoji"/>
          <w:b/>
          <w:bCs/>
          <w:kern w:val="36"/>
          <w:sz w:val="48"/>
          <w:szCs w:val="48"/>
        </w:rPr>
        <w:t>⭐</w:t>
      </w:r>
    </w:p>
    <w:p w14:paraId="7223298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Engine Weight</w:t>
      </w:r>
    </w:p>
    <w:p w14:paraId="49FE489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 (Configurable)</w:t>
      </w:r>
    </w:p>
    <w:p w14:paraId="3B33833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Relative Importance</w:t>
      </w:r>
    </w:p>
    <w:p w14:paraId="423E0EA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w:t>
      </w:r>
    </w:p>
    <w:p w14:paraId="61C4FA8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Decision Engine Role</w:t>
      </w:r>
    </w:p>
    <w:p w14:paraId="5CCCE3E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Income &amp; Valuation Assessment</w:t>
      </w:r>
    </w:p>
    <w:p w14:paraId="3B50690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Primary Use</w:t>
      </w:r>
    </w:p>
    <w:p w14:paraId="16DA871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Evaluate the cash return generated from holding equities.</w:t>
      </w:r>
    </w:p>
    <w:p w14:paraId="587D4AC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Bullish Confirmation</w:t>
      </w:r>
    </w:p>
    <w:p w14:paraId="59A9C04E" w14:textId="77777777" w:rsidR="004D405C" w:rsidRPr="004D405C" w:rsidRDefault="004D405C" w:rsidP="004D405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Dividend Yield above 2% </w:t>
      </w:r>
    </w:p>
    <w:p w14:paraId="60434348" w14:textId="77777777" w:rsidR="004D405C" w:rsidRPr="004D405C" w:rsidRDefault="004D405C" w:rsidP="004D405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Free Cash Flow </w:t>
      </w:r>
    </w:p>
    <w:p w14:paraId="0F78FDEC" w14:textId="77777777" w:rsidR="004D405C" w:rsidRPr="004D405C" w:rsidRDefault="004D405C" w:rsidP="004D405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Stable Profit Growth </w:t>
      </w:r>
    </w:p>
    <w:p w14:paraId="2FB1F54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Bearish Confirmation</w:t>
      </w:r>
    </w:p>
    <w:p w14:paraId="591B03D3" w14:textId="77777777" w:rsidR="004D405C" w:rsidRPr="004D405C" w:rsidRDefault="004D405C" w:rsidP="004D405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Falling Dividend Yield </w:t>
      </w:r>
    </w:p>
    <w:p w14:paraId="7C6E927C" w14:textId="77777777" w:rsidR="004D405C" w:rsidRPr="004D405C" w:rsidRDefault="004D405C" w:rsidP="004D405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Declining Free Cash Flow </w:t>
      </w:r>
    </w:p>
    <w:p w14:paraId="38F6A14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Display Priority</w:t>
      </w:r>
    </w:p>
    <w:p w14:paraId="6895C89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w:t>
      </w:r>
    </w:p>
    <w:p w14:paraId="553CC0E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4888070">
          <v:rect id="_x0000_i1584" style="width:0;height:1.5pt" o:hralign="center" o:hrstd="t" o:hr="t" fillcolor="#a0a0a0" stroked="f"/>
        </w:pict>
      </w:r>
    </w:p>
    <w:p w14:paraId="16C1A11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17. Praxis Recommendation</w:t>
      </w:r>
    </w:p>
    <w:p w14:paraId="1D4E695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Dividend Yield should act as the </w:t>
      </w:r>
      <w:r w:rsidRPr="004D405C">
        <w:rPr>
          <w:rFonts w:ascii="Times New Roman" w:eastAsia="Times New Roman" w:hAnsi="Times New Roman" w:cs="Times New Roman"/>
          <w:b/>
          <w:bCs/>
          <w:sz w:val="24"/>
          <w:szCs w:val="24"/>
        </w:rPr>
        <w:t>income-based valuation indicator</w:t>
      </w:r>
      <w:r w:rsidRPr="004D405C">
        <w:rPr>
          <w:rFonts w:ascii="Times New Roman" w:eastAsia="Times New Roman" w:hAnsi="Times New Roman" w:cs="Times New Roman"/>
          <w:sz w:val="24"/>
          <w:szCs w:val="24"/>
        </w:rPr>
        <w:t xml:space="preserve"> within the Market Health category.</w:t>
      </w:r>
    </w:p>
    <w:p w14:paraId="642B2077"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Market Health Hierarchy</w:t>
      </w:r>
    </w:p>
    <w:p w14:paraId="65895F7A" w14:textId="77777777" w:rsidR="004D405C" w:rsidRPr="004D405C" w:rsidRDefault="004D405C" w:rsidP="004D405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Market Cap to GDP </w:t>
      </w:r>
    </w:p>
    <w:p w14:paraId="6220BAE3" w14:textId="77777777" w:rsidR="004D405C" w:rsidRPr="004D405C" w:rsidRDefault="004D405C" w:rsidP="004D405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Dividend Yield </w:t>
      </w:r>
    </w:p>
    <w:p w14:paraId="1CAE8210" w14:textId="77777777" w:rsidR="004D405C" w:rsidRPr="004D405C" w:rsidRDefault="004D405C" w:rsidP="004D405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Earnings Trend </w:t>
      </w:r>
    </w:p>
    <w:p w14:paraId="6DC0735B" w14:textId="77777777" w:rsidR="004D405C" w:rsidRPr="004D405C" w:rsidRDefault="004D405C" w:rsidP="004D405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FII/DII Flow </w:t>
      </w:r>
    </w:p>
    <w:p w14:paraId="0B165835"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Engine Rules</w:t>
      </w:r>
    </w:p>
    <w:p w14:paraId="73429D54" w14:textId="77777777" w:rsidR="004D405C" w:rsidRPr="004D405C" w:rsidRDefault="004D405C" w:rsidP="004D405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Dividend Yield &gt;2% + Positive Free Cash Flow → Increase Market Health Score. </w:t>
      </w:r>
    </w:p>
    <w:p w14:paraId="5D9A8292" w14:textId="77777777" w:rsidR="004D405C" w:rsidRPr="004D405C" w:rsidRDefault="004D405C" w:rsidP="004D405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Stable dividend history + Growing Profit → Increase Fundamentals confidence. </w:t>
      </w:r>
    </w:p>
    <w:p w14:paraId="0B8FF9FA" w14:textId="77777777" w:rsidR="004D405C" w:rsidRPr="004D405C" w:rsidRDefault="004D405C" w:rsidP="004D405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Falling Dividend Yield + Declining Free Cash Flow → Reduce Market Health Score. </w:t>
      </w:r>
    </w:p>
    <w:p w14:paraId="2D75A49E" w14:textId="77777777" w:rsidR="004D405C" w:rsidRPr="004D405C" w:rsidRDefault="004D405C" w:rsidP="004D405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High Dividend Yield with declining profits should reduce confidence, as the dividend may not be sustainable. </w:t>
      </w:r>
    </w:p>
    <w:p w14:paraId="41FDDFC5" w14:textId="77777777" w:rsidR="00E11FEB"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Dividend Yield should strengthen the </w:t>
      </w:r>
      <w:r w:rsidRPr="004D405C">
        <w:rPr>
          <w:rFonts w:ascii="Times New Roman" w:eastAsia="Times New Roman" w:hAnsi="Times New Roman" w:cs="Times New Roman"/>
          <w:b/>
          <w:bCs/>
          <w:sz w:val="24"/>
          <w:szCs w:val="24"/>
        </w:rPr>
        <w:t>Market Health Score</w:t>
      </w:r>
      <w:r w:rsidRPr="004D405C">
        <w:rPr>
          <w:rFonts w:ascii="Times New Roman" w:eastAsia="Times New Roman" w:hAnsi="Times New Roman" w:cs="Times New Roman"/>
          <w:sz w:val="24"/>
          <w:szCs w:val="24"/>
        </w:rPr>
        <w:t xml:space="preserve"> by evaluating the income return available to investors and should be interpreted alongside valuation and cash flow indicators to provide a balanced view of market health</w:t>
      </w:r>
    </w:p>
    <w:p w14:paraId="5FB5026E"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73A83EE"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5674CA24"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7B0F188B"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25C9743B"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782847B"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43333D8"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B58F5B4"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F31B44A"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4F7B8B77" w14:textId="77777777"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5390F1A" w14:textId="60DE6953"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w:t>
      </w:r>
    </w:p>
    <w:p w14:paraId="5C2F15E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D405C">
        <w:rPr>
          <w:rFonts w:ascii="Times New Roman" w:eastAsia="Times New Roman" w:hAnsi="Times New Roman" w:cs="Times New Roman"/>
          <w:b/>
          <w:bCs/>
          <w:color w:val="FF0000"/>
          <w:kern w:val="36"/>
          <w:sz w:val="48"/>
          <w:szCs w:val="48"/>
        </w:rPr>
        <w:lastRenderedPageBreak/>
        <w:t>19. Earnings Trend</w:t>
      </w:r>
    </w:p>
    <w:p w14:paraId="156886F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Market Health</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Status:</w:t>
      </w:r>
      <w:r w:rsidRPr="004D405C">
        <w:rPr>
          <w:rFonts w:ascii="Times New Roman" w:eastAsia="Times New Roman" w:hAnsi="Times New Roman" w:cs="Times New Roman"/>
          <w:sz w:val="24"/>
          <w:szCs w:val="24"/>
        </w:rPr>
        <w:t xml:space="preserve"> Production Ready</w:t>
      </w:r>
    </w:p>
    <w:p w14:paraId="660EFDE8" w14:textId="77777777" w:rsidR="004D405C" w:rsidRPr="004D405C" w:rsidRDefault="004D405C" w:rsidP="004D405C">
      <w:pPr>
        <w:spacing w:before="100" w:beforeAutospacing="1" w:after="100" w:afterAutospacing="1" w:line="240" w:lineRule="auto"/>
        <w:outlineLvl w:val="1"/>
        <w:rPr>
          <w:rFonts w:ascii="Times New Roman" w:eastAsia="Times New Roman" w:hAnsi="Times New Roman" w:cs="Times New Roman"/>
          <w:b/>
          <w:bCs/>
          <w:sz w:val="36"/>
          <w:szCs w:val="36"/>
        </w:rPr>
      </w:pPr>
      <w:r w:rsidRPr="004D405C">
        <w:rPr>
          <w:rFonts w:ascii="Times New Roman" w:eastAsia="Times New Roman" w:hAnsi="Times New Roman" w:cs="Times New Roman"/>
          <w:b/>
          <w:bCs/>
          <w:sz w:val="36"/>
          <w:szCs w:val="36"/>
        </w:rPr>
        <w:t>1. Overview</w:t>
      </w:r>
    </w:p>
    <w:p w14:paraId="682FAC5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Name:</w:t>
      </w:r>
      <w:r w:rsidRPr="004D405C">
        <w:rPr>
          <w:rFonts w:ascii="Times New Roman" w:eastAsia="Times New Roman" w:hAnsi="Times New Roman" w:cs="Times New Roman"/>
          <w:sz w:val="24"/>
          <w:szCs w:val="24"/>
        </w:rPr>
        <w:t xml:space="preserve"> Earnings Trend</w:t>
      </w:r>
    </w:p>
    <w:p w14:paraId="07F421A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Short Name:</w:t>
      </w:r>
      <w:r w:rsidRPr="004D405C">
        <w:rPr>
          <w:rFonts w:ascii="Times New Roman" w:eastAsia="Times New Roman" w:hAnsi="Times New Roman" w:cs="Times New Roman"/>
          <w:sz w:val="24"/>
          <w:szCs w:val="24"/>
        </w:rPr>
        <w:t xml:space="preserve"> Earnings Trend</w:t>
      </w:r>
    </w:p>
    <w:p w14:paraId="3BBC1AE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p>
    <w:p w14:paraId="3A5FCBF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Market Health</w:t>
      </w:r>
    </w:p>
    <w:p w14:paraId="0821366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Purpose:</w:t>
      </w:r>
    </w:p>
    <w:p w14:paraId="7D30B53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Measures the direction and consistency of corporate earnings over multiple reporting periods. It helps determine whether overall earnings momentum is improving, stable, or deteriorating.</w:t>
      </w:r>
    </w:p>
    <w:p w14:paraId="50A4770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Based On:</w:t>
      </w:r>
    </w:p>
    <w:p w14:paraId="50778AE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Historical EPS and Net Profit Growth</w:t>
      </w:r>
    </w:p>
    <w:p w14:paraId="1517C82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Importance:</w:t>
      </w:r>
    </w:p>
    <w:p w14:paraId="4C6782D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(Market Health Indicator)</w:t>
      </w:r>
    </w:p>
    <w:p w14:paraId="3A14900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Auto / Manual:</w:t>
      </w:r>
    </w:p>
    <w:p w14:paraId="41E5854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Manual (V1)</w:t>
      </w:r>
    </w:p>
    <w:p w14:paraId="1D35D10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 Frequency:</w:t>
      </w:r>
    </w:p>
    <w:p w14:paraId="349FC44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every quarterly earnings season.</w:t>
      </w:r>
    </w:p>
    <w:p w14:paraId="703A3C2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Praxis Note:</w:t>
      </w:r>
    </w:p>
    <w:p w14:paraId="0523566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Unlike EPS Growth, which measures a single reporting period, Earnings Trend evaluates the consistency of earnings over time. Sustained earnings growth is a stronger indicator than a single quarter of strong results.</w:t>
      </w:r>
    </w:p>
    <w:p w14:paraId="37B66EF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90F47A9">
          <v:rect id="_x0000_i1601" style="width:0;height:1.5pt" o:hralign="center" o:hrstd="t" o:hr="t" fillcolor="#a0a0a0" stroked="f"/>
        </w:pict>
      </w:r>
    </w:p>
    <w:p w14:paraId="6CCC6A8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2. Data Requirements</w:t>
      </w:r>
    </w:p>
    <w:p w14:paraId="7920751E"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Required Data</w:t>
      </w:r>
    </w:p>
    <w:p w14:paraId="6D39EE44" w14:textId="77777777" w:rsidR="004D405C" w:rsidRPr="004D405C" w:rsidRDefault="004D405C" w:rsidP="004D405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EPS </w:t>
      </w:r>
    </w:p>
    <w:p w14:paraId="627695F8" w14:textId="77777777" w:rsidR="004D405C" w:rsidRPr="004D405C" w:rsidRDefault="004D405C" w:rsidP="004D405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Net Profit </w:t>
      </w:r>
    </w:p>
    <w:p w14:paraId="7A644141" w14:textId="77777777" w:rsidR="004D405C" w:rsidRPr="004D405C" w:rsidRDefault="004D405C" w:rsidP="004D405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Quarterly Earnings History </w:t>
      </w:r>
    </w:p>
    <w:p w14:paraId="7328459C" w14:textId="77777777" w:rsidR="004D405C" w:rsidRPr="004D405C" w:rsidRDefault="004D405C" w:rsidP="004D405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Earnings Trend </w:t>
      </w:r>
    </w:p>
    <w:p w14:paraId="6B035A3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Minimum Historical Data</w:t>
      </w:r>
    </w:p>
    <w:p w14:paraId="7AA818F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 Quarterly Reports</w:t>
      </w:r>
    </w:p>
    <w:p w14:paraId="1DD3803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Recommended:</w:t>
      </w:r>
    </w:p>
    <w:p w14:paraId="55EBBEB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 Years</w:t>
      </w:r>
    </w:p>
    <w:p w14:paraId="500127EF"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Primary Source</w:t>
      </w:r>
    </w:p>
    <w:p w14:paraId="5765DC68" w14:textId="77777777" w:rsidR="004D405C" w:rsidRPr="004D405C" w:rsidRDefault="004D405C" w:rsidP="004D405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Financial Results </w:t>
      </w:r>
    </w:p>
    <w:p w14:paraId="79C560CA" w14:textId="77777777" w:rsidR="004D405C" w:rsidRPr="004D405C" w:rsidRDefault="004D405C" w:rsidP="004D405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Company Financial Statements </w:t>
      </w:r>
    </w:p>
    <w:p w14:paraId="241F0B83" w14:textId="77777777" w:rsidR="004D405C" w:rsidRPr="004D405C" w:rsidRDefault="004D405C" w:rsidP="004D405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Annual Reports </w:t>
      </w:r>
    </w:p>
    <w:p w14:paraId="56096A3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A3CCAD4">
          <v:rect id="_x0000_i1602" style="width:0;height:1.5pt" o:hralign="center" o:hrstd="t" o:hr="t" fillcolor="#a0a0a0" stroked="f"/>
        </w:pict>
      </w:r>
    </w:p>
    <w:p w14:paraId="423DBB9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3. Industry Standard Calculation</w:t>
      </w:r>
    </w:p>
    <w:p w14:paraId="55518AD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Method</w:t>
      </w:r>
    </w:p>
    <w:p w14:paraId="3448E3F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Evaluate earnings over multiple reporting periods by measuring the direction and consistency of EPS and Net Profit.</w:t>
      </w:r>
    </w:p>
    <w:p w14:paraId="6B5DCCC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Implementation Steps</w:t>
      </w:r>
    </w:p>
    <w:p w14:paraId="0886A10E" w14:textId="77777777" w:rsidR="004D405C" w:rsidRPr="004D405C" w:rsidRDefault="004D405C" w:rsidP="004D405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historical quarterly EPS. </w:t>
      </w:r>
    </w:p>
    <w:p w14:paraId="2FDD3BC7" w14:textId="77777777" w:rsidR="004D405C" w:rsidRPr="004D405C" w:rsidRDefault="004D405C" w:rsidP="004D405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historical quarterly Net Profit. </w:t>
      </w:r>
    </w:p>
    <w:p w14:paraId="554B02C8" w14:textId="77777777" w:rsidR="004D405C" w:rsidRPr="004D405C" w:rsidRDefault="004D405C" w:rsidP="004D405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Determine whether earnings are improving, stable, or declining. </w:t>
      </w:r>
    </w:p>
    <w:p w14:paraId="39B6830E" w14:textId="77777777" w:rsidR="004D405C" w:rsidRPr="004D405C" w:rsidRDefault="004D405C" w:rsidP="004D405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Generate the Earnings Trend Score. </w:t>
      </w:r>
    </w:p>
    <w:p w14:paraId="29CE861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72FB815D" w14:textId="77777777" w:rsidR="004D405C" w:rsidRPr="004D405C" w:rsidRDefault="004D405C" w:rsidP="004D405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Prefer Year-over-Year quarterly comparisons. </w:t>
      </w:r>
    </w:p>
    <w:p w14:paraId="359EB888" w14:textId="77777777" w:rsidR="004D405C" w:rsidRPr="004D405C" w:rsidRDefault="004D405C" w:rsidP="004D405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at least eight quarters of data. </w:t>
      </w:r>
    </w:p>
    <w:p w14:paraId="251A1B0A" w14:textId="77777777" w:rsidR="004D405C" w:rsidRPr="004D405C" w:rsidRDefault="004D405C" w:rsidP="004D405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Ignore one-time exceptional gains where possible. </w:t>
      </w:r>
    </w:p>
    <w:p w14:paraId="758C1C1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93DF5D6">
          <v:rect id="_x0000_i1603" style="width:0;height:1.5pt" o:hralign="center" o:hrstd="t" o:hr="t" fillcolor="#a0a0a0" stroked="f"/>
        </w:pict>
      </w:r>
    </w:p>
    <w:p w14:paraId="1B1F30F8"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4. Card Fields</w:t>
      </w:r>
    </w:p>
    <w:p w14:paraId="16A668F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Current Trend</w:t>
      </w:r>
    </w:p>
    <w:p w14:paraId="0916BC62" w14:textId="77777777" w:rsidR="004D405C" w:rsidRPr="004D405C" w:rsidRDefault="004D405C" w:rsidP="004D405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Improving </w:t>
      </w:r>
    </w:p>
    <w:p w14:paraId="4845A27D" w14:textId="77777777" w:rsidR="004D405C" w:rsidRPr="004D405C" w:rsidRDefault="004D405C" w:rsidP="004D405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Stable </w:t>
      </w:r>
    </w:p>
    <w:p w14:paraId="327779AA" w14:textId="77777777" w:rsidR="004D405C" w:rsidRPr="004D405C" w:rsidRDefault="004D405C" w:rsidP="004D405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Weakening </w:t>
      </w:r>
    </w:p>
    <w:p w14:paraId="2C8349F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Quarterly Trend</w:t>
      </w:r>
    </w:p>
    <w:p w14:paraId="43B8A4E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earnings direction</w:t>
      </w:r>
    </w:p>
    <w:p w14:paraId="1D9BF40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Score</w:t>
      </w:r>
    </w:p>
    <w:p w14:paraId="02EDD23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0–100</w:t>
      </w:r>
    </w:p>
    <w:p w14:paraId="78A7473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Bias</w:t>
      </w:r>
    </w:p>
    <w:p w14:paraId="44653AF8" w14:textId="77777777" w:rsidR="004D405C" w:rsidRPr="004D405C" w:rsidRDefault="004D405C" w:rsidP="004D405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Bullish </w:t>
      </w:r>
    </w:p>
    <w:p w14:paraId="7A94090B" w14:textId="77777777" w:rsidR="004D405C" w:rsidRPr="004D405C" w:rsidRDefault="004D405C" w:rsidP="004D405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Neutral </w:t>
      </w:r>
    </w:p>
    <w:p w14:paraId="1C2BD9BE" w14:textId="77777777" w:rsidR="004D405C" w:rsidRPr="004D405C" w:rsidRDefault="004D405C" w:rsidP="004D405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Bearish </w:t>
      </w:r>
    </w:p>
    <w:p w14:paraId="594D137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Confidence</w:t>
      </w:r>
    </w:p>
    <w:p w14:paraId="7CF13E2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Market Health Confidence</w:t>
      </w:r>
    </w:p>
    <w:p w14:paraId="4DE9802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Impact Weight</w:t>
      </w:r>
    </w:p>
    <w:p w14:paraId="11E573D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w:t>
      </w:r>
    </w:p>
    <w:p w14:paraId="2A99D0A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90D163D">
          <v:rect id="_x0000_i1604" style="width:0;height:1.5pt" o:hralign="center" o:hrstd="t" o:hr="t" fillcolor="#a0a0a0" stroked="f"/>
        </w:pict>
      </w:r>
    </w:p>
    <w:p w14:paraId="69E57BF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5"/>
        <w:gridCol w:w="634"/>
        <w:gridCol w:w="1509"/>
      </w:tblGrid>
      <w:tr w:rsidR="004D405C" w:rsidRPr="004D405C" w14:paraId="4B40826E" w14:textId="77777777" w:rsidTr="004D405C">
        <w:trPr>
          <w:tblHeader/>
          <w:tblCellSpacing w:w="15" w:type="dxa"/>
        </w:trPr>
        <w:tc>
          <w:tcPr>
            <w:tcW w:w="0" w:type="auto"/>
            <w:vAlign w:val="center"/>
            <w:hideMark/>
          </w:tcPr>
          <w:p w14:paraId="23D0A305"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Condition</w:t>
            </w:r>
          </w:p>
        </w:tc>
        <w:tc>
          <w:tcPr>
            <w:tcW w:w="0" w:type="auto"/>
            <w:vAlign w:val="center"/>
            <w:hideMark/>
          </w:tcPr>
          <w:p w14:paraId="160AC1D3"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Score</w:t>
            </w:r>
          </w:p>
        </w:tc>
        <w:tc>
          <w:tcPr>
            <w:tcW w:w="0" w:type="auto"/>
            <w:vAlign w:val="center"/>
            <w:hideMark/>
          </w:tcPr>
          <w:p w14:paraId="35BA6850"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Bias</w:t>
            </w:r>
          </w:p>
        </w:tc>
      </w:tr>
      <w:tr w:rsidR="004D405C" w:rsidRPr="004D405C" w14:paraId="31A54A13" w14:textId="77777777" w:rsidTr="004D405C">
        <w:trPr>
          <w:tblCellSpacing w:w="15" w:type="dxa"/>
        </w:trPr>
        <w:tc>
          <w:tcPr>
            <w:tcW w:w="0" w:type="auto"/>
            <w:vAlign w:val="center"/>
            <w:hideMark/>
          </w:tcPr>
          <w:p w14:paraId="04D886B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Multi-Quarter Improvement</w:t>
            </w:r>
          </w:p>
        </w:tc>
        <w:tc>
          <w:tcPr>
            <w:tcW w:w="0" w:type="auto"/>
            <w:vAlign w:val="center"/>
            <w:hideMark/>
          </w:tcPr>
          <w:p w14:paraId="01B5ACC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tc>
        <w:tc>
          <w:tcPr>
            <w:tcW w:w="0" w:type="auto"/>
            <w:vAlign w:val="center"/>
            <w:hideMark/>
          </w:tcPr>
          <w:p w14:paraId="31B2C110"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Bullish</w:t>
            </w:r>
          </w:p>
        </w:tc>
      </w:tr>
      <w:tr w:rsidR="004D405C" w:rsidRPr="004D405C" w14:paraId="49AFAEDA" w14:textId="77777777" w:rsidTr="004D405C">
        <w:trPr>
          <w:tblCellSpacing w:w="15" w:type="dxa"/>
        </w:trPr>
        <w:tc>
          <w:tcPr>
            <w:tcW w:w="0" w:type="auto"/>
            <w:vAlign w:val="center"/>
            <w:hideMark/>
          </w:tcPr>
          <w:p w14:paraId="2D177B6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Improving Trend</w:t>
            </w:r>
          </w:p>
        </w:tc>
        <w:tc>
          <w:tcPr>
            <w:tcW w:w="0" w:type="auto"/>
            <w:vAlign w:val="center"/>
            <w:hideMark/>
          </w:tcPr>
          <w:p w14:paraId="78E67A6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82</w:t>
            </w:r>
          </w:p>
        </w:tc>
        <w:tc>
          <w:tcPr>
            <w:tcW w:w="0" w:type="auto"/>
            <w:vAlign w:val="center"/>
            <w:hideMark/>
          </w:tcPr>
          <w:p w14:paraId="3CF2CD0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tc>
      </w:tr>
      <w:tr w:rsidR="004D405C" w:rsidRPr="004D405C" w14:paraId="0CB76A3A" w14:textId="77777777" w:rsidTr="004D405C">
        <w:trPr>
          <w:tblCellSpacing w:w="15" w:type="dxa"/>
        </w:trPr>
        <w:tc>
          <w:tcPr>
            <w:tcW w:w="0" w:type="auto"/>
            <w:vAlign w:val="center"/>
            <w:hideMark/>
          </w:tcPr>
          <w:p w14:paraId="73D3B4F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Stable Trend</w:t>
            </w:r>
          </w:p>
        </w:tc>
        <w:tc>
          <w:tcPr>
            <w:tcW w:w="0" w:type="auto"/>
            <w:vAlign w:val="center"/>
            <w:hideMark/>
          </w:tcPr>
          <w:p w14:paraId="1BD2446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tc>
        <w:tc>
          <w:tcPr>
            <w:tcW w:w="0" w:type="auto"/>
            <w:vAlign w:val="center"/>
            <w:hideMark/>
          </w:tcPr>
          <w:p w14:paraId="6C978AD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tc>
      </w:tr>
      <w:tr w:rsidR="004D405C" w:rsidRPr="004D405C" w14:paraId="2EFC9806" w14:textId="77777777" w:rsidTr="004D405C">
        <w:trPr>
          <w:tblCellSpacing w:w="15" w:type="dxa"/>
        </w:trPr>
        <w:tc>
          <w:tcPr>
            <w:tcW w:w="0" w:type="auto"/>
            <w:vAlign w:val="center"/>
            <w:hideMark/>
          </w:tcPr>
          <w:p w14:paraId="7372E50B"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Weakening Trend</w:t>
            </w:r>
          </w:p>
        </w:tc>
        <w:tc>
          <w:tcPr>
            <w:tcW w:w="0" w:type="auto"/>
            <w:vAlign w:val="center"/>
            <w:hideMark/>
          </w:tcPr>
          <w:p w14:paraId="19C9DD1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w:t>
            </w:r>
          </w:p>
        </w:tc>
        <w:tc>
          <w:tcPr>
            <w:tcW w:w="0" w:type="auto"/>
            <w:vAlign w:val="center"/>
            <w:hideMark/>
          </w:tcPr>
          <w:p w14:paraId="7034A72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tc>
      </w:tr>
      <w:tr w:rsidR="004D405C" w:rsidRPr="004D405C" w14:paraId="33ADEEA6" w14:textId="77777777" w:rsidTr="004D405C">
        <w:trPr>
          <w:tblCellSpacing w:w="15" w:type="dxa"/>
        </w:trPr>
        <w:tc>
          <w:tcPr>
            <w:tcW w:w="0" w:type="auto"/>
            <w:vAlign w:val="center"/>
            <w:hideMark/>
          </w:tcPr>
          <w:p w14:paraId="2B60DB8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Continuous Earnings Decline</w:t>
            </w:r>
          </w:p>
        </w:tc>
        <w:tc>
          <w:tcPr>
            <w:tcW w:w="0" w:type="auto"/>
            <w:vAlign w:val="center"/>
            <w:hideMark/>
          </w:tcPr>
          <w:p w14:paraId="3DD35AA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w:t>
            </w:r>
          </w:p>
        </w:tc>
        <w:tc>
          <w:tcPr>
            <w:tcW w:w="0" w:type="auto"/>
            <w:vAlign w:val="center"/>
            <w:hideMark/>
          </w:tcPr>
          <w:p w14:paraId="7048CB58"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tc>
      </w:tr>
    </w:tbl>
    <w:p w14:paraId="32A91D9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1CDFED30" w14:textId="77777777" w:rsidR="004D405C" w:rsidRPr="004D405C" w:rsidRDefault="004D405C" w:rsidP="004D405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Multiple </w:t>
      </w:r>
      <w:proofErr w:type="gramStart"/>
      <w:r w:rsidRPr="004D405C">
        <w:rPr>
          <w:rFonts w:ascii="Times New Roman" w:eastAsia="Times New Roman" w:hAnsi="Times New Roman" w:cs="Times New Roman"/>
          <w:sz w:val="24"/>
          <w:szCs w:val="24"/>
        </w:rPr>
        <w:t>consecutive</w:t>
      </w:r>
      <w:proofErr w:type="gramEnd"/>
      <w:r w:rsidRPr="004D405C">
        <w:rPr>
          <w:rFonts w:ascii="Times New Roman" w:eastAsia="Times New Roman" w:hAnsi="Times New Roman" w:cs="Times New Roman"/>
          <w:sz w:val="24"/>
          <w:szCs w:val="24"/>
        </w:rPr>
        <w:t xml:space="preserve"> improving quarters receive the highest score. </w:t>
      </w:r>
    </w:p>
    <w:p w14:paraId="559B160A" w14:textId="77777777" w:rsidR="004D405C" w:rsidRPr="004D405C" w:rsidRDefault="004D405C" w:rsidP="004D405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Stable earnings are preferred over volatile earnings. </w:t>
      </w:r>
    </w:p>
    <w:p w14:paraId="39A9620A" w14:textId="77777777" w:rsidR="004D405C" w:rsidRPr="004D405C" w:rsidRDefault="004D405C" w:rsidP="004D405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Consistent declines significantly reduce the score. </w:t>
      </w:r>
    </w:p>
    <w:p w14:paraId="3222DC6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61B19F8">
          <v:rect id="_x0000_i1605" style="width:0;height:1.5pt" o:hralign="center" o:hrstd="t" o:hr="t" fillcolor="#a0a0a0" stroked="f"/>
        </w:pict>
      </w:r>
    </w:p>
    <w:p w14:paraId="7E6DE27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6. Bias Rules</w:t>
      </w:r>
    </w:p>
    <w:p w14:paraId="5895A58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Improving Earnings Trend</w:t>
      </w:r>
    </w:p>
    <w:p w14:paraId="7FFD069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p w14:paraId="28F285B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Stable Earnings</w:t>
      </w:r>
    </w:p>
    <w:p w14:paraId="7B0022B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p w14:paraId="4F413FB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Weakening Earnings</w:t>
      </w:r>
    </w:p>
    <w:p w14:paraId="1535488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p w14:paraId="382C847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Three or More Consecutive Declining Quarters</w:t>
      </w:r>
    </w:p>
    <w:p w14:paraId="1EE1A04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p w14:paraId="50CE39E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8C029F1">
          <v:rect id="_x0000_i1606" style="width:0;height:1.5pt" o:hralign="center" o:hrstd="t" o:hr="t" fillcolor="#a0a0a0" stroked="f"/>
        </w:pict>
      </w:r>
    </w:p>
    <w:p w14:paraId="12902DA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7. Confidence Logic</w:t>
      </w:r>
    </w:p>
    <w:p w14:paraId="40345E9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 Confidence</w:t>
      </w:r>
    </w:p>
    <w:p w14:paraId="341DE1E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85%</w:t>
      </w:r>
    </w:p>
    <w:p w14:paraId="796F6DD2"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Increase Confidence</w:t>
      </w:r>
    </w:p>
    <w:p w14:paraId="42D4FF8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Eight consecutive quarterly reports available</w:t>
      </w:r>
    </w:p>
    <w:p w14:paraId="005AFF9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Consistent earnings improvement</w:t>
      </w:r>
    </w:p>
    <w:p w14:paraId="3E0AE8E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+5% Audited financial statements</w:t>
      </w:r>
    </w:p>
    <w:p w14:paraId="43963C4A"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Decrease Confidence</w:t>
      </w:r>
    </w:p>
    <w:p w14:paraId="7593BE9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Manual entry</w:t>
      </w:r>
    </w:p>
    <w:p w14:paraId="4003B3A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Missing quarterly reports</w:t>
      </w:r>
    </w:p>
    <w:p w14:paraId="690FA67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Significant one-time earnings adjustments</w:t>
      </w:r>
    </w:p>
    <w:p w14:paraId="1872282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6E7B42D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p w14:paraId="09C061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345B618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p w14:paraId="30B9E59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F15DD24">
          <v:rect id="_x0000_i1607" style="width:0;height:1.5pt" o:hralign="center" o:hrstd="t" o:hr="t" fillcolor="#a0a0a0" stroked="f"/>
        </w:pict>
      </w:r>
    </w:p>
    <w:p w14:paraId="66A8BDDF"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8. Score Range Bar</w:t>
      </w:r>
    </w:p>
    <w:p w14:paraId="7288F7D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0B97E4A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w:t>
      </w:r>
    </w:p>
    <w:p w14:paraId="5D2C429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0602BBB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w:t>
      </w:r>
    </w:p>
    <w:p w14:paraId="31E781A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Pointer</w:t>
      </w:r>
    </w:p>
    <w:p w14:paraId="1965529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Score</w:t>
      </w:r>
    </w:p>
    <w:p w14:paraId="5F1E0E7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Average Marker</w:t>
      </w:r>
    </w:p>
    <w:p w14:paraId="1F1D0FF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8-Quarter Average Score</w:t>
      </w:r>
    </w:p>
    <w:p w14:paraId="38FA6DCB"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Color Zones</w:t>
      </w:r>
    </w:p>
    <w:p w14:paraId="7A52D04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 → Declining</w:t>
      </w:r>
    </w:p>
    <w:p w14:paraId="560CEAD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30–60 → Weak</w:t>
      </w:r>
    </w:p>
    <w:p w14:paraId="489B0D9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60–80 → Stable</w:t>
      </w:r>
    </w:p>
    <w:p w14:paraId="7F65CDA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80–100 → Strong Growth</w:t>
      </w:r>
    </w:p>
    <w:p w14:paraId="7F901B9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4D178B5">
          <v:rect id="_x0000_i1608" style="width:0;height:1.5pt" o:hralign="center" o:hrstd="t" o:hr="t" fillcolor="#a0a0a0" stroked="f"/>
        </w:pict>
      </w:r>
    </w:p>
    <w:p w14:paraId="567E930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9. Dual Trend Chart</w:t>
      </w:r>
    </w:p>
    <w:p w14:paraId="50DAFEB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Chart Type</w:t>
      </w:r>
    </w:p>
    <w:p w14:paraId="7C6A421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Dual Line</w:t>
      </w:r>
    </w:p>
    <w:p w14:paraId="137557A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1</w:t>
      </w:r>
    </w:p>
    <w:p w14:paraId="17AF59B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Quarterly Earnings Trend</w:t>
      </w:r>
    </w:p>
    <w:p w14:paraId="3D10702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2</w:t>
      </w:r>
    </w:p>
    <w:p w14:paraId="3AAA8ED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Praxis Score</w:t>
      </w:r>
    </w:p>
    <w:p w14:paraId="3C3764D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History</w:t>
      </w:r>
    </w:p>
    <w:p w14:paraId="34245A8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Last 8 Quarterly Reports</w:t>
      </w:r>
    </w:p>
    <w:p w14:paraId="71B2DA3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w:t>
      </w:r>
    </w:p>
    <w:p w14:paraId="756B627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every quarterly earnings release.</w:t>
      </w:r>
    </w:p>
    <w:p w14:paraId="33AEAA9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3108E4C">
          <v:rect id="_x0000_i1609" style="width:0;height:1.5pt" o:hralign="center" o:hrstd="t" o:hr="t" fillcolor="#a0a0a0" stroked="f"/>
        </w:pict>
      </w:r>
    </w:p>
    <w:p w14:paraId="4ED2E72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10. AI Insight Rules</w:t>
      </w:r>
    </w:p>
    <w:p w14:paraId="0BF99E0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Strong Improving Trend</w:t>
      </w:r>
    </w:p>
    <w:p w14:paraId="02303F8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corporate earnings have improved consistently over multiple quarters, supporting stronger long-term fundamentals.</w:t>
      </w:r>
    </w:p>
    <w:p w14:paraId="1000B38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Improving Trend</w:t>
      </w:r>
    </w:p>
    <w:p w14:paraId="05F3BAA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earnings momentum remains positive.</w:t>
      </w:r>
    </w:p>
    <w:p w14:paraId="724B7DA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Stable Trend</w:t>
      </w:r>
    </w:p>
    <w:p w14:paraId="551FDD8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earnings remain relatively consistent without significant acceleration.</w:t>
      </w:r>
    </w:p>
    <w:p w14:paraId="4282AC6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Weakening Trend</w:t>
      </w:r>
    </w:p>
    <w:p w14:paraId="2A1CF13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Explain that earnings momentum has slowed and should be monitored.</w:t>
      </w:r>
    </w:p>
    <w:p w14:paraId="335F9AB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Continuous Decline</w:t>
      </w:r>
    </w:p>
    <w:p w14:paraId="75BFF58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sustained earnings deterioration increases long-term investment risk.</w:t>
      </w:r>
    </w:p>
    <w:p w14:paraId="603A8CE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D2FCB95">
          <v:rect id="_x0000_i1610" style="width:0;height:1.5pt" o:hralign="center" o:hrstd="t" o:hr="t" fillcolor="#a0a0a0" stroked="f"/>
        </w:pict>
      </w:r>
    </w:p>
    <w:p w14:paraId="413CBD42"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11. Why It Matters</w:t>
      </w:r>
    </w:p>
    <w:p w14:paraId="5235550F" w14:textId="77777777" w:rsidR="004D405C" w:rsidRPr="004D405C" w:rsidRDefault="004D405C" w:rsidP="004D405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long-term earnings momentum. </w:t>
      </w:r>
    </w:p>
    <w:p w14:paraId="630CF03F" w14:textId="77777777" w:rsidR="004D405C" w:rsidRPr="004D405C" w:rsidRDefault="004D405C" w:rsidP="004D405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Identifies improving or weakening business cycles. </w:t>
      </w:r>
    </w:p>
    <w:p w14:paraId="02698BE3" w14:textId="77777777" w:rsidR="004D405C" w:rsidRPr="004D405C" w:rsidRDefault="004D405C" w:rsidP="004D405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Confirms sustainability of earnings growth. </w:t>
      </w:r>
    </w:p>
    <w:p w14:paraId="262845A1" w14:textId="77777777" w:rsidR="004D405C" w:rsidRPr="004D405C" w:rsidRDefault="004D405C" w:rsidP="004D405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Supports valuation analysis. </w:t>
      </w:r>
    </w:p>
    <w:p w14:paraId="7203F3E0" w14:textId="77777777" w:rsidR="004D405C" w:rsidRPr="004D405C" w:rsidRDefault="004D405C" w:rsidP="004D405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Reduces reliance on single-quarter results. </w:t>
      </w:r>
    </w:p>
    <w:p w14:paraId="1CAFC6A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DA1E207">
          <v:rect id="_x0000_i1611" style="width:0;height:1.5pt" o:hralign="center" o:hrstd="t" o:hr="t" fillcolor="#a0a0a0" stroked="f"/>
        </w:pict>
      </w:r>
    </w:p>
    <w:p w14:paraId="1E65765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12. Trading Impact</w:t>
      </w:r>
    </w:p>
    <w:p w14:paraId="357A013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Intraday</w:t>
      </w:r>
    </w:p>
    <w:p w14:paraId="248D360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p>
    <w:p w14:paraId="585E9A5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Swing Trading</w:t>
      </w:r>
    </w:p>
    <w:p w14:paraId="4053AF6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657C09C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Positional Trading</w:t>
      </w:r>
    </w:p>
    <w:p w14:paraId="62902CE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50184FD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Options Trading</w:t>
      </w:r>
    </w:p>
    <w:p w14:paraId="4FBB0F5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5647831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Best Use</w:t>
      </w:r>
    </w:p>
    <w:p w14:paraId="107C31E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Evaluating long-term earnings consistency.</w:t>
      </w:r>
    </w:p>
    <w:p w14:paraId="0793B8D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Avoid Using Alone</w:t>
      </w:r>
    </w:p>
    <w:p w14:paraId="49262FD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Yes</w:t>
      </w:r>
    </w:p>
    <w:p w14:paraId="59057BD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pict w14:anchorId="56690AA5">
          <v:rect id="_x0000_i1612" style="width:0;height:1.5pt" o:hralign="center" o:hrstd="t" o:hr="t" fillcolor="#a0a0a0" stroked="f"/>
        </w:pict>
      </w:r>
    </w:p>
    <w:p w14:paraId="426C6D7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13. Supporting Indicators</w:t>
      </w:r>
    </w:p>
    <w:p w14:paraId="54B0A5A7" w14:textId="77777777" w:rsidR="004D405C" w:rsidRPr="004D405C" w:rsidRDefault="004D405C" w:rsidP="004D405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EPS Growth </w:t>
      </w:r>
    </w:p>
    <w:p w14:paraId="17CFEAB0" w14:textId="77777777" w:rsidR="004D405C" w:rsidRPr="004D405C" w:rsidRDefault="004D405C" w:rsidP="004D405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Profit Growth </w:t>
      </w:r>
    </w:p>
    <w:p w14:paraId="1E6B0E73" w14:textId="77777777" w:rsidR="004D405C" w:rsidRPr="004D405C" w:rsidRDefault="004D405C" w:rsidP="004D405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Revenue Growth </w:t>
      </w:r>
    </w:p>
    <w:p w14:paraId="0C160136" w14:textId="77777777" w:rsidR="004D405C" w:rsidRPr="004D405C" w:rsidRDefault="004D405C" w:rsidP="004D405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PE Ratio </w:t>
      </w:r>
    </w:p>
    <w:p w14:paraId="43392745" w14:textId="77777777" w:rsidR="004D405C" w:rsidRPr="004D405C" w:rsidRDefault="004D405C" w:rsidP="004D405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Forward PE </w:t>
      </w:r>
    </w:p>
    <w:p w14:paraId="02A453D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6CA4F8F">
          <v:rect id="_x0000_i1613" style="width:0;height:1.5pt" o:hralign="center" o:hrstd="t" o:hr="t" fillcolor="#a0a0a0" stroked="f"/>
        </w:pict>
      </w:r>
    </w:p>
    <w:p w14:paraId="753032E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14. Metadata</w:t>
      </w:r>
    </w:p>
    <w:p w14:paraId="551E51D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Source</w:t>
      </w:r>
    </w:p>
    <w:p w14:paraId="0736883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NSE Financial Results</w:t>
      </w:r>
    </w:p>
    <w:p w14:paraId="52154B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Calculation</w:t>
      </w:r>
    </w:p>
    <w:p w14:paraId="16002D5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Backend</w:t>
      </w:r>
    </w:p>
    <w:p w14:paraId="1FD79F7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Updated</w:t>
      </w:r>
    </w:p>
    <w:p w14:paraId="2E0DA20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Quarterly</w:t>
      </w:r>
    </w:p>
    <w:p w14:paraId="5C0D9B7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b/>
          <w:bCs/>
          <w:sz w:val="24"/>
          <w:szCs w:val="24"/>
        </w:rPr>
        <w:t>Timezone</w:t>
      </w:r>
      <w:proofErr w:type="spellEnd"/>
    </w:p>
    <w:p w14:paraId="1111210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Asia/Kolkata</w:t>
      </w:r>
    </w:p>
    <w:p w14:paraId="592D07B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Storage</w:t>
      </w:r>
    </w:p>
    <w:p w14:paraId="2F8E198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Local Electron Database</w:t>
      </w:r>
    </w:p>
    <w:p w14:paraId="79770BC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A5ADED6">
          <v:rect id="_x0000_i1614" style="width:0;height:1.5pt" o:hralign="center" o:hrstd="t" o:hr="t" fillcolor="#a0a0a0" stroked="f"/>
        </w:pict>
      </w:r>
    </w:p>
    <w:p w14:paraId="670C2EDB"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15. Developer Notes</w:t>
      </w:r>
    </w:p>
    <w:p w14:paraId="596E65B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Store:</w:t>
      </w:r>
    </w:p>
    <w:p w14:paraId="7B421039" w14:textId="77777777" w:rsidR="004D405C" w:rsidRPr="004D405C" w:rsidRDefault="004D405C" w:rsidP="004D405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Quarterly EPS History </w:t>
      </w:r>
    </w:p>
    <w:p w14:paraId="3075519F" w14:textId="77777777" w:rsidR="004D405C" w:rsidRPr="004D405C" w:rsidRDefault="004D405C" w:rsidP="004D405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Quarterly Net Profit History </w:t>
      </w:r>
    </w:p>
    <w:p w14:paraId="1FC8FE6E" w14:textId="77777777" w:rsidR="004D405C" w:rsidRPr="004D405C" w:rsidRDefault="004D405C" w:rsidP="004D405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Earnings Trend </w:t>
      </w:r>
    </w:p>
    <w:p w14:paraId="7CD5883E" w14:textId="77777777" w:rsidR="004D405C" w:rsidRPr="004D405C" w:rsidRDefault="004D405C" w:rsidP="004D405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Current Score </w:t>
      </w:r>
    </w:p>
    <w:p w14:paraId="26D89AE7" w14:textId="77777777" w:rsidR="004D405C" w:rsidRPr="004D405C" w:rsidRDefault="004D405C" w:rsidP="004D405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Confidence </w:t>
      </w:r>
    </w:p>
    <w:p w14:paraId="5EBB4471" w14:textId="77777777" w:rsidR="004D405C" w:rsidRPr="004D405C" w:rsidRDefault="004D405C" w:rsidP="004D405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Last Updated </w:t>
      </w:r>
    </w:p>
    <w:p w14:paraId="513D898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Require a minimum of eight quarterly observations before assigning a trend. If insufficient data exists, display </w:t>
      </w:r>
      <w:r w:rsidRPr="004D405C">
        <w:rPr>
          <w:rFonts w:ascii="Times New Roman" w:eastAsia="Times New Roman" w:hAnsi="Times New Roman" w:cs="Times New Roman"/>
          <w:b/>
          <w:bCs/>
          <w:sz w:val="24"/>
          <w:szCs w:val="24"/>
        </w:rPr>
        <w:t>"Insufficient Data"</w:t>
      </w:r>
      <w:r w:rsidRPr="004D405C">
        <w:rPr>
          <w:rFonts w:ascii="Times New Roman" w:eastAsia="Times New Roman" w:hAnsi="Times New Roman" w:cs="Times New Roman"/>
          <w:sz w:val="24"/>
          <w:szCs w:val="24"/>
        </w:rPr>
        <w:t xml:space="preserve"> and reduce confidence.</w:t>
      </w:r>
    </w:p>
    <w:p w14:paraId="40D2D2A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B23B94B">
          <v:rect id="_x0000_i1615" style="width:0;height:1.5pt" o:hralign="center" o:hrstd="t" o:hr="t" fillcolor="#a0a0a0" stroked="f"/>
        </w:pict>
      </w:r>
    </w:p>
    <w:p w14:paraId="72E7D76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 xml:space="preserve">16. Praxis Engine Integration </w:t>
      </w:r>
      <w:r w:rsidRPr="004D405C">
        <w:rPr>
          <w:rFonts w:ascii="Segoe UI Emoji" w:eastAsia="Times New Roman" w:hAnsi="Segoe UI Emoji" w:cs="Segoe UI Emoji"/>
          <w:b/>
          <w:bCs/>
          <w:kern w:val="36"/>
          <w:sz w:val="48"/>
          <w:szCs w:val="48"/>
        </w:rPr>
        <w:t>⭐</w:t>
      </w:r>
    </w:p>
    <w:p w14:paraId="433FBE5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Engine Weight</w:t>
      </w:r>
    </w:p>
    <w:p w14:paraId="7F752E4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 (Configurable)</w:t>
      </w:r>
    </w:p>
    <w:p w14:paraId="4D7D0F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Relative Importance</w:t>
      </w:r>
    </w:p>
    <w:p w14:paraId="51BABE8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Medium-High</w:t>
      </w:r>
    </w:p>
    <w:p w14:paraId="042B405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Decision Engine Role</w:t>
      </w:r>
    </w:p>
    <w:p w14:paraId="0A4F3B0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Earnings Momentum Assessment</w:t>
      </w:r>
    </w:p>
    <w:p w14:paraId="1C97EF4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Primary Use</w:t>
      </w:r>
    </w:p>
    <w:p w14:paraId="0BC272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Evaluate the consistency and direction of corporate earnings over multiple reporting periods.</w:t>
      </w:r>
    </w:p>
    <w:p w14:paraId="3DB127D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Bullish Confirmation</w:t>
      </w:r>
    </w:p>
    <w:p w14:paraId="50527225" w14:textId="77777777" w:rsidR="004D405C" w:rsidRPr="004D405C" w:rsidRDefault="004D405C" w:rsidP="004D405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Improving Earnings Trend </w:t>
      </w:r>
    </w:p>
    <w:p w14:paraId="05F1C5C5" w14:textId="77777777" w:rsidR="004D405C" w:rsidRPr="004D405C" w:rsidRDefault="004D405C" w:rsidP="004D405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EPS Growth </w:t>
      </w:r>
    </w:p>
    <w:p w14:paraId="273CBF41" w14:textId="77777777" w:rsidR="004D405C" w:rsidRPr="004D405C" w:rsidRDefault="004D405C" w:rsidP="004D405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Revenue Growth </w:t>
      </w:r>
    </w:p>
    <w:p w14:paraId="6081EC4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Bearish Confirmation</w:t>
      </w:r>
    </w:p>
    <w:p w14:paraId="7352BE41" w14:textId="77777777" w:rsidR="004D405C" w:rsidRPr="004D405C" w:rsidRDefault="004D405C" w:rsidP="004D405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Declining Earnings Trend </w:t>
      </w:r>
    </w:p>
    <w:p w14:paraId="4859A89E" w14:textId="77777777" w:rsidR="004D405C" w:rsidRPr="004D405C" w:rsidRDefault="004D405C" w:rsidP="004D405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Negative Profit Growth </w:t>
      </w:r>
    </w:p>
    <w:p w14:paraId="32A6898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Display Priority</w:t>
      </w:r>
    </w:p>
    <w:p w14:paraId="39F772A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Medium</w:t>
      </w:r>
    </w:p>
    <w:p w14:paraId="64F69D1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4884E42">
          <v:rect id="_x0000_i1616" style="width:0;height:1.5pt" o:hralign="center" o:hrstd="t" o:hr="t" fillcolor="#a0a0a0" stroked="f"/>
        </w:pict>
      </w:r>
    </w:p>
    <w:p w14:paraId="63F4E06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17. Praxis Recommendation</w:t>
      </w:r>
    </w:p>
    <w:p w14:paraId="4450DA7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Earnings Trend should serve as the </w:t>
      </w:r>
      <w:r w:rsidRPr="004D405C">
        <w:rPr>
          <w:rFonts w:ascii="Times New Roman" w:eastAsia="Times New Roman" w:hAnsi="Times New Roman" w:cs="Times New Roman"/>
          <w:b/>
          <w:bCs/>
          <w:sz w:val="24"/>
          <w:szCs w:val="24"/>
        </w:rPr>
        <w:t>earnings consistency indicator</w:t>
      </w:r>
      <w:r w:rsidRPr="004D405C">
        <w:rPr>
          <w:rFonts w:ascii="Times New Roman" w:eastAsia="Times New Roman" w:hAnsi="Times New Roman" w:cs="Times New Roman"/>
          <w:sz w:val="24"/>
          <w:szCs w:val="24"/>
        </w:rPr>
        <w:t xml:space="preserve"> within the Market Health category.</w:t>
      </w:r>
    </w:p>
    <w:p w14:paraId="6CD97F96"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Market Health Hierarchy</w:t>
      </w:r>
    </w:p>
    <w:p w14:paraId="6F008976" w14:textId="77777777" w:rsidR="004D405C" w:rsidRPr="004D405C" w:rsidRDefault="004D405C" w:rsidP="004D405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Market Cap to GDP </w:t>
      </w:r>
    </w:p>
    <w:p w14:paraId="02A66A55" w14:textId="77777777" w:rsidR="004D405C" w:rsidRPr="004D405C" w:rsidRDefault="004D405C" w:rsidP="004D405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Dividend Yield </w:t>
      </w:r>
    </w:p>
    <w:p w14:paraId="4549F919" w14:textId="77777777" w:rsidR="004D405C" w:rsidRPr="004D405C" w:rsidRDefault="004D405C" w:rsidP="004D405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Earnings Trend </w:t>
      </w:r>
    </w:p>
    <w:p w14:paraId="41E61318" w14:textId="77777777" w:rsidR="004D405C" w:rsidRPr="004D405C" w:rsidRDefault="004D405C" w:rsidP="004D405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FII/DII Flow </w:t>
      </w:r>
    </w:p>
    <w:p w14:paraId="3277567D"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Engine Rules</w:t>
      </w:r>
    </w:p>
    <w:p w14:paraId="273DB9ED" w14:textId="77777777" w:rsidR="004D405C" w:rsidRPr="004D405C" w:rsidRDefault="004D405C" w:rsidP="004D405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Improving Earnings Trend + Positive EPS Growth → Increase Market Health Score. </w:t>
      </w:r>
    </w:p>
    <w:p w14:paraId="06127BA3" w14:textId="77777777" w:rsidR="004D405C" w:rsidRPr="004D405C" w:rsidRDefault="004D405C" w:rsidP="004D405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Improving trend for four or more consecutive quarters → Increase Fundamentals confidence. </w:t>
      </w:r>
    </w:p>
    <w:p w14:paraId="0E1DDB15" w14:textId="77777777" w:rsidR="004D405C" w:rsidRPr="004D405C" w:rsidRDefault="004D405C" w:rsidP="004D405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Weakening Earnings Trend + Negative Profit Growth → Reduce Market Health Score. </w:t>
      </w:r>
    </w:p>
    <w:p w14:paraId="2A6A7751" w14:textId="77777777" w:rsidR="004D405C" w:rsidRPr="004D405C" w:rsidRDefault="004D405C" w:rsidP="004D405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Earnings Trend to validate short-term growth metrics and filter out one-time earnings surprises. </w:t>
      </w:r>
    </w:p>
    <w:p w14:paraId="51702B3A" w14:textId="51A226CD" w:rsid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Earnings Trend should strengthen the </w:t>
      </w:r>
      <w:r w:rsidRPr="004D405C">
        <w:rPr>
          <w:rFonts w:ascii="Times New Roman" w:eastAsia="Times New Roman" w:hAnsi="Times New Roman" w:cs="Times New Roman"/>
          <w:b/>
          <w:bCs/>
          <w:sz w:val="24"/>
          <w:szCs w:val="24"/>
        </w:rPr>
        <w:t>Market Health Score</w:t>
      </w:r>
      <w:r w:rsidRPr="004D405C">
        <w:rPr>
          <w:rFonts w:ascii="Times New Roman" w:eastAsia="Times New Roman" w:hAnsi="Times New Roman" w:cs="Times New Roman"/>
          <w:sz w:val="24"/>
          <w:szCs w:val="24"/>
        </w:rPr>
        <w:t xml:space="preserve"> by measuring the consistency of corporate earnings over time and should be used as a confirmation indicator alongside EPS Growth, Revenue Growth, and Profit Growth rather than as a standalone signal.</w:t>
      </w:r>
    </w:p>
    <w:p w14:paraId="54B766C1" w14:textId="1AEDE39D"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341CE49" w14:textId="7E938E99"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7DD279BE" w14:textId="0E955919"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1287DD4A" w14:textId="0141251F"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B39C372" w14:textId="320BB433"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060CC7EC" w14:textId="335E4F79"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441BAB46" w14:textId="74867FDB"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66E3F62F" w14:textId="52684C34" w:rsidR="00E11FEB"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06404CA6" w14:textId="77777777" w:rsidR="00E11FEB" w:rsidRPr="004D405C" w:rsidRDefault="00E11FEB" w:rsidP="004D405C">
      <w:pPr>
        <w:spacing w:before="100" w:beforeAutospacing="1" w:after="100" w:afterAutospacing="1" w:line="240" w:lineRule="auto"/>
        <w:rPr>
          <w:rFonts w:ascii="Times New Roman" w:eastAsia="Times New Roman" w:hAnsi="Times New Roman" w:cs="Times New Roman"/>
          <w:sz w:val="24"/>
          <w:szCs w:val="24"/>
        </w:rPr>
      </w:pPr>
    </w:p>
    <w:p w14:paraId="368D039D"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4D405C">
        <w:rPr>
          <w:rFonts w:ascii="Times New Roman" w:eastAsia="Times New Roman" w:hAnsi="Times New Roman" w:cs="Times New Roman"/>
          <w:b/>
          <w:bCs/>
          <w:color w:val="FF0000"/>
          <w:kern w:val="36"/>
          <w:sz w:val="48"/>
          <w:szCs w:val="48"/>
        </w:rPr>
        <w:lastRenderedPageBreak/>
        <w:t>20. FII / DII Flow</w:t>
      </w:r>
    </w:p>
    <w:p w14:paraId="5AD073E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Market Health</w:t>
      </w:r>
      <w:r w:rsidRPr="004D405C">
        <w:rPr>
          <w:rFonts w:ascii="Times New Roman" w:eastAsia="Times New Roman" w:hAnsi="Times New Roman" w:cs="Times New Roman"/>
          <w:sz w:val="24"/>
          <w:szCs w:val="24"/>
        </w:rPr>
        <w:br/>
      </w:r>
      <w:r w:rsidRPr="004D405C">
        <w:rPr>
          <w:rFonts w:ascii="Times New Roman" w:eastAsia="Times New Roman" w:hAnsi="Times New Roman" w:cs="Times New Roman"/>
          <w:b/>
          <w:bCs/>
          <w:sz w:val="24"/>
          <w:szCs w:val="24"/>
        </w:rPr>
        <w:t>Status:</w:t>
      </w:r>
      <w:r w:rsidRPr="004D405C">
        <w:rPr>
          <w:rFonts w:ascii="Times New Roman" w:eastAsia="Times New Roman" w:hAnsi="Times New Roman" w:cs="Times New Roman"/>
          <w:sz w:val="24"/>
          <w:szCs w:val="24"/>
        </w:rPr>
        <w:t xml:space="preserve"> Production Ready</w:t>
      </w:r>
    </w:p>
    <w:p w14:paraId="09FB44E8" w14:textId="77777777" w:rsidR="004D405C" w:rsidRPr="004D405C" w:rsidRDefault="004D405C" w:rsidP="004D405C">
      <w:pPr>
        <w:spacing w:before="100" w:beforeAutospacing="1" w:after="100" w:afterAutospacing="1" w:line="240" w:lineRule="auto"/>
        <w:outlineLvl w:val="1"/>
        <w:rPr>
          <w:rFonts w:ascii="Times New Roman" w:eastAsia="Times New Roman" w:hAnsi="Times New Roman" w:cs="Times New Roman"/>
          <w:b/>
          <w:bCs/>
          <w:sz w:val="36"/>
          <w:szCs w:val="36"/>
        </w:rPr>
      </w:pPr>
      <w:r w:rsidRPr="004D405C">
        <w:rPr>
          <w:rFonts w:ascii="Times New Roman" w:eastAsia="Times New Roman" w:hAnsi="Times New Roman" w:cs="Times New Roman"/>
          <w:b/>
          <w:bCs/>
          <w:sz w:val="36"/>
          <w:szCs w:val="36"/>
        </w:rPr>
        <w:t>1. Overview</w:t>
      </w:r>
    </w:p>
    <w:p w14:paraId="078F1F8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Name:</w:t>
      </w:r>
      <w:r w:rsidRPr="004D405C">
        <w:rPr>
          <w:rFonts w:ascii="Times New Roman" w:eastAsia="Times New Roman" w:hAnsi="Times New Roman" w:cs="Times New Roman"/>
          <w:sz w:val="24"/>
          <w:szCs w:val="24"/>
        </w:rPr>
        <w:t xml:space="preserve"> FII / DII Flow</w:t>
      </w:r>
    </w:p>
    <w:p w14:paraId="18B9F83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Short Name:</w:t>
      </w:r>
      <w:r w:rsidRPr="004D405C">
        <w:rPr>
          <w:rFonts w:ascii="Times New Roman" w:eastAsia="Times New Roman" w:hAnsi="Times New Roman" w:cs="Times New Roman"/>
          <w:sz w:val="24"/>
          <w:szCs w:val="24"/>
        </w:rPr>
        <w:t xml:space="preserve"> FII/DII Flow</w:t>
      </w:r>
    </w:p>
    <w:p w14:paraId="3174B60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Module:</w:t>
      </w:r>
      <w:r w:rsidRPr="004D405C">
        <w:rPr>
          <w:rFonts w:ascii="Times New Roman" w:eastAsia="Times New Roman" w:hAnsi="Times New Roman" w:cs="Times New Roman"/>
          <w:sz w:val="24"/>
          <w:szCs w:val="24"/>
        </w:rPr>
        <w:t xml:space="preserve"> Fundamentals</w:t>
      </w:r>
    </w:p>
    <w:p w14:paraId="6577955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Category:</w:t>
      </w:r>
      <w:r w:rsidRPr="004D405C">
        <w:rPr>
          <w:rFonts w:ascii="Times New Roman" w:eastAsia="Times New Roman" w:hAnsi="Times New Roman" w:cs="Times New Roman"/>
          <w:sz w:val="24"/>
          <w:szCs w:val="24"/>
        </w:rPr>
        <w:t xml:space="preserve"> Market Health</w:t>
      </w:r>
    </w:p>
    <w:p w14:paraId="37A8F4E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Purpose:</w:t>
      </w:r>
    </w:p>
    <w:p w14:paraId="67C955D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Measures the daily net buying and selling activity of Foreign Institutional Investors (FIIs) and Domestic Institutional Investors (DIIs). It helps assess institutional participation and overall market sentiment.</w:t>
      </w:r>
    </w:p>
    <w:p w14:paraId="31EF950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Based On:</w:t>
      </w:r>
    </w:p>
    <w:p w14:paraId="4F3487D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Net Institutional Cash Market Activity</w:t>
      </w:r>
    </w:p>
    <w:p w14:paraId="2D4CA86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Importance:</w:t>
      </w:r>
    </w:p>
    <w:p w14:paraId="70E4B0E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(Core Market Sentiment Indicator)</w:t>
      </w:r>
    </w:p>
    <w:p w14:paraId="1063B76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Auto / Manual:</w:t>
      </w:r>
    </w:p>
    <w:p w14:paraId="5C7FE5D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Manual (V1)</w:t>
      </w:r>
    </w:p>
    <w:p w14:paraId="31A0AFB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 Frequency:</w:t>
      </w:r>
    </w:p>
    <w:p w14:paraId="7C81ADB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Daily (After Market Close)</w:t>
      </w:r>
    </w:p>
    <w:p w14:paraId="15F1FBB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Praxis Note:</w:t>
      </w:r>
    </w:p>
    <w:p w14:paraId="7F52FBE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Institutional flows are sentiment indicators, not trading signals. Persistent buying or selling over multiple sessions carries significantly more importance than a single day's activity.</w:t>
      </w:r>
    </w:p>
    <w:p w14:paraId="2D96343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E8ACA6E">
          <v:rect id="_x0000_i1633" style="width:0;height:1.5pt" o:hralign="center" o:hrstd="t" o:hr="t" fillcolor="#a0a0a0" stroked="f"/>
        </w:pict>
      </w:r>
    </w:p>
    <w:p w14:paraId="765D1809"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2. Data Requirements</w:t>
      </w:r>
    </w:p>
    <w:p w14:paraId="6C70021C"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Required Data</w:t>
      </w:r>
    </w:p>
    <w:p w14:paraId="200DDB4B" w14:textId="77777777" w:rsidR="004D405C" w:rsidRPr="004D405C" w:rsidRDefault="004D405C" w:rsidP="004D405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Daily FII Net Buy/Sell </w:t>
      </w:r>
    </w:p>
    <w:p w14:paraId="4EA28E1C" w14:textId="77777777" w:rsidR="004D405C" w:rsidRPr="004D405C" w:rsidRDefault="004D405C" w:rsidP="004D405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Daily DII Net Buy/Sell </w:t>
      </w:r>
    </w:p>
    <w:p w14:paraId="4D32950C" w14:textId="77777777" w:rsidR="004D405C" w:rsidRPr="004D405C" w:rsidRDefault="004D405C" w:rsidP="004D405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Combined Net Flow </w:t>
      </w:r>
    </w:p>
    <w:p w14:paraId="288CD523" w14:textId="77777777" w:rsidR="004D405C" w:rsidRPr="004D405C" w:rsidRDefault="004D405C" w:rsidP="004D405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Historical FII/DII Flows </w:t>
      </w:r>
    </w:p>
    <w:p w14:paraId="3DD96925"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Minimum Historical Data</w:t>
      </w:r>
    </w:p>
    <w:p w14:paraId="58A38A9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 Trading Days</w:t>
      </w:r>
    </w:p>
    <w:p w14:paraId="15083D5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Recommended:</w:t>
      </w:r>
    </w:p>
    <w:p w14:paraId="7824EEF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 Year</w:t>
      </w:r>
    </w:p>
    <w:p w14:paraId="3BF06FD1"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Primary Source</w:t>
      </w:r>
    </w:p>
    <w:p w14:paraId="11FE88F5" w14:textId="77777777" w:rsidR="004D405C" w:rsidRPr="004D405C" w:rsidRDefault="004D405C" w:rsidP="004D405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NSE India </w:t>
      </w:r>
    </w:p>
    <w:p w14:paraId="6CD8E549" w14:textId="77777777" w:rsidR="004D405C" w:rsidRPr="004D405C" w:rsidRDefault="004D405C" w:rsidP="004D405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NSDL </w:t>
      </w:r>
    </w:p>
    <w:p w14:paraId="57E109E5" w14:textId="77777777" w:rsidR="004D405C" w:rsidRPr="004D405C" w:rsidRDefault="004D405C" w:rsidP="004D405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BSE </w:t>
      </w:r>
    </w:p>
    <w:p w14:paraId="6F45711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D84D505">
          <v:rect id="_x0000_i1634" style="width:0;height:1.5pt" o:hralign="center" o:hrstd="t" o:hr="t" fillcolor="#a0a0a0" stroked="f"/>
        </w:pict>
      </w:r>
    </w:p>
    <w:p w14:paraId="560FF2C4"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3. Industry Standard Calculation</w:t>
      </w:r>
    </w:p>
    <w:p w14:paraId="3CE135A0"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Formula</w:t>
      </w:r>
    </w:p>
    <w:p w14:paraId="26D30E99"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Net Flow = Total Buy Value − Total Sell Value</w:t>
      </w:r>
    </w:p>
    <w:p w14:paraId="09E3C46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Separate calculations:</w:t>
      </w:r>
    </w:p>
    <w:p w14:paraId="01F2351B"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FII Net Flow = FII Buy − FII Sell</w:t>
      </w:r>
    </w:p>
    <w:p w14:paraId="43EBFB30"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104AFD" w14:textId="77777777" w:rsidR="004D405C" w:rsidRPr="004D405C" w:rsidRDefault="004D405C" w:rsidP="004D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D405C">
        <w:rPr>
          <w:rFonts w:ascii="Courier New" w:eastAsia="Times New Roman" w:hAnsi="Courier New" w:cs="Courier New"/>
          <w:sz w:val="20"/>
          <w:szCs w:val="20"/>
        </w:rPr>
        <w:t>DII Net Flow = DII Buy − DII Sell</w:t>
      </w:r>
    </w:p>
    <w:p w14:paraId="3F19A1A1"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Implementation Steps</w:t>
      </w:r>
    </w:p>
    <w:p w14:paraId="555A6F89" w14:textId="77777777" w:rsidR="004D405C" w:rsidRPr="004D405C" w:rsidRDefault="004D405C" w:rsidP="004D405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daily FII cash market activity. </w:t>
      </w:r>
    </w:p>
    <w:p w14:paraId="0975B0A4" w14:textId="77777777" w:rsidR="004D405C" w:rsidRPr="004D405C" w:rsidRDefault="004D405C" w:rsidP="004D405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Retrieve daily DII cash market activity. </w:t>
      </w:r>
    </w:p>
    <w:p w14:paraId="03063D34" w14:textId="77777777" w:rsidR="004D405C" w:rsidRPr="004D405C" w:rsidRDefault="004D405C" w:rsidP="004D405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Calculate net inflow/outflow. </w:t>
      </w:r>
    </w:p>
    <w:p w14:paraId="21669B28" w14:textId="77777777" w:rsidR="004D405C" w:rsidRPr="004D405C" w:rsidRDefault="004D405C" w:rsidP="004D405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Identify rolling trend (30 Days). </w:t>
      </w:r>
    </w:p>
    <w:p w14:paraId="785B07E6" w14:textId="77777777" w:rsidR="004D405C" w:rsidRPr="004D405C" w:rsidRDefault="004D405C" w:rsidP="004D405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Generate the Market Health Score. </w:t>
      </w:r>
    </w:p>
    <w:p w14:paraId="574B0681"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lastRenderedPageBreak/>
        <w:t>Notes</w:t>
      </w:r>
    </w:p>
    <w:p w14:paraId="744557C1" w14:textId="77777777" w:rsidR="004D405C" w:rsidRPr="004D405C" w:rsidRDefault="004D405C" w:rsidP="004D405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Use </w:t>
      </w:r>
      <w:r w:rsidRPr="004D405C">
        <w:rPr>
          <w:rFonts w:ascii="Times New Roman" w:eastAsia="Times New Roman" w:hAnsi="Times New Roman" w:cs="Times New Roman"/>
          <w:b/>
          <w:bCs/>
          <w:sz w:val="24"/>
          <w:szCs w:val="24"/>
        </w:rPr>
        <w:t>Cash Market</w:t>
      </w:r>
      <w:r w:rsidRPr="004D405C">
        <w:rPr>
          <w:rFonts w:ascii="Times New Roman" w:eastAsia="Times New Roman" w:hAnsi="Times New Roman" w:cs="Times New Roman"/>
          <w:sz w:val="24"/>
          <w:szCs w:val="24"/>
        </w:rPr>
        <w:t xml:space="preserve"> data only. </w:t>
      </w:r>
    </w:p>
    <w:p w14:paraId="23447F9A" w14:textId="77777777" w:rsidR="004D405C" w:rsidRPr="004D405C" w:rsidRDefault="004D405C" w:rsidP="004D405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Treat FII and DII independently before evaluating combined sentiment. </w:t>
      </w:r>
    </w:p>
    <w:p w14:paraId="15DFED6C" w14:textId="77777777" w:rsidR="004D405C" w:rsidRPr="004D405C" w:rsidRDefault="004D405C" w:rsidP="004D405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Rolling trends are more reliable than single-day flows. </w:t>
      </w:r>
    </w:p>
    <w:p w14:paraId="4AA3FDB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BED12C8">
          <v:rect id="_x0000_i1635" style="width:0;height:1.5pt" o:hralign="center" o:hrstd="t" o:hr="t" fillcolor="#a0a0a0" stroked="f"/>
        </w:pict>
      </w:r>
    </w:p>
    <w:p w14:paraId="1049E34D"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4. Card Fields</w:t>
      </w:r>
    </w:p>
    <w:p w14:paraId="7DA1B7D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FII Flow</w:t>
      </w:r>
    </w:p>
    <w:p w14:paraId="4015CBA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Daily Net Flow (₹ Cr)</w:t>
      </w:r>
    </w:p>
    <w:p w14:paraId="1F31BF5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DII Flow</w:t>
      </w:r>
    </w:p>
    <w:p w14:paraId="528592D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Daily Net Flow (₹ Cr)</w:t>
      </w:r>
    </w:p>
    <w:p w14:paraId="695F2B1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Combined Flow</w:t>
      </w:r>
    </w:p>
    <w:p w14:paraId="03048A7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Net Institutional Flow</w:t>
      </w:r>
    </w:p>
    <w:p w14:paraId="6040B5C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Score</w:t>
      </w:r>
    </w:p>
    <w:p w14:paraId="2D8B204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0–100</w:t>
      </w:r>
    </w:p>
    <w:p w14:paraId="4D6284C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Bias</w:t>
      </w:r>
    </w:p>
    <w:p w14:paraId="578DCF71" w14:textId="77777777" w:rsidR="004D405C" w:rsidRPr="004D405C" w:rsidRDefault="004D405C" w:rsidP="004D405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Bullish </w:t>
      </w:r>
    </w:p>
    <w:p w14:paraId="765BFE82" w14:textId="77777777" w:rsidR="004D405C" w:rsidRPr="004D405C" w:rsidRDefault="004D405C" w:rsidP="004D405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Neutral </w:t>
      </w:r>
    </w:p>
    <w:p w14:paraId="423FC6F9" w14:textId="77777777" w:rsidR="004D405C" w:rsidRPr="004D405C" w:rsidRDefault="004D405C" w:rsidP="004D405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Bearish </w:t>
      </w:r>
    </w:p>
    <w:p w14:paraId="23C121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Confidence</w:t>
      </w:r>
    </w:p>
    <w:p w14:paraId="43211E0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Market Sentiment Confidence</w:t>
      </w:r>
    </w:p>
    <w:p w14:paraId="68898BA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Impact Weight</w:t>
      </w:r>
    </w:p>
    <w:p w14:paraId="7FBF0D0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5F62FE4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0F6670F">
          <v:rect id="_x0000_i1636" style="width:0;height:1.5pt" o:hralign="center" o:hrstd="t" o:hr="t" fillcolor="#a0a0a0" stroked="f"/>
        </w:pict>
      </w:r>
    </w:p>
    <w:p w14:paraId="73C21A65"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634"/>
        <w:gridCol w:w="1509"/>
      </w:tblGrid>
      <w:tr w:rsidR="004D405C" w:rsidRPr="004D405C" w14:paraId="080C4921" w14:textId="77777777" w:rsidTr="004D405C">
        <w:trPr>
          <w:tblHeader/>
          <w:tblCellSpacing w:w="15" w:type="dxa"/>
        </w:trPr>
        <w:tc>
          <w:tcPr>
            <w:tcW w:w="0" w:type="auto"/>
            <w:vAlign w:val="center"/>
            <w:hideMark/>
          </w:tcPr>
          <w:p w14:paraId="787B99C3"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lastRenderedPageBreak/>
              <w:t>Condition</w:t>
            </w:r>
          </w:p>
        </w:tc>
        <w:tc>
          <w:tcPr>
            <w:tcW w:w="0" w:type="auto"/>
            <w:vAlign w:val="center"/>
            <w:hideMark/>
          </w:tcPr>
          <w:p w14:paraId="38C6BE75"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Score</w:t>
            </w:r>
          </w:p>
        </w:tc>
        <w:tc>
          <w:tcPr>
            <w:tcW w:w="0" w:type="auto"/>
            <w:vAlign w:val="center"/>
            <w:hideMark/>
          </w:tcPr>
          <w:p w14:paraId="3B8568A5" w14:textId="77777777" w:rsidR="004D405C" w:rsidRPr="004D405C" w:rsidRDefault="004D405C" w:rsidP="004D405C">
            <w:pPr>
              <w:spacing w:after="0" w:line="240" w:lineRule="auto"/>
              <w:jc w:val="center"/>
              <w:rPr>
                <w:rFonts w:ascii="Times New Roman" w:eastAsia="Times New Roman" w:hAnsi="Times New Roman" w:cs="Times New Roman"/>
                <w:b/>
                <w:bCs/>
                <w:sz w:val="24"/>
                <w:szCs w:val="24"/>
              </w:rPr>
            </w:pPr>
            <w:r w:rsidRPr="004D405C">
              <w:rPr>
                <w:rFonts w:ascii="Times New Roman" w:eastAsia="Times New Roman" w:hAnsi="Times New Roman" w:cs="Times New Roman"/>
                <w:b/>
                <w:bCs/>
                <w:sz w:val="24"/>
                <w:szCs w:val="24"/>
              </w:rPr>
              <w:t>Bias</w:t>
            </w:r>
          </w:p>
        </w:tc>
      </w:tr>
      <w:tr w:rsidR="004D405C" w:rsidRPr="004D405C" w14:paraId="55E73A19" w14:textId="77777777" w:rsidTr="004D405C">
        <w:trPr>
          <w:tblCellSpacing w:w="15" w:type="dxa"/>
        </w:trPr>
        <w:tc>
          <w:tcPr>
            <w:tcW w:w="0" w:type="auto"/>
            <w:vAlign w:val="center"/>
            <w:hideMark/>
          </w:tcPr>
          <w:p w14:paraId="5A5E198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FII Buying + DII Buying</w:t>
            </w:r>
          </w:p>
        </w:tc>
        <w:tc>
          <w:tcPr>
            <w:tcW w:w="0" w:type="auto"/>
            <w:vAlign w:val="center"/>
            <w:hideMark/>
          </w:tcPr>
          <w:p w14:paraId="6706462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95</w:t>
            </w:r>
          </w:p>
        </w:tc>
        <w:tc>
          <w:tcPr>
            <w:tcW w:w="0" w:type="auto"/>
            <w:vAlign w:val="center"/>
            <w:hideMark/>
          </w:tcPr>
          <w:p w14:paraId="76BD440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Bullish</w:t>
            </w:r>
          </w:p>
        </w:tc>
      </w:tr>
      <w:tr w:rsidR="004D405C" w:rsidRPr="004D405C" w14:paraId="600659F3" w14:textId="77777777" w:rsidTr="004D405C">
        <w:trPr>
          <w:tblCellSpacing w:w="15" w:type="dxa"/>
        </w:trPr>
        <w:tc>
          <w:tcPr>
            <w:tcW w:w="0" w:type="auto"/>
            <w:vAlign w:val="center"/>
            <w:hideMark/>
          </w:tcPr>
          <w:p w14:paraId="22ACB99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Positive Net Institutional Flow</w:t>
            </w:r>
          </w:p>
        </w:tc>
        <w:tc>
          <w:tcPr>
            <w:tcW w:w="0" w:type="auto"/>
            <w:vAlign w:val="center"/>
            <w:hideMark/>
          </w:tcPr>
          <w:p w14:paraId="5759580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82</w:t>
            </w:r>
          </w:p>
        </w:tc>
        <w:tc>
          <w:tcPr>
            <w:tcW w:w="0" w:type="auto"/>
            <w:vAlign w:val="center"/>
            <w:hideMark/>
          </w:tcPr>
          <w:p w14:paraId="19940EB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tc>
      </w:tr>
      <w:tr w:rsidR="004D405C" w:rsidRPr="004D405C" w14:paraId="34DF2B70" w14:textId="77777777" w:rsidTr="004D405C">
        <w:trPr>
          <w:tblCellSpacing w:w="15" w:type="dxa"/>
        </w:trPr>
        <w:tc>
          <w:tcPr>
            <w:tcW w:w="0" w:type="auto"/>
            <w:vAlign w:val="center"/>
            <w:hideMark/>
          </w:tcPr>
          <w:p w14:paraId="6EB5B1B1"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Mixed Institutional Flow</w:t>
            </w:r>
          </w:p>
        </w:tc>
        <w:tc>
          <w:tcPr>
            <w:tcW w:w="0" w:type="auto"/>
            <w:vAlign w:val="center"/>
            <w:hideMark/>
          </w:tcPr>
          <w:p w14:paraId="4B6EBB2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w:t>
            </w:r>
          </w:p>
        </w:tc>
        <w:tc>
          <w:tcPr>
            <w:tcW w:w="0" w:type="auto"/>
            <w:vAlign w:val="center"/>
            <w:hideMark/>
          </w:tcPr>
          <w:p w14:paraId="720E97B7"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tc>
      </w:tr>
      <w:tr w:rsidR="004D405C" w:rsidRPr="004D405C" w14:paraId="1996739B" w14:textId="77777777" w:rsidTr="004D405C">
        <w:trPr>
          <w:tblCellSpacing w:w="15" w:type="dxa"/>
        </w:trPr>
        <w:tc>
          <w:tcPr>
            <w:tcW w:w="0" w:type="auto"/>
            <w:vAlign w:val="center"/>
            <w:hideMark/>
          </w:tcPr>
          <w:p w14:paraId="70922726"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Moderate Net Selling</w:t>
            </w:r>
          </w:p>
        </w:tc>
        <w:tc>
          <w:tcPr>
            <w:tcW w:w="0" w:type="auto"/>
            <w:vAlign w:val="center"/>
            <w:hideMark/>
          </w:tcPr>
          <w:p w14:paraId="31F4D73D"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35</w:t>
            </w:r>
          </w:p>
        </w:tc>
        <w:tc>
          <w:tcPr>
            <w:tcW w:w="0" w:type="auto"/>
            <w:vAlign w:val="center"/>
            <w:hideMark/>
          </w:tcPr>
          <w:p w14:paraId="18F2118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tc>
      </w:tr>
      <w:tr w:rsidR="004D405C" w:rsidRPr="004D405C" w14:paraId="75E6F75C" w14:textId="77777777" w:rsidTr="004D405C">
        <w:trPr>
          <w:tblCellSpacing w:w="15" w:type="dxa"/>
        </w:trPr>
        <w:tc>
          <w:tcPr>
            <w:tcW w:w="0" w:type="auto"/>
            <w:vAlign w:val="center"/>
            <w:hideMark/>
          </w:tcPr>
          <w:p w14:paraId="3BDDD0C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FII &amp; DII Selling</w:t>
            </w:r>
          </w:p>
        </w:tc>
        <w:tc>
          <w:tcPr>
            <w:tcW w:w="0" w:type="auto"/>
            <w:vAlign w:val="center"/>
            <w:hideMark/>
          </w:tcPr>
          <w:p w14:paraId="47A06453"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w:t>
            </w:r>
          </w:p>
        </w:tc>
        <w:tc>
          <w:tcPr>
            <w:tcW w:w="0" w:type="auto"/>
            <w:vAlign w:val="center"/>
            <w:hideMark/>
          </w:tcPr>
          <w:p w14:paraId="6F3596C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tc>
      </w:tr>
    </w:tbl>
    <w:p w14:paraId="38AC69F3"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Notes</w:t>
      </w:r>
    </w:p>
    <w:p w14:paraId="49696DE9" w14:textId="77777777" w:rsidR="004D405C" w:rsidRPr="004D405C" w:rsidRDefault="004D405C" w:rsidP="004D405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Consecutive institutional buying strengthens the score. </w:t>
      </w:r>
    </w:p>
    <w:p w14:paraId="6CAA6D4B" w14:textId="77777777" w:rsidR="004D405C" w:rsidRPr="004D405C" w:rsidRDefault="004D405C" w:rsidP="004D405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FII flows generally have a higher market impact than DII flows. </w:t>
      </w:r>
    </w:p>
    <w:p w14:paraId="612FB46E" w14:textId="77777777" w:rsidR="004D405C" w:rsidRPr="004D405C" w:rsidRDefault="004D405C" w:rsidP="004D405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Persistent trends should carry more weight than isolated sessions. </w:t>
      </w:r>
    </w:p>
    <w:p w14:paraId="7E29C63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67DC9392">
          <v:rect id="_x0000_i1637" style="width:0;height:1.5pt" o:hralign="center" o:hrstd="t" o:hr="t" fillcolor="#a0a0a0" stroked="f"/>
        </w:pict>
      </w:r>
    </w:p>
    <w:p w14:paraId="23A6E9AE"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6. Bias Rules</w:t>
      </w:r>
    </w:p>
    <w:p w14:paraId="555F71A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FII &amp; DII Net Buyers</w:t>
      </w:r>
    </w:p>
    <w:p w14:paraId="4999064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Bullish</w:t>
      </w:r>
    </w:p>
    <w:p w14:paraId="0E92215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Mixed Institutional Activity</w:t>
      </w:r>
    </w:p>
    <w:p w14:paraId="1714E64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Neutral</w:t>
      </w:r>
    </w:p>
    <w:p w14:paraId="17D256E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FII Net Sellers</w:t>
      </w:r>
    </w:p>
    <w:p w14:paraId="7B5CCF7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Bearish</w:t>
      </w:r>
    </w:p>
    <w:p w14:paraId="328F98C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FII &amp; DII Continuous Selling</w:t>
      </w:r>
    </w:p>
    <w:p w14:paraId="49E55CC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Strong Bearish</w:t>
      </w:r>
    </w:p>
    <w:p w14:paraId="7F24ADCE"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1416422D">
          <v:rect id="_x0000_i1638" style="width:0;height:1.5pt" o:hralign="center" o:hrstd="t" o:hr="t" fillcolor="#a0a0a0" stroked="f"/>
        </w:pict>
      </w:r>
    </w:p>
    <w:p w14:paraId="3D2CB98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7. Confidence Logic</w:t>
      </w:r>
    </w:p>
    <w:p w14:paraId="77D6A6C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Base Confidence</w:t>
      </w:r>
    </w:p>
    <w:p w14:paraId="00C9946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90%</w:t>
      </w:r>
    </w:p>
    <w:p w14:paraId="504F51E4"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Increase Confidence</w:t>
      </w:r>
    </w:p>
    <w:p w14:paraId="0E05783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+5% Five consecutive days of the same trend</w:t>
      </w:r>
    </w:p>
    <w:p w14:paraId="02E09F0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Official NSE data</w:t>
      </w:r>
    </w:p>
    <w:p w14:paraId="7E40D3D5"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Decrease Confidence</w:t>
      </w:r>
    </w:p>
    <w:p w14:paraId="180B96D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 Manual entry</w:t>
      </w:r>
    </w:p>
    <w:p w14:paraId="0FA71F8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-5% Missing trading session data</w:t>
      </w:r>
    </w:p>
    <w:p w14:paraId="197090C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0E6FC265"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70%</w:t>
      </w:r>
    </w:p>
    <w:p w14:paraId="70815FD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2E46184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99%</w:t>
      </w:r>
    </w:p>
    <w:p w14:paraId="521DB0DC"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34F56EAC">
          <v:rect id="_x0000_i1639" style="width:0;height:1.5pt" o:hralign="center" o:hrstd="t" o:hr="t" fillcolor="#a0a0a0" stroked="f"/>
        </w:pict>
      </w:r>
    </w:p>
    <w:p w14:paraId="5816BEB0"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8. Score Range Bar</w:t>
      </w:r>
    </w:p>
    <w:p w14:paraId="7B9E4CD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Minimum</w:t>
      </w:r>
    </w:p>
    <w:p w14:paraId="02F5B07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w:t>
      </w:r>
    </w:p>
    <w:p w14:paraId="267F841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Maximum</w:t>
      </w:r>
    </w:p>
    <w:p w14:paraId="04FB75C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100</w:t>
      </w:r>
    </w:p>
    <w:p w14:paraId="3DE1EA5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Pointer</w:t>
      </w:r>
    </w:p>
    <w:p w14:paraId="1EE9164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Current Score</w:t>
      </w:r>
    </w:p>
    <w:p w14:paraId="6F0789F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Average Marker</w:t>
      </w:r>
    </w:p>
    <w:p w14:paraId="0F45889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30-Day Average Score</w:t>
      </w:r>
    </w:p>
    <w:p w14:paraId="79963FC1"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Color Zones</w:t>
      </w:r>
    </w:p>
    <w:p w14:paraId="1418B7B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0–30 → Heavy Selling</w:t>
      </w:r>
    </w:p>
    <w:p w14:paraId="134CB0D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30–60 → Weak</w:t>
      </w:r>
    </w:p>
    <w:p w14:paraId="0028D4E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60–80 → Neutral</w:t>
      </w:r>
    </w:p>
    <w:p w14:paraId="397CE05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80–100 → Strong Buying</w:t>
      </w:r>
    </w:p>
    <w:p w14:paraId="06B6259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6A38A69">
          <v:rect id="_x0000_i1640" style="width:0;height:1.5pt" o:hralign="center" o:hrstd="t" o:hr="t" fillcolor="#a0a0a0" stroked="f"/>
        </w:pict>
      </w:r>
    </w:p>
    <w:p w14:paraId="14CD19DA"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9. Dual Trend Chart</w:t>
      </w:r>
    </w:p>
    <w:p w14:paraId="1B658DA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Chart Type</w:t>
      </w:r>
    </w:p>
    <w:p w14:paraId="21F8D24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Dual Line</w:t>
      </w:r>
    </w:p>
    <w:p w14:paraId="61A7E2F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1</w:t>
      </w:r>
    </w:p>
    <w:p w14:paraId="00BB945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Combined Institutional Flow (₹ Cr)</w:t>
      </w:r>
    </w:p>
    <w:p w14:paraId="3735DF2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Line 2</w:t>
      </w:r>
    </w:p>
    <w:p w14:paraId="28BF0BC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Praxis Score</w:t>
      </w:r>
    </w:p>
    <w:p w14:paraId="4433951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History</w:t>
      </w:r>
    </w:p>
    <w:p w14:paraId="09EBEF0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30 Trading Days</w:t>
      </w:r>
    </w:p>
    <w:p w14:paraId="3B3E68B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w:t>
      </w:r>
    </w:p>
    <w:p w14:paraId="644407A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After every market close.</w:t>
      </w:r>
    </w:p>
    <w:p w14:paraId="20E65CF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B01B464">
          <v:rect id="_x0000_i1641" style="width:0;height:1.5pt" o:hralign="center" o:hrstd="t" o:hr="t" fillcolor="#a0a0a0" stroked="f"/>
        </w:pict>
      </w:r>
    </w:p>
    <w:p w14:paraId="408984FD"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10. AI Insight Rules</w:t>
      </w:r>
    </w:p>
    <w:p w14:paraId="76BFB12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Strong FII &amp; DII Buying</w:t>
      </w:r>
    </w:p>
    <w:p w14:paraId="32FC1DC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institutional investors are accumulating positions, supporting positive market sentiment.</w:t>
      </w:r>
    </w:p>
    <w:p w14:paraId="0D102C6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Positive Net Flow</w:t>
      </w:r>
    </w:p>
    <w:p w14:paraId="4084004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institutional participation remains supportive.</w:t>
      </w:r>
    </w:p>
    <w:p w14:paraId="230A5DC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Mixed Flow</w:t>
      </w:r>
    </w:p>
    <w:p w14:paraId="5FBBB26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Explain that institutional sentiment is mixed, suggesting market indecision.</w:t>
      </w:r>
    </w:p>
    <w:p w14:paraId="3EB79B2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Strong Selling</w:t>
      </w:r>
    </w:p>
    <w:p w14:paraId="24C794B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Explain that sustained institutional selling may increase market volatility and downside risk.</w:t>
      </w:r>
    </w:p>
    <w:p w14:paraId="17A1D64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Low Confidence</w:t>
      </w:r>
    </w:p>
    <w:p w14:paraId="36A61D7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Mention that incomplete institutional flow data may reduce reliability.</w:t>
      </w:r>
    </w:p>
    <w:p w14:paraId="1DC41BA5"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5B72166D">
          <v:rect id="_x0000_i1642" style="width:0;height:1.5pt" o:hralign="center" o:hrstd="t" o:hr="t" fillcolor="#a0a0a0" stroked="f"/>
        </w:pict>
      </w:r>
    </w:p>
    <w:p w14:paraId="07654723"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11. Why It Matters</w:t>
      </w:r>
    </w:p>
    <w:p w14:paraId="5366B40C" w14:textId="77777777" w:rsidR="004D405C" w:rsidRPr="004D405C" w:rsidRDefault="004D405C" w:rsidP="004D405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Measures institutional market participation. </w:t>
      </w:r>
    </w:p>
    <w:p w14:paraId="26162241" w14:textId="77777777" w:rsidR="004D405C" w:rsidRPr="004D405C" w:rsidRDefault="004D405C" w:rsidP="004D405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Reflects investor confidence. </w:t>
      </w:r>
    </w:p>
    <w:p w14:paraId="3A2CCEB0" w14:textId="77777777" w:rsidR="004D405C" w:rsidRPr="004D405C" w:rsidRDefault="004D405C" w:rsidP="004D405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Identifies accumulation and distribution phases. </w:t>
      </w:r>
    </w:p>
    <w:p w14:paraId="6401FCD1" w14:textId="77777777" w:rsidR="004D405C" w:rsidRPr="004D405C" w:rsidRDefault="004D405C" w:rsidP="004D405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Helps validate broader market trends. </w:t>
      </w:r>
    </w:p>
    <w:p w14:paraId="3B4CD7AF" w14:textId="77777777" w:rsidR="004D405C" w:rsidRPr="004D405C" w:rsidRDefault="004D405C" w:rsidP="004D405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Supports macro sentiment analysis. </w:t>
      </w:r>
    </w:p>
    <w:p w14:paraId="0DFB34C9"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2D332FB">
          <v:rect id="_x0000_i1643" style="width:0;height:1.5pt" o:hralign="center" o:hrstd="t" o:hr="t" fillcolor="#a0a0a0" stroked="f"/>
        </w:pict>
      </w:r>
    </w:p>
    <w:p w14:paraId="7924BF2F"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12. Trading Impact</w:t>
      </w:r>
    </w:p>
    <w:p w14:paraId="11C768C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Intraday</w:t>
      </w:r>
    </w:p>
    <w:p w14:paraId="2A0C950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3FBF1B5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Swing Trading</w:t>
      </w:r>
    </w:p>
    <w:p w14:paraId="2188CFF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189F1E22"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Positional Trading</w:t>
      </w:r>
    </w:p>
    <w:p w14:paraId="2B53CB4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48AB37B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Options Trading</w:t>
      </w:r>
    </w:p>
    <w:p w14:paraId="6B85532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Segoe UI Symbol" w:eastAsia="Times New Roman" w:hAnsi="Segoe UI Symbol" w:cs="Segoe UI Symbol"/>
          <w:sz w:val="24"/>
          <w:szCs w:val="24"/>
        </w:rPr>
        <w:t>★★★★☆</w:t>
      </w:r>
    </w:p>
    <w:p w14:paraId="74D3D9A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Best Use</w:t>
      </w:r>
    </w:p>
    <w:p w14:paraId="7E52D23B"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Evaluating institutional market sentiment.</w:t>
      </w:r>
    </w:p>
    <w:p w14:paraId="4A58228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Avoid Using Alone</w:t>
      </w:r>
    </w:p>
    <w:p w14:paraId="3231BA6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Yes</w:t>
      </w:r>
    </w:p>
    <w:p w14:paraId="38C9236A"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pict w14:anchorId="3B57A9CA">
          <v:rect id="_x0000_i1644" style="width:0;height:1.5pt" o:hralign="center" o:hrstd="t" o:hr="t" fillcolor="#a0a0a0" stroked="f"/>
        </w:pict>
      </w:r>
    </w:p>
    <w:p w14:paraId="1760681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13. Supporting Indicators</w:t>
      </w:r>
    </w:p>
    <w:p w14:paraId="6886C267" w14:textId="77777777" w:rsidR="004D405C" w:rsidRPr="004D405C" w:rsidRDefault="004D405C" w:rsidP="004D405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Market Cap to GDP </w:t>
      </w:r>
    </w:p>
    <w:p w14:paraId="14DCC728" w14:textId="77777777" w:rsidR="004D405C" w:rsidRPr="004D405C" w:rsidRDefault="004D405C" w:rsidP="004D405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PE Ratio </w:t>
      </w:r>
    </w:p>
    <w:p w14:paraId="74D105EC" w14:textId="77777777" w:rsidR="004D405C" w:rsidRPr="004D405C" w:rsidRDefault="004D405C" w:rsidP="004D405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Earnings Trend </w:t>
      </w:r>
    </w:p>
    <w:p w14:paraId="11DD1803" w14:textId="77777777" w:rsidR="004D405C" w:rsidRPr="004D405C" w:rsidRDefault="004D405C" w:rsidP="004D405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India VIX </w:t>
      </w:r>
    </w:p>
    <w:p w14:paraId="69EEE681" w14:textId="77777777" w:rsidR="004D405C" w:rsidRPr="004D405C" w:rsidRDefault="004D405C" w:rsidP="004D405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Market Breadth </w:t>
      </w:r>
    </w:p>
    <w:p w14:paraId="0D0DE4A4"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2D1985B9">
          <v:rect id="_x0000_i1645" style="width:0;height:1.5pt" o:hralign="center" o:hrstd="t" o:hr="t" fillcolor="#a0a0a0" stroked="f"/>
        </w:pict>
      </w:r>
    </w:p>
    <w:p w14:paraId="69093221"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14. Metadata</w:t>
      </w:r>
    </w:p>
    <w:p w14:paraId="20D511ED"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Source</w:t>
      </w:r>
    </w:p>
    <w:p w14:paraId="291D873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NSE India / NSDL</w:t>
      </w:r>
    </w:p>
    <w:p w14:paraId="6CD8315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Calculation</w:t>
      </w:r>
    </w:p>
    <w:p w14:paraId="3CE924C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Backend</w:t>
      </w:r>
    </w:p>
    <w:p w14:paraId="5734C839"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Updated</w:t>
      </w:r>
    </w:p>
    <w:p w14:paraId="1EF21C0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Daily (Post Market)</w:t>
      </w:r>
    </w:p>
    <w:p w14:paraId="492B2DC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proofErr w:type="spellStart"/>
      <w:r w:rsidRPr="004D405C">
        <w:rPr>
          <w:rFonts w:ascii="Times New Roman" w:eastAsia="Times New Roman" w:hAnsi="Times New Roman" w:cs="Times New Roman"/>
          <w:b/>
          <w:bCs/>
          <w:sz w:val="24"/>
          <w:szCs w:val="24"/>
        </w:rPr>
        <w:t>Timezone</w:t>
      </w:r>
      <w:proofErr w:type="spellEnd"/>
    </w:p>
    <w:p w14:paraId="1887622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Asia/Kolkata</w:t>
      </w:r>
    </w:p>
    <w:p w14:paraId="1CCDB44F"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Storage</w:t>
      </w:r>
    </w:p>
    <w:p w14:paraId="1A8B0661"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Local Electron Database</w:t>
      </w:r>
    </w:p>
    <w:p w14:paraId="62807C3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472BCDCB">
          <v:rect id="_x0000_i1646" style="width:0;height:1.5pt" o:hralign="center" o:hrstd="t" o:hr="t" fillcolor="#a0a0a0" stroked="f"/>
        </w:pict>
      </w:r>
    </w:p>
    <w:p w14:paraId="762B61E3"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15. Developer Notes</w:t>
      </w:r>
    </w:p>
    <w:p w14:paraId="79573BF8"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Store:</w:t>
      </w:r>
    </w:p>
    <w:p w14:paraId="22A498B3" w14:textId="77777777" w:rsidR="004D405C" w:rsidRPr="004D405C" w:rsidRDefault="004D405C" w:rsidP="004D405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Daily FII Flow </w:t>
      </w:r>
    </w:p>
    <w:p w14:paraId="1F82CB65" w14:textId="77777777" w:rsidR="004D405C" w:rsidRPr="004D405C" w:rsidRDefault="004D405C" w:rsidP="004D405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Daily DII Flow </w:t>
      </w:r>
    </w:p>
    <w:p w14:paraId="77C1964A" w14:textId="77777777" w:rsidR="004D405C" w:rsidRPr="004D405C" w:rsidRDefault="004D405C" w:rsidP="004D405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Combined Net Flow </w:t>
      </w:r>
    </w:p>
    <w:p w14:paraId="58AF825A" w14:textId="77777777" w:rsidR="004D405C" w:rsidRPr="004D405C" w:rsidRDefault="004D405C" w:rsidP="004D405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lastRenderedPageBreak/>
        <w:t xml:space="preserve">30-Day Historical Flow </w:t>
      </w:r>
    </w:p>
    <w:p w14:paraId="60289F12" w14:textId="77777777" w:rsidR="004D405C" w:rsidRPr="004D405C" w:rsidRDefault="004D405C" w:rsidP="004D405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Current Score </w:t>
      </w:r>
    </w:p>
    <w:p w14:paraId="116B505B" w14:textId="77777777" w:rsidR="004D405C" w:rsidRPr="004D405C" w:rsidRDefault="004D405C" w:rsidP="004D405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Confidence </w:t>
      </w:r>
    </w:p>
    <w:p w14:paraId="5CF66C3A" w14:textId="77777777" w:rsidR="004D405C" w:rsidRPr="004D405C" w:rsidRDefault="004D405C" w:rsidP="004D405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Last Updated </w:t>
      </w:r>
    </w:p>
    <w:p w14:paraId="74A2DD9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Maintain rolling 30-day and 1-year historical datasets for trend analysis. If either FII or DII data is unavailable, calculate using the available data and reduce confidence accordingly.</w:t>
      </w:r>
    </w:p>
    <w:p w14:paraId="271CA322"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7682B870">
          <v:rect id="_x0000_i1647" style="width:0;height:1.5pt" o:hralign="center" o:hrstd="t" o:hr="t" fillcolor="#a0a0a0" stroked="f"/>
        </w:pict>
      </w:r>
    </w:p>
    <w:p w14:paraId="10AB13C4"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t xml:space="preserve">16. Praxis Engine Integration </w:t>
      </w:r>
      <w:r w:rsidRPr="004D405C">
        <w:rPr>
          <w:rFonts w:ascii="Segoe UI Emoji" w:eastAsia="Times New Roman" w:hAnsi="Segoe UI Emoji" w:cs="Segoe UI Emoji"/>
          <w:b/>
          <w:bCs/>
          <w:kern w:val="36"/>
          <w:sz w:val="48"/>
          <w:szCs w:val="48"/>
        </w:rPr>
        <w:t>⭐</w:t>
      </w:r>
    </w:p>
    <w:p w14:paraId="0E21F377"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Engine Weight</w:t>
      </w:r>
    </w:p>
    <w:p w14:paraId="4785C49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 (Configurable)</w:t>
      </w:r>
    </w:p>
    <w:p w14:paraId="71D4B79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Relative Importance</w:t>
      </w:r>
    </w:p>
    <w:p w14:paraId="08930B2C"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0C205434"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Decision Engine Role</w:t>
      </w:r>
    </w:p>
    <w:p w14:paraId="4F4B11B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Institutional Sentiment Assessment</w:t>
      </w:r>
    </w:p>
    <w:p w14:paraId="0DF3E75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Primary Use</w:t>
      </w:r>
    </w:p>
    <w:p w14:paraId="60FD9A4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Measure institutional participation and validate broader market direction.</w:t>
      </w:r>
    </w:p>
    <w:p w14:paraId="7C13F10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Bullish Confirmation</w:t>
      </w:r>
    </w:p>
    <w:p w14:paraId="24118616" w14:textId="77777777" w:rsidR="004D405C" w:rsidRPr="004D405C" w:rsidRDefault="004D405C" w:rsidP="004D405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Consecutive FII Buying </w:t>
      </w:r>
    </w:p>
    <w:p w14:paraId="4F51C1D9" w14:textId="77777777" w:rsidR="004D405C" w:rsidRPr="004D405C" w:rsidRDefault="004D405C" w:rsidP="004D405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DII Flow </w:t>
      </w:r>
    </w:p>
    <w:p w14:paraId="0E868318" w14:textId="77777777" w:rsidR="004D405C" w:rsidRPr="004D405C" w:rsidRDefault="004D405C" w:rsidP="004D405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Improving Market Breadth </w:t>
      </w:r>
    </w:p>
    <w:p w14:paraId="595FDA5A"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Bearish Confirmation</w:t>
      </w:r>
    </w:p>
    <w:p w14:paraId="4D489619" w14:textId="77777777" w:rsidR="004D405C" w:rsidRPr="004D405C" w:rsidRDefault="004D405C" w:rsidP="004D405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Consecutive FII Selling </w:t>
      </w:r>
    </w:p>
    <w:p w14:paraId="74B30A08" w14:textId="77777777" w:rsidR="004D405C" w:rsidRPr="004D405C" w:rsidRDefault="004D405C" w:rsidP="004D405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Rising India VIX </w:t>
      </w:r>
    </w:p>
    <w:p w14:paraId="1394C3A7" w14:textId="77777777" w:rsidR="004D405C" w:rsidRPr="004D405C" w:rsidRDefault="004D405C" w:rsidP="004D405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Weak Market Breadth </w:t>
      </w:r>
    </w:p>
    <w:p w14:paraId="4D22A320"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b/>
          <w:bCs/>
          <w:sz w:val="24"/>
          <w:szCs w:val="24"/>
        </w:rPr>
        <w:t>Display Priority</w:t>
      </w:r>
    </w:p>
    <w:p w14:paraId="44D8EB13"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High</w:t>
      </w:r>
    </w:p>
    <w:p w14:paraId="50BF19AF" w14:textId="77777777" w:rsidR="004D405C" w:rsidRPr="004D405C" w:rsidRDefault="004D405C" w:rsidP="004D405C">
      <w:pPr>
        <w:spacing w:after="0"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pict w14:anchorId="0FEA9CC6">
          <v:rect id="_x0000_i1648" style="width:0;height:1.5pt" o:hralign="center" o:hrstd="t" o:hr="t" fillcolor="#a0a0a0" stroked="f"/>
        </w:pict>
      </w:r>
    </w:p>
    <w:p w14:paraId="4E4929FC" w14:textId="77777777" w:rsidR="004D405C" w:rsidRPr="004D405C" w:rsidRDefault="004D405C" w:rsidP="004D40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05C">
        <w:rPr>
          <w:rFonts w:ascii="Times New Roman" w:eastAsia="Times New Roman" w:hAnsi="Times New Roman" w:cs="Times New Roman"/>
          <w:b/>
          <w:bCs/>
          <w:kern w:val="36"/>
          <w:sz w:val="48"/>
          <w:szCs w:val="48"/>
        </w:rPr>
        <w:lastRenderedPageBreak/>
        <w:t>17. Praxis Recommendation</w:t>
      </w:r>
    </w:p>
    <w:p w14:paraId="67DC9976"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FII/DII Flow should act as the </w:t>
      </w:r>
      <w:r w:rsidRPr="004D405C">
        <w:rPr>
          <w:rFonts w:ascii="Times New Roman" w:eastAsia="Times New Roman" w:hAnsi="Times New Roman" w:cs="Times New Roman"/>
          <w:b/>
          <w:bCs/>
          <w:sz w:val="24"/>
          <w:szCs w:val="24"/>
        </w:rPr>
        <w:t>institutional sentiment indicator</w:t>
      </w:r>
      <w:r w:rsidRPr="004D405C">
        <w:rPr>
          <w:rFonts w:ascii="Times New Roman" w:eastAsia="Times New Roman" w:hAnsi="Times New Roman" w:cs="Times New Roman"/>
          <w:sz w:val="24"/>
          <w:szCs w:val="24"/>
        </w:rPr>
        <w:t xml:space="preserve"> within the Market Health category.</w:t>
      </w:r>
    </w:p>
    <w:p w14:paraId="14F839CF"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Market Health Hierarchy</w:t>
      </w:r>
    </w:p>
    <w:p w14:paraId="11CE69EF" w14:textId="77777777" w:rsidR="004D405C" w:rsidRPr="004D405C" w:rsidRDefault="004D405C" w:rsidP="004D405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Times New Roman" w:eastAsia="Times New Roman" w:hAnsi="Times New Roman" w:cs="Times New Roman"/>
          <w:sz w:val="24"/>
          <w:szCs w:val="24"/>
        </w:rPr>
        <w:t xml:space="preserve"> Market Cap to GDP </w:t>
      </w:r>
    </w:p>
    <w:p w14:paraId="36C29DFD" w14:textId="77777777" w:rsidR="004D405C" w:rsidRPr="004D405C" w:rsidRDefault="004D405C" w:rsidP="004D405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Dividend Yield </w:t>
      </w:r>
    </w:p>
    <w:p w14:paraId="6333B42C" w14:textId="77777777" w:rsidR="004D405C" w:rsidRPr="004D405C" w:rsidRDefault="004D405C" w:rsidP="004D405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Earnings Trend </w:t>
      </w:r>
    </w:p>
    <w:p w14:paraId="5193DDD7" w14:textId="77777777" w:rsidR="004D405C" w:rsidRPr="004D405C" w:rsidRDefault="004D405C" w:rsidP="004D405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4D405C">
        <w:rPr>
          <w:rFonts w:ascii="Segoe UI Emoji" w:eastAsia="Times New Roman" w:hAnsi="Segoe UI Emoji" w:cs="Segoe UI Emoji"/>
          <w:sz w:val="24"/>
          <w:szCs w:val="24"/>
        </w:rPr>
        <w:t>⭐⭐⭐⭐</w:t>
      </w:r>
      <w:r w:rsidRPr="004D405C">
        <w:rPr>
          <w:rFonts w:ascii="Segoe UI Symbol" w:eastAsia="Times New Roman" w:hAnsi="Segoe UI Symbol" w:cs="Segoe UI Symbol"/>
          <w:sz w:val="24"/>
          <w:szCs w:val="24"/>
        </w:rPr>
        <w:t>☆</w:t>
      </w:r>
      <w:r w:rsidRPr="004D405C">
        <w:rPr>
          <w:rFonts w:ascii="Times New Roman" w:eastAsia="Times New Roman" w:hAnsi="Times New Roman" w:cs="Times New Roman"/>
          <w:sz w:val="24"/>
          <w:szCs w:val="24"/>
        </w:rPr>
        <w:t xml:space="preserve"> FII/DII Flow </w:t>
      </w:r>
    </w:p>
    <w:p w14:paraId="30B2637D" w14:textId="77777777" w:rsidR="004D405C" w:rsidRPr="004D405C" w:rsidRDefault="004D405C" w:rsidP="004D405C">
      <w:pPr>
        <w:spacing w:before="100" w:beforeAutospacing="1" w:after="100" w:afterAutospacing="1" w:line="240" w:lineRule="auto"/>
        <w:outlineLvl w:val="2"/>
        <w:rPr>
          <w:rFonts w:ascii="Times New Roman" w:eastAsia="Times New Roman" w:hAnsi="Times New Roman" w:cs="Times New Roman"/>
          <w:b/>
          <w:bCs/>
          <w:sz w:val="27"/>
          <w:szCs w:val="27"/>
        </w:rPr>
      </w:pPr>
      <w:r w:rsidRPr="004D405C">
        <w:rPr>
          <w:rFonts w:ascii="Times New Roman" w:eastAsia="Times New Roman" w:hAnsi="Times New Roman" w:cs="Times New Roman"/>
          <w:b/>
          <w:bCs/>
          <w:sz w:val="27"/>
          <w:szCs w:val="27"/>
        </w:rPr>
        <w:t>Engine Rules</w:t>
      </w:r>
    </w:p>
    <w:p w14:paraId="469F78D8" w14:textId="77777777" w:rsidR="004D405C" w:rsidRPr="004D405C" w:rsidRDefault="004D405C" w:rsidP="004D405C">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Positive FII &amp; DII Flows for multiple sessions → Increase Market Health Score. </w:t>
      </w:r>
    </w:p>
    <w:p w14:paraId="6EEBC66A" w14:textId="77777777" w:rsidR="004D405C" w:rsidRPr="004D405C" w:rsidRDefault="004D405C" w:rsidP="004D405C">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Strong FII Buying + Improving Market Breadth → High-confidence bullish sentiment. </w:t>
      </w:r>
    </w:p>
    <w:p w14:paraId="6627C971" w14:textId="77777777" w:rsidR="004D405C" w:rsidRPr="004D405C" w:rsidRDefault="004D405C" w:rsidP="004D405C">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Persistent FII Selling + Rising India VIX → Reduce Market Health Score. </w:t>
      </w:r>
    </w:p>
    <w:p w14:paraId="1F67D47C" w14:textId="77777777" w:rsidR="004D405C" w:rsidRPr="004D405C" w:rsidRDefault="004D405C" w:rsidP="004D405C">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Prioritize </w:t>
      </w:r>
      <w:r w:rsidRPr="004D405C">
        <w:rPr>
          <w:rFonts w:ascii="Times New Roman" w:eastAsia="Times New Roman" w:hAnsi="Times New Roman" w:cs="Times New Roman"/>
          <w:b/>
          <w:bCs/>
          <w:sz w:val="24"/>
          <w:szCs w:val="24"/>
        </w:rPr>
        <w:t>trend consistency</w:t>
      </w:r>
      <w:r w:rsidRPr="004D405C">
        <w:rPr>
          <w:rFonts w:ascii="Times New Roman" w:eastAsia="Times New Roman" w:hAnsi="Times New Roman" w:cs="Times New Roman"/>
          <w:sz w:val="24"/>
          <w:szCs w:val="24"/>
        </w:rPr>
        <w:t xml:space="preserve"> over single-day inflows or outflows when calculating the final score. </w:t>
      </w:r>
    </w:p>
    <w:p w14:paraId="6D4F6A1E" w14:textId="77777777" w:rsidR="004D405C" w:rsidRPr="004D405C" w:rsidRDefault="004D405C" w:rsidP="004D405C">
      <w:pPr>
        <w:spacing w:before="100" w:beforeAutospacing="1" w:after="100" w:afterAutospacing="1" w:line="240" w:lineRule="auto"/>
        <w:rPr>
          <w:rFonts w:ascii="Times New Roman" w:eastAsia="Times New Roman" w:hAnsi="Times New Roman" w:cs="Times New Roman"/>
          <w:sz w:val="24"/>
          <w:szCs w:val="24"/>
        </w:rPr>
      </w:pPr>
      <w:r w:rsidRPr="004D405C">
        <w:rPr>
          <w:rFonts w:ascii="Times New Roman" w:eastAsia="Times New Roman" w:hAnsi="Times New Roman" w:cs="Times New Roman"/>
          <w:sz w:val="24"/>
          <w:szCs w:val="24"/>
        </w:rPr>
        <w:t xml:space="preserve">FII/DII Flow should strengthen the </w:t>
      </w:r>
      <w:r w:rsidRPr="004D405C">
        <w:rPr>
          <w:rFonts w:ascii="Times New Roman" w:eastAsia="Times New Roman" w:hAnsi="Times New Roman" w:cs="Times New Roman"/>
          <w:b/>
          <w:bCs/>
          <w:sz w:val="24"/>
          <w:szCs w:val="24"/>
        </w:rPr>
        <w:t>Market Health Score</w:t>
      </w:r>
      <w:r w:rsidRPr="004D405C">
        <w:rPr>
          <w:rFonts w:ascii="Times New Roman" w:eastAsia="Times New Roman" w:hAnsi="Times New Roman" w:cs="Times New Roman"/>
          <w:sz w:val="24"/>
          <w:szCs w:val="24"/>
        </w:rPr>
        <w:t xml:space="preserve"> by measuring institutional participation in the Indian equity market. It should be treated as a </w:t>
      </w:r>
      <w:r w:rsidRPr="004D405C">
        <w:rPr>
          <w:rFonts w:ascii="Times New Roman" w:eastAsia="Times New Roman" w:hAnsi="Times New Roman" w:cs="Times New Roman"/>
          <w:b/>
          <w:bCs/>
          <w:sz w:val="24"/>
          <w:szCs w:val="24"/>
        </w:rPr>
        <w:t>confirmation indicator</w:t>
      </w:r>
      <w:r w:rsidRPr="004D405C">
        <w:rPr>
          <w:rFonts w:ascii="Times New Roman" w:eastAsia="Times New Roman" w:hAnsi="Times New Roman" w:cs="Times New Roman"/>
          <w:sz w:val="24"/>
          <w:szCs w:val="24"/>
        </w:rPr>
        <w:t xml:space="preserve"> for market sentiment and used alongside valuation, earnings, and technical indicators rather than as an independent buy or sell signal.</w:t>
      </w:r>
    </w:p>
    <w:p w14:paraId="2A5CE676" w14:textId="64CB08EB" w:rsidR="004C6658" w:rsidRDefault="004C6658"/>
    <w:p w14:paraId="5C21F90F" w14:textId="1E5C9E8D" w:rsidR="002B50C2" w:rsidRDefault="002B50C2"/>
    <w:p w14:paraId="623B427D" w14:textId="1672A941" w:rsidR="002B50C2" w:rsidRDefault="002B50C2"/>
    <w:p w14:paraId="47D3CF0C" w14:textId="23BACE30" w:rsidR="002B50C2" w:rsidRDefault="002B50C2"/>
    <w:p w14:paraId="5084BE36" w14:textId="2F9A280A" w:rsidR="002B50C2" w:rsidRDefault="002B50C2"/>
    <w:p w14:paraId="47FEC440" w14:textId="77777777" w:rsidR="00E11FEB" w:rsidRDefault="00E11FEB"/>
    <w:p w14:paraId="06BA43CB" w14:textId="32C77B18" w:rsidR="002B50C2" w:rsidRDefault="002B50C2"/>
    <w:p w14:paraId="29CA11F9" w14:textId="48205785" w:rsidR="002B50C2" w:rsidRDefault="002B50C2"/>
    <w:p w14:paraId="1BCA6FE5" w14:textId="40337138" w:rsidR="002B50C2" w:rsidRDefault="002B50C2"/>
    <w:p w14:paraId="108B40B2" w14:textId="493DADDA" w:rsidR="002B50C2" w:rsidRDefault="002B50C2"/>
    <w:p w14:paraId="5E435F15" w14:textId="59A38F21" w:rsidR="002B50C2" w:rsidRDefault="002B50C2"/>
    <w:p w14:paraId="37605DD4" w14:textId="5287677E" w:rsidR="002B50C2" w:rsidRPr="002B50C2" w:rsidRDefault="00E11FEB" w:rsidP="002B50C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E11FEB">
        <w:rPr>
          <w:rFonts w:ascii="Times New Roman" w:eastAsia="Times New Roman" w:hAnsi="Times New Roman" w:cs="Times New Roman"/>
          <w:b/>
          <w:bCs/>
          <w:color w:val="FF0000"/>
          <w:kern w:val="36"/>
          <w:sz w:val="48"/>
          <w:szCs w:val="48"/>
        </w:rPr>
        <w:lastRenderedPageBreak/>
        <w:t>$</w:t>
      </w:r>
      <w:r w:rsidR="002B50C2" w:rsidRPr="002B50C2">
        <w:rPr>
          <w:rFonts w:ascii="Times New Roman" w:eastAsia="Times New Roman" w:hAnsi="Times New Roman" w:cs="Times New Roman"/>
          <w:b/>
          <w:bCs/>
          <w:color w:val="FF0000"/>
          <w:kern w:val="36"/>
          <w:sz w:val="48"/>
          <w:szCs w:val="48"/>
        </w:rPr>
        <w:t>. Fundamentals Score Engine</w:t>
      </w:r>
    </w:p>
    <w:p w14:paraId="06FC4EA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Module:</w:t>
      </w:r>
      <w:r w:rsidRPr="002B50C2">
        <w:rPr>
          <w:rFonts w:ascii="Times New Roman" w:eastAsia="Times New Roman" w:hAnsi="Times New Roman" w:cs="Times New Roman"/>
          <w:sz w:val="24"/>
          <w:szCs w:val="24"/>
        </w:rPr>
        <w:t xml:space="preserve"> Fundamentals</w:t>
      </w:r>
      <w:r w:rsidRPr="002B50C2">
        <w:rPr>
          <w:rFonts w:ascii="Times New Roman" w:eastAsia="Times New Roman" w:hAnsi="Times New Roman" w:cs="Times New Roman"/>
          <w:sz w:val="24"/>
          <w:szCs w:val="24"/>
        </w:rPr>
        <w:br/>
      </w:r>
      <w:r w:rsidRPr="002B50C2">
        <w:rPr>
          <w:rFonts w:ascii="Times New Roman" w:eastAsia="Times New Roman" w:hAnsi="Times New Roman" w:cs="Times New Roman"/>
          <w:b/>
          <w:bCs/>
          <w:sz w:val="24"/>
          <w:szCs w:val="24"/>
        </w:rPr>
        <w:t>Category:</w:t>
      </w:r>
      <w:r w:rsidRPr="002B50C2">
        <w:rPr>
          <w:rFonts w:ascii="Times New Roman" w:eastAsia="Times New Roman" w:hAnsi="Times New Roman" w:cs="Times New Roman"/>
          <w:sz w:val="24"/>
          <w:szCs w:val="24"/>
        </w:rPr>
        <w:t xml:space="preserve"> Score Engine</w:t>
      </w:r>
      <w:r w:rsidRPr="002B50C2">
        <w:rPr>
          <w:rFonts w:ascii="Times New Roman" w:eastAsia="Times New Roman" w:hAnsi="Times New Roman" w:cs="Times New Roman"/>
          <w:sz w:val="24"/>
          <w:szCs w:val="24"/>
        </w:rPr>
        <w:br/>
      </w:r>
      <w:r w:rsidRPr="002B50C2">
        <w:rPr>
          <w:rFonts w:ascii="Times New Roman" w:eastAsia="Times New Roman" w:hAnsi="Times New Roman" w:cs="Times New Roman"/>
          <w:b/>
          <w:bCs/>
          <w:sz w:val="24"/>
          <w:szCs w:val="24"/>
        </w:rPr>
        <w:t>Status:</w:t>
      </w:r>
      <w:r w:rsidRPr="002B50C2">
        <w:rPr>
          <w:rFonts w:ascii="Times New Roman" w:eastAsia="Times New Roman" w:hAnsi="Times New Roman" w:cs="Times New Roman"/>
          <w:sz w:val="24"/>
          <w:szCs w:val="24"/>
        </w:rPr>
        <w:t xml:space="preserve"> Production Ready</w:t>
      </w:r>
    </w:p>
    <w:p w14:paraId="186339B0" w14:textId="77777777" w:rsidR="002B50C2" w:rsidRPr="002B50C2" w:rsidRDefault="002B50C2" w:rsidP="002B50C2">
      <w:pPr>
        <w:spacing w:before="100" w:beforeAutospacing="1" w:after="100" w:afterAutospacing="1" w:line="240" w:lineRule="auto"/>
        <w:outlineLvl w:val="1"/>
        <w:rPr>
          <w:rFonts w:ascii="Times New Roman" w:eastAsia="Times New Roman" w:hAnsi="Times New Roman" w:cs="Times New Roman"/>
          <w:b/>
          <w:bCs/>
          <w:sz w:val="36"/>
          <w:szCs w:val="36"/>
        </w:rPr>
      </w:pPr>
      <w:r w:rsidRPr="002B50C2">
        <w:rPr>
          <w:rFonts w:ascii="Times New Roman" w:eastAsia="Times New Roman" w:hAnsi="Times New Roman" w:cs="Times New Roman"/>
          <w:b/>
          <w:bCs/>
          <w:sz w:val="36"/>
          <w:szCs w:val="36"/>
        </w:rPr>
        <w:t>1. Overview</w:t>
      </w:r>
    </w:p>
    <w:p w14:paraId="31A8CB9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Name:</w:t>
      </w:r>
      <w:r w:rsidRPr="002B50C2">
        <w:rPr>
          <w:rFonts w:ascii="Times New Roman" w:eastAsia="Times New Roman" w:hAnsi="Times New Roman" w:cs="Times New Roman"/>
          <w:sz w:val="24"/>
          <w:szCs w:val="24"/>
        </w:rPr>
        <w:t xml:space="preserve"> Fundamentals Score Engine</w:t>
      </w:r>
    </w:p>
    <w:p w14:paraId="339616C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Short Name:</w:t>
      </w:r>
      <w:r w:rsidRPr="002B50C2">
        <w:rPr>
          <w:rFonts w:ascii="Times New Roman" w:eastAsia="Times New Roman" w:hAnsi="Times New Roman" w:cs="Times New Roman"/>
          <w:sz w:val="24"/>
          <w:szCs w:val="24"/>
        </w:rPr>
        <w:t xml:space="preserve"> Fundamentals Engine</w:t>
      </w:r>
    </w:p>
    <w:p w14:paraId="1FF3898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Module:</w:t>
      </w:r>
      <w:r w:rsidRPr="002B50C2">
        <w:rPr>
          <w:rFonts w:ascii="Times New Roman" w:eastAsia="Times New Roman" w:hAnsi="Times New Roman" w:cs="Times New Roman"/>
          <w:sz w:val="24"/>
          <w:szCs w:val="24"/>
        </w:rPr>
        <w:t xml:space="preserve"> Fundamentals</w:t>
      </w:r>
    </w:p>
    <w:p w14:paraId="5CEF1E2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Category:</w:t>
      </w:r>
      <w:r w:rsidRPr="002B50C2">
        <w:rPr>
          <w:rFonts w:ascii="Times New Roman" w:eastAsia="Times New Roman" w:hAnsi="Times New Roman" w:cs="Times New Roman"/>
          <w:sz w:val="24"/>
          <w:szCs w:val="24"/>
        </w:rPr>
        <w:t xml:space="preserve"> Score Engine</w:t>
      </w:r>
    </w:p>
    <w:p w14:paraId="5C65E8B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Purpose:</w:t>
      </w:r>
    </w:p>
    <w:p w14:paraId="4C9E513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Aggregates all Fundamental indicators into a single </w:t>
      </w:r>
      <w:r w:rsidRPr="002B50C2">
        <w:rPr>
          <w:rFonts w:ascii="Times New Roman" w:eastAsia="Times New Roman" w:hAnsi="Times New Roman" w:cs="Times New Roman"/>
          <w:b/>
          <w:bCs/>
          <w:sz w:val="24"/>
          <w:szCs w:val="24"/>
        </w:rPr>
        <w:t>Fundamentals Score (0–100)</w:t>
      </w:r>
      <w:r w:rsidRPr="002B50C2">
        <w:rPr>
          <w:rFonts w:ascii="Times New Roman" w:eastAsia="Times New Roman" w:hAnsi="Times New Roman" w:cs="Times New Roman"/>
          <w:sz w:val="24"/>
          <w:szCs w:val="24"/>
        </w:rPr>
        <w:t xml:space="preserve"> representing the long-term health of the market.</w:t>
      </w:r>
    </w:p>
    <w:p w14:paraId="709E411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Based On:</w:t>
      </w:r>
    </w:p>
    <w:p w14:paraId="0233B2E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Weighted average of all Fundamental indicators.</w:t>
      </w:r>
    </w:p>
    <w:p w14:paraId="1461F2C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Importance:</w:t>
      </w:r>
    </w:p>
    <w:p w14:paraId="0CAA6C2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(Core Engine)</w:t>
      </w:r>
    </w:p>
    <w:p w14:paraId="0103A15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Auto / Manual:</w:t>
      </w:r>
    </w:p>
    <w:p w14:paraId="0351F8B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Automatic</w:t>
      </w:r>
    </w:p>
    <w:p w14:paraId="7ABEC04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Update Frequency:</w:t>
      </w:r>
    </w:p>
    <w:p w14:paraId="02E3FDB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Whenever any Fundamental indicator is updated.</w:t>
      </w:r>
    </w:p>
    <w:p w14:paraId="7F88EF0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Praxis Note:</w:t>
      </w:r>
    </w:p>
    <w:p w14:paraId="4346DD6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The Fundamentals Engine </w:t>
      </w:r>
      <w:r w:rsidRPr="002B50C2">
        <w:rPr>
          <w:rFonts w:ascii="Times New Roman" w:eastAsia="Times New Roman" w:hAnsi="Times New Roman" w:cs="Times New Roman"/>
          <w:b/>
          <w:bCs/>
          <w:sz w:val="24"/>
          <w:szCs w:val="24"/>
        </w:rPr>
        <w:t>does not calculate individual indicators</w:t>
      </w:r>
      <w:r w:rsidRPr="002B50C2">
        <w:rPr>
          <w:rFonts w:ascii="Times New Roman" w:eastAsia="Times New Roman" w:hAnsi="Times New Roman" w:cs="Times New Roman"/>
          <w:sz w:val="24"/>
          <w:szCs w:val="24"/>
        </w:rPr>
        <w:t>. It only consumes the outputs (Score, Bias, Confidence) from each indicator and generates the overall Fundamentals Score.</w:t>
      </w:r>
    </w:p>
    <w:p w14:paraId="10A96F2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66AD8FC4">
          <v:rect id="_x0000_i1665" style="width:0;height:1.5pt" o:hralign="center" o:hrstd="t" o:hr="t" fillcolor="#a0a0a0" stroked="f"/>
        </w:pict>
      </w:r>
    </w:p>
    <w:p w14:paraId="4F19C265"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lastRenderedPageBreak/>
        <w:t>2. Data Requirements</w:t>
      </w:r>
    </w:p>
    <w:p w14:paraId="2A43825F"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Required Data</w:t>
      </w:r>
    </w:p>
    <w:p w14:paraId="7AED3CA4"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Valuation</w:t>
      </w:r>
    </w:p>
    <w:p w14:paraId="7A3C6060" w14:textId="77777777" w:rsidR="002B50C2" w:rsidRPr="002B50C2" w:rsidRDefault="002B50C2" w:rsidP="002B50C2">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PE Ratio Score </w:t>
      </w:r>
    </w:p>
    <w:p w14:paraId="794A4C5E" w14:textId="77777777" w:rsidR="002B50C2" w:rsidRPr="002B50C2" w:rsidRDefault="002B50C2" w:rsidP="002B50C2">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Forward PE Score </w:t>
      </w:r>
    </w:p>
    <w:p w14:paraId="326097FA" w14:textId="77777777" w:rsidR="002B50C2" w:rsidRPr="002B50C2" w:rsidRDefault="002B50C2" w:rsidP="002B50C2">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PB Ratio Score </w:t>
      </w:r>
    </w:p>
    <w:p w14:paraId="3EB325F7" w14:textId="77777777" w:rsidR="002B50C2" w:rsidRPr="002B50C2" w:rsidRDefault="002B50C2" w:rsidP="002B50C2">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Earnings Yield Score </w:t>
      </w:r>
    </w:p>
    <w:p w14:paraId="79C44DE4"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Growth</w:t>
      </w:r>
    </w:p>
    <w:p w14:paraId="7AED29DF" w14:textId="77777777" w:rsidR="002B50C2" w:rsidRPr="002B50C2" w:rsidRDefault="002B50C2" w:rsidP="002B50C2">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EPS Growth Score </w:t>
      </w:r>
    </w:p>
    <w:p w14:paraId="776C4E90" w14:textId="77777777" w:rsidR="002B50C2" w:rsidRPr="002B50C2" w:rsidRDefault="002B50C2" w:rsidP="002B50C2">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Revenue Growth Score </w:t>
      </w:r>
    </w:p>
    <w:p w14:paraId="110EE293" w14:textId="77777777" w:rsidR="002B50C2" w:rsidRPr="002B50C2" w:rsidRDefault="002B50C2" w:rsidP="002B50C2">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Profit Growth Score </w:t>
      </w:r>
    </w:p>
    <w:p w14:paraId="0316E96A" w14:textId="77777777" w:rsidR="002B50C2" w:rsidRPr="002B50C2" w:rsidRDefault="002B50C2" w:rsidP="002B50C2">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GDP Growth Score </w:t>
      </w:r>
    </w:p>
    <w:p w14:paraId="210529FA"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Profitability</w:t>
      </w:r>
    </w:p>
    <w:p w14:paraId="5E282494" w14:textId="77777777" w:rsidR="002B50C2" w:rsidRPr="002B50C2" w:rsidRDefault="002B50C2" w:rsidP="002B50C2">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ROE Score </w:t>
      </w:r>
    </w:p>
    <w:p w14:paraId="45101A8E" w14:textId="77777777" w:rsidR="002B50C2" w:rsidRPr="002B50C2" w:rsidRDefault="002B50C2" w:rsidP="002B50C2">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ROCE Score </w:t>
      </w:r>
    </w:p>
    <w:p w14:paraId="15D79CCB" w14:textId="77777777" w:rsidR="002B50C2" w:rsidRPr="002B50C2" w:rsidRDefault="002B50C2" w:rsidP="002B50C2">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Net Margin Score </w:t>
      </w:r>
    </w:p>
    <w:p w14:paraId="0BA6DE1B" w14:textId="77777777" w:rsidR="002B50C2" w:rsidRPr="002B50C2" w:rsidRDefault="002B50C2" w:rsidP="002B50C2">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Operating Margin Score </w:t>
      </w:r>
    </w:p>
    <w:p w14:paraId="1BA37ACB"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Financial Health</w:t>
      </w:r>
    </w:p>
    <w:p w14:paraId="69AA6E13" w14:textId="77777777" w:rsidR="002B50C2" w:rsidRPr="002B50C2" w:rsidRDefault="002B50C2" w:rsidP="002B50C2">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Debt to Equity Score </w:t>
      </w:r>
    </w:p>
    <w:p w14:paraId="4A4DAECF" w14:textId="77777777" w:rsidR="002B50C2" w:rsidRPr="002B50C2" w:rsidRDefault="002B50C2" w:rsidP="002B50C2">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Interest Coverage Score </w:t>
      </w:r>
    </w:p>
    <w:p w14:paraId="21382839" w14:textId="77777777" w:rsidR="002B50C2" w:rsidRPr="002B50C2" w:rsidRDefault="002B50C2" w:rsidP="002B50C2">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Free Cash Flow Score </w:t>
      </w:r>
    </w:p>
    <w:p w14:paraId="026BD134" w14:textId="77777777" w:rsidR="002B50C2" w:rsidRPr="002B50C2" w:rsidRDefault="002B50C2" w:rsidP="002B50C2">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Current Ratio Score </w:t>
      </w:r>
    </w:p>
    <w:p w14:paraId="7D4557BB"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Market Health</w:t>
      </w:r>
    </w:p>
    <w:p w14:paraId="6843A8B4" w14:textId="77777777" w:rsidR="002B50C2" w:rsidRPr="002B50C2" w:rsidRDefault="002B50C2" w:rsidP="002B50C2">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Market Cap to GDP Score </w:t>
      </w:r>
    </w:p>
    <w:p w14:paraId="06ABF768" w14:textId="77777777" w:rsidR="002B50C2" w:rsidRPr="002B50C2" w:rsidRDefault="002B50C2" w:rsidP="002B50C2">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Dividend Yield Score </w:t>
      </w:r>
    </w:p>
    <w:p w14:paraId="0E3F077B" w14:textId="77777777" w:rsidR="002B50C2" w:rsidRPr="002B50C2" w:rsidRDefault="002B50C2" w:rsidP="002B50C2">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Earnings Trend Score </w:t>
      </w:r>
    </w:p>
    <w:p w14:paraId="230EC417" w14:textId="77777777" w:rsidR="002B50C2" w:rsidRPr="002B50C2" w:rsidRDefault="002B50C2" w:rsidP="002B50C2">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FII/DII Flow Score </w:t>
      </w:r>
    </w:p>
    <w:p w14:paraId="088567FF"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2B7146B8">
          <v:rect id="_x0000_i1666" style="width:0;height:1.5pt" o:hralign="center" o:hrstd="t" o:hr="t" fillcolor="#a0a0a0" stroked="f"/>
        </w:pict>
      </w:r>
    </w:p>
    <w:p w14:paraId="00F3599D"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3. Industry Standard Calculation</w:t>
      </w:r>
    </w:p>
    <w:p w14:paraId="12C18373"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lastRenderedPageBreak/>
        <w:t>Category Score</w:t>
      </w:r>
    </w:p>
    <w:p w14:paraId="24DC9B16" w14:textId="77777777" w:rsidR="002B50C2" w:rsidRPr="002B50C2" w:rsidRDefault="002B50C2" w:rsidP="002B5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50C2">
        <w:rPr>
          <w:rFonts w:ascii="Courier New" w:eastAsia="Times New Roman" w:hAnsi="Courier New" w:cs="Courier New"/>
          <w:sz w:val="20"/>
          <w:szCs w:val="20"/>
        </w:rPr>
        <w:t>Category Score =</w:t>
      </w:r>
    </w:p>
    <w:p w14:paraId="3E3664D6" w14:textId="77777777" w:rsidR="002B50C2" w:rsidRPr="002B50C2" w:rsidRDefault="002B50C2" w:rsidP="002B5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50C2">
        <w:rPr>
          <w:rFonts w:ascii="Courier New" w:eastAsia="Times New Roman" w:hAnsi="Courier New" w:cs="Courier New"/>
          <w:sz w:val="20"/>
          <w:szCs w:val="20"/>
        </w:rPr>
        <w:t>Weighted Average of Indicators</w:t>
      </w:r>
    </w:p>
    <w:p w14:paraId="47C72CA9"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Final Fundamentals Score</w:t>
      </w:r>
    </w:p>
    <w:p w14:paraId="3F09397E" w14:textId="77777777" w:rsidR="002B50C2" w:rsidRPr="002B50C2" w:rsidRDefault="002B50C2" w:rsidP="002B5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50C2">
        <w:rPr>
          <w:rFonts w:ascii="Courier New" w:eastAsia="Times New Roman" w:hAnsi="Courier New" w:cs="Courier New"/>
          <w:sz w:val="20"/>
          <w:szCs w:val="20"/>
        </w:rPr>
        <w:t>Fundamentals Score =</w:t>
      </w:r>
    </w:p>
    <w:p w14:paraId="5FEF7867" w14:textId="77777777" w:rsidR="002B50C2" w:rsidRPr="002B50C2" w:rsidRDefault="002B50C2" w:rsidP="002B5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B50C2">
        <w:rPr>
          <w:rFonts w:ascii="Courier New" w:eastAsia="Times New Roman" w:hAnsi="Courier New" w:cs="Courier New"/>
          <w:sz w:val="20"/>
          <w:szCs w:val="20"/>
        </w:rPr>
        <w:t>Weighted Average of Category Scores</w:t>
      </w:r>
    </w:p>
    <w:p w14:paraId="00EAFB43"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Default Category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822"/>
      </w:tblGrid>
      <w:tr w:rsidR="002B50C2" w:rsidRPr="002B50C2" w14:paraId="1495F3B7" w14:textId="77777777" w:rsidTr="002B50C2">
        <w:trPr>
          <w:tblHeader/>
          <w:tblCellSpacing w:w="15" w:type="dxa"/>
        </w:trPr>
        <w:tc>
          <w:tcPr>
            <w:tcW w:w="0" w:type="auto"/>
            <w:vAlign w:val="center"/>
            <w:hideMark/>
          </w:tcPr>
          <w:p w14:paraId="51B5E5C6"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Category</w:t>
            </w:r>
          </w:p>
        </w:tc>
        <w:tc>
          <w:tcPr>
            <w:tcW w:w="0" w:type="auto"/>
            <w:vAlign w:val="center"/>
            <w:hideMark/>
          </w:tcPr>
          <w:p w14:paraId="4A3CABC1"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Weight</w:t>
            </w:r>
          </w:p>
        </w:tc>
      </w:tr>
      <w:tr w:rsidR="002B50C2" w:rsidRPr="002B50C2" w14:paraId="06CF0C51" w14:textId="77777777" w:rsidTr="002B50C2">
        <w:trPr>
          <w:tblCellSpacing w:w="15" w:type="dxa"/>
        </w:trPr>
        <w:tc>
          <w:tcPr>
            <w:tcW w:w="0" w:type="auto"/>
            <w:vAlign w:val="center"/>
            <w:hideMark/>
          </w:tcPr>
          <w:p w14:paraId="57B37CD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Valuation</w:t>
            </w:r>
          </w:p>
        </w:tc>
        <w:tc>
          <w:tcPr>
            <w:tcW w:w="0" w:type="auto"/>
            <w:vAlign w:val="center"/>
            <w:hideMark/>
          </w:tcPr>
          <w:p w14:paraId="1BC8F0EA"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25%</w:t>
            </w:r>
          </w:p>
        </w:tc>
      </w:tr>
      <w:tr w:rsidR="002B50C2" w:rsidRPr="002B50C2" w14:paraId="12388281" w14:textId="77777777" w:rsidTr="002B50C2">
        <w:trPr>
          <w:tblCellSpacing w:w="15" w:type="dxa"/>
        </w:trPr>
        <w:tc>
          <w:tcPr>
            <w:tcW w:w="0" w:type="auto"/>
            <w:vAlign w:val="center"/>
            <w:hideMark/>
          </w:tcPr>
          <w:p w14:paraId="50182198"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Growth</w:t>
            </w:r>
          </w:p>
        </w:tc>
        <w:tc>
          <w:tcPr>
            <w:tcW w:w="0" w:type="auto"/>
            <w:vAlign w:val="center"/>
            <w:hideMark/>
          </w:tcPr>
          <w:p w14:paraId="48CD9777"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25%</w:t>
            </w:r>
          </w:p>
        </w:tc>
      </w:tr>
      <w:tr w:rsidR="002B50C2" w:rsidRPr="002B50C2" w14:paraId="34E05979" w14:textId="77777777" w:rsidTr="002B50C2">
        <w:trPr>
          <w:tblCellSpacing w:w="15" w:type="dxa"/>
        </w:trPr>
        <w:tc>
          <w:tcPr>
            <w:tcW w:w="0" w:type="auto"/>
            <w:vAlign w:val="center"/>
            <w:hideMark/>
          </w:tcPr>
          <w:p w14:paraId="1CF3534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Profitability</w:t>
            </w:r>
          </w:p>
        </w:tc>
        <w:tc>
          <w:tcPr>
            <w:tcW w:w="0" w:type="auto"/>
            <w:vAlign w:val="center"/>
            <w:hideMark/>
          </w:tcPr>
          <w:p w14:paraId="3DCE780D"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20%</w:t>
            </w:r>
          </w:p>
        </w:tc>
      </w:tr>
      <w:tr w:rsidR="002B50C2" w:rsidRPr="002B50C2" w14:paraId="67B15467" w14:textId="77777777" w:rsidTr="002B50C2">
        <w:trPr>
          <w:tblCellSpacing w:w="15" w:type="dxa"/>
        </w:trPr>
        <w:tc>
          <w:tcPr>
            <w:tcW w:w="0" w:type="auto"/>
            <w:vAlign w:val="center"/>
            <w:hideMark/>
          </w:tcPr>
          <w:p w14:paraId="1DD54D21"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Financial Health</w:t>
            </w:r>
          </w:p>
        </w:tc>
        <w:tc>
          <w:tcPr>
            <w:tcW w:w="0" w:type="auto"/>
            <w:vAlign w:val="center"/>
            <w:hideMark/>
          </w:tcPr>
          <w:p w14:paraId="1AFC9A1F"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15%</w:t>
            </w:r>
          </w:p>
        </w:tc>
      </w:tr>
      <w:tr w:rsidR="002B50C2" w:rsidRPr="002B50C2" w14:paraId="7E42C372" w14:textId="77777777" w:rsidTr="002B50C2">
        <w:trPr>
          <w:tblCellSpacing w:w="15" w:type="dxa"/>
        </w:trPr>
        <w:tc>
          <w:tcPr>
            <w:tcW w:w="0" w:type="auto"/>
            <w:vAlign w:val="center"/>
            <w:hideMark/>
          </w:tcPr>
          <w:p w14:paraId="18FFD5A7"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Market Health</w:t>
            </w:r>
          </w:p>
        </w:tc>
        <w:tc>
          <w:tcPr>
            <w:tcW w:w="0" w:type="auto"/>
            <w:vAlign w:val="center"/>
            <w:hideMark/>
          </w:tcPr>
          <w:p w14:paraId="29B4202A"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15%</w:t>
            </w:r>
          </w:p>
        </w:tc>
      </w:tr>
    </w:tbl>
    <w:p w14:paraId="6250E499"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Implementation Steps</w:t>
      </w:r>
    </w:p>
    <w:p w14:paraId="545EA8E8" w14:textId="77777777" w:rsidR="002B50C2" w:rsidRPr="002B50C2" w:rsidRDefault="002B50C2" w:rsidP="002B50C2">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Collect all indicator scores. </w:t>
      </w:r>
    </w:p>
    <w:p w14:paraId="4E82B8A1" w14:textId="77777777" w:rsidR="002B50C2" w:rsidRPr="002B50C2" w:rsidRDefault="002B50C2" w:rsidP="002B50C2">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Calculate each category score. </w:t>
      </w:r>
    </w:p>
    <w:p w14:paraId="07F1C4FE" w14:textId="77777777" w:rsidR="002B50C2" w:rsidRPr="002B50C2" w:rsidRDefault="002B50C2" w:rsidP="002B50C2">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Apply category weights. </w:t>
      </w:r>
    </w:p>
    <w:p w14:paraId="611F0935" w14:textId="77777777" w:rsidR="002B50C2" w:rsidRPr="002B50C2" w:rsidRDefault="002B50C2" w:rsidP="002B50C2">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Generate overall Fundamentals Score. </w:t>
      </w:r>
    </w:p>
    <w:p w14:paraId="7EB11449" w14:textId="77777777" w:rsidR="002B50C2" w:rsidRPr="002B50C2" w:rsidRDefault="002B50C2" w:rsidP="002B50C2">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Generate Bias and Confidence. </w:t>
      </w:r>
    </w:p>
    <w:p w14:paraId="6A643325"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Notes</w:t>
      </w:r>
    </w:p>
    <w:p w14:paraId="210B11BF" w14:textId="77777777" w:rsidR="002B50C2" w:rsidRPr="002B50C2" w:rsidRDefault="002B50C2" w:rsidP="002B50C2">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Ignore unavailable indicators. </w:t>
      </w:r>
    </w:p>
    <w:p w14:paraId="40B4972A" w14:textId="77777777" w:rsidR="002B50C2" w:rsidRPr="002B50C2" w:rsidRDefault="002B50C2" w:rsidP="002B50C2">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Normalize weights automatically if indicators are unavailable. </w:t>
      </w:r>
    </w:p>
    <w:p w14:paraId="6B180ABC" w14:textId="77777777" w:rsidR="002B50C2" w:rsidRPr="002B50C2" w:rsidRDefault="002B50C2" w:rsidP="002B50C2">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Never assign zero because data is missing. </w:t>
      </w:r>
    </w:p>
    <w:p w14:paraId="1460BE65"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3B2C5A1">
          <v:rect id="_x0000_i1667" style="width:0;height:1.5pt" o:hralign="center" o:hrstd="t" o:hr="t" fillcolor="#a0a0a0" stroked="f"/>
        </w:pict>
      </w:r>
    </w:p>
    <w:p w14:paraId="5E74D1FA"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4. Card Fields</w:t>
      </w:r>
    </w:p>
    <w:p w14:paraId="42A840E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Fundamentals Score</w:t>
      </w:r>
    </w:p>
    <w:p w14:paraId="4BCDE88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0–100</w:t>
      </w:r>
    </w:p>
    <w:p w14:paraId="355D84D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Category Scores</w:t>
      </w:r>
    </w:p>
    <w:p w14:paraId="5FBEF09E" w14:textId="77777777" w:rsidR="002B50C2" w:rsidRPr="002B50C2" w:rsidRDefault="002B50C2" w:rsidP="002B50C2">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Valuation </w:t>
      </w:r>
    </w:p>
    <w:p w14:paraId="3B21D18A" w14:textId="77777777" w:rsidR="002B50C2" w:rsidRPr="002B50C2" w:rsidRDefault="002B50C2" w:rsidP="002B50C2">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t xml:space="preserve">Growth </w:t>
      </w:r>
    </w:p>
    <w:p w14:paraId="1B706371" w14:textId="77777777" w:rsidR="002B50C2" w:rsidRPr="002B50C2" w:rsidRDefault="002B50C2" w:rsidP="002B50C2">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Profitability </w:t>
      </w:r>
    </w:p>
    <w:p w14:paraId="41A3A464" w14:textId="77777777" w:rsidR="002B50C2" w:rsidRPr="002B50C2" w:rsidRDefault="002B50C2" w:rsidP="002B50C2">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Financial Health </w:t>
      </w:r>
    </w:p>
    <w:p w14:paraId="3DE66EF7" w14:textId="77777777" w:rsidR="002B50C2" w:rsidRPr="002B50C2" w:rsidRDefault="002B50C2" w:rsidP="002B50C2">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Market Health </w:t>
      </w:r>
    </w:p>
    <w:p w14:paraId="4C3BBD0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Bias</w:t>
      </w:r>
    </w:p>
    <w:p w14:paraId="2ACF20A4" w14:textId="77777777" w:rsidR="002B50C2" w:rsidRPr="002B50C2" w:rsidRDefault="002B50C2" w:rsidP="002B50C2">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Bullish </w:t>
      </w:r>
    </w:p>
    <w:p w14:paraId="6723F36A" w14:textId="77777777" w:rsidR="002B50C2" w:rsidRPr="002B50C2" w:rsidRDefault="002B50C2" w:rsidP="002B50C2">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Neutral </w:t>
      </w:r>
    </w:p>
    <w:p w14:paraId="693E206B" w14:textId="77777777" w:rsidR="002B50C2" w:rsidRPr="002B50C2" w:rsidRDefault="002B50C2" w:rsidP="002B50C2">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Bearish </w:t>
      </w:r>
    </w:p>
    <w:p w14:paraId="0F6E8CD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Confidence</w:t>
      </w:r>
    </w:p>
    <w:p w14:paraId="1F1D605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Overall Fundamentals Confidence</w:t>
      </w:r>
    </w:p>
    <w:p w14:paraId="4505630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Impact Weight</w:t>
      </w:r>
    </w:p>
    <w:p w14:paraId="7AB4448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20% (Decision Engine Default)</w:t>
      </w:r>
    </w:p>
    <w:p w14:paraId="70B5D218"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6C548196">
          <v:rect id="_x0000_i1668" style="width:0;height:1.5pt" o:hralign="center" o:hrstd="t" o:hr="t" fillcolor="#a0a0a0" stroked="f"/>
        </w:pict>
      </w:r>
    </w:p>
    <w:p w14:paraId="0A49E805"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5. Praxis Score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509"/>
      </w:tblGrid>
      <w:tr w:rsidR="002B50C2" w:rsidRPr="002B50C2" w14:paraId="29F6C1E4" w14:textId="77777777" w:rsidTr="002B50C2">
        <w:trPr>
          <w:tblHeader/>
          <w:tblCellSpacing w:w="15" w:type="dxa"/>
        </w:trPr>
        <w:tc>
          <w:tcPr>
            <w:tcW w:w="0" w:type="auto"/>
            <w:vAlign w:val="center"/>
            <w:hideMark/>
          </w:tcPr>
          <w:p w14:paraId="5056C0B0"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Score</w:t>
            </w:r>
          </w:p>
        </w:tc>
        <w:tc>
          <w:tcPr>
            <w:tcW w:w="0" w:type="auto"/>
            <w:vAlign w:val="center"/>
            <w:hideMark/>
          </w:tcPr>
          <w:p w14:paraId="2B2AF49C"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Bias</w:t>
            </w:r>
          </w:p>
        </w:tc>
      </w:tr>
      <w:tr w:rsidR="002B50C2" w:rsidRPr="002B50C2" w14:paraId="23EF3EC7" w14:textId="77777777" w:rsidTr="002B50C2">
        <w:trPr>
          <w:tblCellSpacing w:w="15" w:type="dxa"/>
        </w:trPr>
        <w:tc>
          <w:tcPr>
            <w:tcW w:w="0" w:type="auto"/>
            <w:vAlign w:val="center"/>
            <w:hideMark/>
          </w:tcPr>
          <w:p w14:paraId="7A790AA9"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90–100</w:t>
            </w:r>
          </w:p>
        </w:tc>
        <w:tc>
          <w:tcPr>
            <w:tcW w:w="0" w:type="auto"/>
            <w:vAlign w:val="center"/>
            <w:hideMark/>
          </w:tcPr>
          <w:p w14:paraId="109AF68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Strong Bullish</w:t>
            </w:r>
          </w:p>
        </w:tc>
      </w:tr>
      <w:tr w:rsidR="002B50C2" w:rsidRPr="002B50C2" w14:paraId="321DC83D" w14:textId="77777777" w:rsidTr="002B50C2">
        <w:trPr>
          <w:tblCellSpacing w:w="15" w:type="dxa"/>
        </w:trPr>
        <w:tc>
          <w:tcPr>
            <w:tcW w:w="0" w:type="auto"/>
            <w:vAlign w:val="center"/>
            <w:hideMark/>
          </w:tcPr>
          <w:p w14:paraId="2C482D9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75–89</w:t>
            </w:r>
          </w:p>
        </w:tc>
        <w:tc>
          <w:tcPr>
            <w:tcW w:w="0" w:type="auto"/>
            <w:vAlign w:val="center"/>
            <w:hideMark/>
          </w:tcPr>
          <w:p w14:paraId="6808BBE9"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Bullish</w:t>
            </w:r>
          </w:p>
        </w:tc>
      </w:tr>
      <w:tr w:rsidR="002B50C2" w:rsidRPr="002B50C2" w14:paraId="55C16530" w14:textId="77777777" w:rsidTr="002B50C2">
        <w:trPr>
          <w:tblCellSpacing w:w="15" w:type="dxa"/>
        </w:trPr>
        <w:tc>
          <w:tcPr>
            <w:tcW w:w="0" w:type="auto"/>
            <w:vAlign w:val="center"/>
            <w:hideMark/>
          </w:tcPr>
          <w:p w14:paraId="3B97A9E5"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55–74</w:t>
            </w:r>
          </w:p>
        </w:tc>
        <w:tc>
          <w:tcPr>
            <w:tcW w:w="0" w:type="auto"/>
            <w:vAlign w:val="center"/>
            <w:hideMark/>
          </w:tcPr>
          <w:p w14:paraId="445D98F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Neutral</w:t>
            </w:r>
          </w:p>
        </w:tc>
      </w:tr>
      <w:tr w:rsidR="002B50C2" w:rsidRPr="002B50C2" w14:paraId="6F6E3A36" w14:textId="77777777" w:rsidTr="002B50C2">
        <w:trPr>
          <w:tblCellSpacing w:w="15" w:type="dxa"/>
        </w:trPr>
        <w:tc>
          <w:tcPr>
            <w:tcW w:w="0" w:type="auto"/>
            <w:vAlign w:val="center"/>
            <w:hideMark/>
          </w:tcPr>
          <w:p w14:paraId="7753C424"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35–54</w:t>
            </w:r>
          </w:p>
        </w:tc>
        <w:tc>
          <w:tcPr>
            <w:tcW w:w="0" w:type="auto"/>
            <w:vAlign w:val="center"/>
            <w:hideMark/>
          </w:tcPr>
          <w:p w14:paraId="639893E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Bearish</w:t>
            </w:r>
          </w:p>
        </w:tc>
      </w:tr>
      <w:tr w:rsidR="002B50C2" w:rsidRPr="002B50C2" w14:paraId="08AAE7EF" w14:textId="77777777" w:rsidTr="002B50C2">
        <w:trPr>
          <w:tblCellSpacing w:w="15" w:type="dxa"/>
        </w:trPr>
        <w:tc>
          <w:tcPr>
            <w:tcW w:w="0" w:type="auto"/>
            <w:vAlign w:val="center"/>
            <w:hideMark/>
          </w:tcPr>
          <w:p w14:paraId="72BC2625"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0–34</w:t>
            </w:r>
          </w:p>
        </w:tc>
        <w:tc>
          <w:tcPr>
            <w:tcW w:w="0" w:type="auto"/>
            <w:vAlign w:val="center"/>
            <w:hideMark/>
          </w:tcPr>
          <w:p w14:paraId="3710557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Strong Bearish</w:t>
            </w:r>
          </w:p>
        </w:tc>
      </w:tr>
    </w:tbl>
    <w:p w14:paraId="1F90766C"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Notes</w:t>
      </w:r>
    </w:p>
    <w:p w14:paraId="041BC25D" w14:textId="77777777" w:rsidR="002B50C2" w:rsidRPr="002B50C2" w:rsidRDefault="002B50C2" w:rsidP="002B50C2">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Every category contributes proportionally. </w:t>
      </w:r>
    </w:p>
    <w:p w14:paraId="37FC14F2" w14:textId="77777777" w:rsidR="002B50C2" w:rsidRPr="002B50C2" w:rsidRDefault="002B50C2" w:rsidP="002B50C2">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Missing indicators should not disproportionately affect the score. </w:t>
      </w:r>
    </w:p>
    <w:p w14:paraId="5CBC535E" w14:textId="77777777" w:rsidR="002B50C2" w:rsidRPr="002B50C2" w:rsidRDefault="002B50C2" w:rsidP="002B50C2">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Category weights should remain configurable. </w:t>
      </w:r>
    </w:p>
    <w:p w14:paraId="3FD7139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00FC3801">
          <v:rect id="_x0000_i1669" style="width:0;height:1.5pt" o:hralign="center" o:hrstd="t" o:hr="t" fillcolor="#a0a0a0" stroked="f"/>
        </w:pict>
      </w:r>
    </w:p>
    <w:p w14:paraId="39185F67"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6. Bias Rules</w:t>
      </w:r>
    </w:p>
    <w:p w14:paraId="7710C56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Score Above 75</w:t>
      </w:r>
    </w:p>
    <w:p w14:paraId="59733D6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Bullish</w:t>
      </w:r>
    </w:p>
    <w:p w14:paraId="350802B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lastRenderedPageBreak/>
        <w:t>Score Between 55–74</w:t>
      </w:r>
    </w:p>
    <w:p w14:paraId="0F5D265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Neutral</w:t>
      </w:r>
    </w:p>
    <w:p w14:paraId="039379E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Score Below 55</w:t>
      </w:r>
    </w:p>
    <w:p w14:paraId="4BB80DD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Bearish</w:t>
      </w:r>
    </w:p>
    <w:p w14:paraId="6EF7240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Score Below 35</w:t>
      </w:r>
    </w:p>
    <w:p w14:paraId="1A2D17B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Strong Bearish</w:t>
      </w:r>
    </w:p>
    <w:p w14:paraId="4EF3FAA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66FD300A">
          <v:rect id="_x0000_i1670" style="width:0;height:1.5pt" o:hralign="center" o:hrstd="t" o:hr="t" fillcolor="#a0a0a0" stroked="f"/>
        </w:pict>
      </w:r>
    </w:p>
    <w:p w14:paraId="00E2FE4F"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7. Confidence Logic</w:t>
      </w:r>
    </w:p>
    <w:p w14:paraId="1F42CDE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Base Confidence</w:t>
      </w:r>
    </w:p>
    <w:p w14:paraId="60E2E3E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Average confidence of all available indicators.</w:t>
      </w:r>
    </w:p>
    <w:p w14:paraId="7B4DDBFC"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Increase Confidence</w:t>
      </w:r>
    </w:p>
    <w:p w14:paraId="74FD4A9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+5% All five categories available</w:t>
      </w:r>
    </w:p>
    <w:p w14:paraId="34230FA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+5% No stale indicator data</w:t>
      </w:r>
    </w:p>
    <w:p w14:paraId="401CEF5C"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Decrease Confidence</w:t>
      </w:r>
    </w:p>
    <w:p w14:paraId="311766E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-5% One category unavailable</w:t>
      </w:r>
    </w:p>
    <w:p w14:paraId="69D3748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-10% Multiple missing indicators</w:t>
      </w:r>
    </w:p>
    <w:p w14:paraId="702A12E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-10% Manual values used</w:t>
      </w:r>
    </w:p>
    <w:p w14:paraId="1923A95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Minimum</w:t>
      </w:r>
    </w:p>
    <w:p w14:paraId="082459D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50%</w:t>
      </w:r>
    </w:p>
    <w:p w14:paraId="7596F11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Maximum</w:t>
      </w:r>
    </w:p>
    <w:p w14:paraId="3AAB8F0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99%</w:t>
      </w:r>
    </w:p>
    <w:p w14:paraId="629A64F1"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1A28D9E3">
          <v:rect id="_x0000_i1671" style="width:0;height:1.5pt" o:hralign="center" o:hrstd="t" o:hr="t" fillcolor="#a0a0a0" stroked="f"/>
        </w:pict>
      </w:r>
    </w:p>
    <w:p w14:paraId="581F5F3F"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lastRenderedPageBreak/>
        <w:t>8. Score Range Bar</w:t>
      </w:r>
    </w:p>
    <w:p w14:paraId="4695CAB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Minimum</w:t>
      </w:r>
    </w:p>
    <w:p w14:paraId="7B8F2F6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0</w:t>
      </w:r>
    </w:p>
    <w:p w14:paraId="3F1ADA4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Maximum</w:t>
      </w:r>
    </w:p>
    <w:p w14:paraId="0435083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100</w:t>
      </w:r>
    </w:p>
    <w:p w14:paraId="018852A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Pointer</w:t>
      </w:r>
    </w:p>
    <w:p w14:paraId="65D7F7D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Current Fundamentals Score</w:t>
      </w:r>
    </w:p>
    <w:p w14:paraId="294B897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Average Marker</w:t>
      </w:r>
    </w:p>
    <w:p w14:paraId="51E4519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30-Day Average Score</w:t>
      </w:r>
    </w:p>
    <w:p w14:paraId="3F1A3D9C"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Color Zones</w:t>
      </w:r>
    </w:p>
    <w:p w14:paraId="6CBA4EE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0–30 → Weak Fundamentals</w:t>
      </w:r>
    </w:p>
    <w:p w14:paraId="4271EDD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30–60 → Below Average</w:t>
      </w:r>
    </w:p>
    <w:p w14:paraId="27BDA5E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60–80 → Healthy</w:t>
      </w:r>
    </w:p>
    <w:p w14:paraId="31913D4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80–100 → Strong Fundamentals</w:t>
      </w:r>
    </w:p>
    <w:p w14:paraId="2BE85111"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2C3B87C6">
          <v:rect id="_x0000_i1672" style="width:0;height:1.5pt" o:hralign="center" o:hrstd="t" o:hr="t" fillcolor="#a0a0a0" stroked="f"/>
        </w:pict>
      </w:r>
    </w:p>
    <w:p w14:paraId="0A7ABA38"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9. Dual Trend Chart</w:t>
      </w:r>
    </w:p>
    <w:p w14:paraId="21469CE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Chart Type</w:t>
      </w:r>
    </w:p>
    <w:p w14:paraId="2CFF453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Dual Line</w:t>
      </w:r>
    </w:p>
    <w:p w14:paraId="580EC79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Line 1</w:t>
      </w:r>
    </w:p>
    <w:p w14:paraId="4A0AB9D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Score</w:t>
      </w:r>
    </w:p>
    <w:p w14:paraId="1887BDA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Line 2</w:t>
      </w:r>
    </w:p>
    <w:p w14:paraId="2A84708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Confidence</w:t>
      </w:r>
    </w:p>
    <w:p w14:paraId="35DD233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lastRenderedPageBreak/>
        <w:t>History</w:t>
      </w:r>
    </w:p>
    <w:p w14:paraId="7F9BBAD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30 Updates</w:t>
      </w:r>
    </w:p>
    <w:p w14:paraId="145C5C4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Update</w:t>
      </w:r>
    </w:p>
    <w:p w14:paraId="364C8E8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Whenever any Fundamental indicator changes.</w:t>
      </w:r>
    </w:p>
    <w:p w14:paraId="32045AC9"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02D47426">
          <v:rect id="_x0000_i1673" style="width:0;height:1.5pt" o:hralign="center" o:hrstd="t" o:hr="t" fillcolor="#a0a0a0" stroked="f"/>
        </w:pict>
      </w:r>
    </w:p>
    <w:p w14:paraId="6C1B9C05"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10. AI Insight Rules</w:t>
      </w:r>
    </w:p>
    <w:p w14:paraId="7A3D653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Score Above 80</w:t>
      </w:r>
    </w:p>
    <w:p w14:paraId="2060394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Explain that the majority of fundamental indicators support a healthy long-term market outlook.</w:t>
      </w:r>
    </w:p>
    <w:p w14:paraId="268169D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Score Between 60–80</w:t>
      </w:r>
    </w:p>
    <w:p w14:paraId="4DC59D1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Explain that fundamentals remain generally supportive with a few areas requiring monitoring.</w:t>
      </w:r>
    </w:p>
    <w:p w14:paraId="31295D1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Score Between 35–60</w:t>
      </w:r>
    </w:p>
    <w:p w14:paraId="1AE5295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Explain that mixed fundamental conditions reduce long-term conviction.</w:t>
      </w:r>
    </w:p>
    <w:p w14:paraId="64702E0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Score Below 35</w:t>
      </w:r>
    </w:p>
    <w:p w14:paraId="3EA35FB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Explain that multiple fundamental indicators suggest elevated long-term market risk.</w:t>
      </w:r>
    </w:p>
    <w:p w14:paraId="1C9BFC2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Low Confidence</w:t>
      </w:r>
    </w:p>
    <w:p w14:paraId="272408C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Mention that missing or outdated data reduces confidence.</w:t>
      </w:r>
    </w:p>
    <w:p w14:paraId="2C719A21"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2B7898A4">
          <v:rect id="_x0000_i1674" style="width:0;height:1.5pt" o:hralign="center" o:hrstd="t" o:hr="t" fillcolor="#a0a0a0" stroked="f"/>
        </w:pict>
      </w:r>
    </w:p>
    <w:p w14:paraId="1D32A3AE"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11. Why It Matters</w:t>
      </w:r>
    </w:p>
    <w:p w14:paraId="3ABE0CD3" w14:textId="77777777" w:rsidR="002B50C2" w:rsidRPr="002B50C2" w:rsidRDefault="002B50C2" w:rsidP="002B50C2">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Summarizes long-term market health. </w:t>
      </w:r>
    </w:p>
    <w:p w14:paraId="27FEC07D" w14:textId="77777777" w:rsidR="002B50C2" w:rsidRPr="002B50C2" w:rsidRDefault="002B50C2" w:rsidP="002B50C2">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Combines multiple fundamental indicators into a single score. </w:t>
      </w:r>
    </w:p>
    <w:p w14:paraId="732B39F9" w14:textId="77777777" w:rsidR="002B50C2" w:rsidRPr="002B50C2" w:rsidRDefault="002B50C2" w:rsidP="002B50C2">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Reduces reliance on individual metrics. </w:t>
      </w:r>
    </w:p>
    <w:p w14:paraId="5C5BF8FF" w14:textId="77777777" w:rsidR="002B50C2" w:rsidRPr="002B50C2" w:rsidRDefault="002B50C2" w:rsidP="002B50C2">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Provides a standardized input for the Decision Engine. </w:t>
      </w:r>
    </w:p>
    <w:p w14:paraId="4F6C2C1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4C84A651">
          <v:rect id="_x0000_i1675" style="width:0;height:1.5pt" o:hralign="center" o:hrstd="t" o:hr="t" fillcolor="#a0a0a0" stroked="f"/>
        </w:pict>
      </w:r>
    </w:p>
    <w:p w14:paraId="03E39BCA"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lastRenderedPageBreak/>
        <w:t>12. Trading Impact</w:t>
      </w:r>
    </w:p>
    <w:p w14:paraId="4DDC416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Intraday</w:t>
      </w:r>
    </w:p>
    <w:p w14:paraId="15C65FB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Segoe UI Symbol" w:eastAsia="Times New Roman" w:hAnsi="Segoe UI Symbol" w:cs="Segoe UI Symbol"/>
          <w:sz w:val="24"/>
          <w:szCs w:val="24"/>
        </w:rPr>
        <w:t>☆☆☆☆</w:t>
      </w:r>
    </w:p>
    <w:p w14:paraId="7652D20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Swing Trading</w:t>
      </w:r>
    </w:p>
    <w:p w14:paraId="624F917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Symbol" w:eastAsia="Times New Roman" w:hAnsi="Segoe UI Symbol" w:cs="Segoe UI Symbol"/>
          <w:sz w:val="24"/>
          <w:szCs w:val="24"/>
        </w:rPr>
        <w:t>★★★☆☆</w:t>
      </w:r>
    </w:p>
    <w:p w14:paraId="218C23B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Positional Trading</w:t>
      </w:r>
    </w:p>
    <w:p w14:paraId="1843517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Symbol" w:eastAsia="Times New Roman" w:hAnsi="Segoe UI Symbol" w:cs="Segoe UI Symbol"/>
          <w:sz w:val="24"/>
          <w:szCs w:val="24"/>
        </w:rPr>
        <w:t>★★★★★</w:t>
      </w:r>
    </w:p>
    <w:p w14:paraId="6999133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Options Trading</w:t>
      </w:r>
    </w:p>
    <w:p w14:paraId="30837F7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Symbol" w:eastAsia="Times New Roman" w:hAnsi="Segoe UI Symbol" w:cs="Segoe UI Symbol"/>
          <w:sz w:val="24"/>
          <w:szCs w:val="24"/>
        </w:rPr>
        <w:t>★★☆☆☆</w:t>
      </w:r>
    </w:p>
    <w:p w14:paraId="3FBE11E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Best Use</w:t>
      </w:r>
    </w:p>
    <w:p w14:paraId="79C1E00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Long-term market assessment.</w:t>
      </w:r>
    </w:p>
    <w:p w14:paraId="1DBC31D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Avoid Using Alone</w:t>
      </w:r>
    </w:p>
    <w:p w14:paraId="57D152C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Yes</w:t>
      </w:r>
    </w:p>
    <w:p w14:paraId="1461B3A7"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17ED60FF">
          <v:rect id="_x0000_i1676" style="width:0;height:1.5pt" o:hralign="center" o:hrstd="t" o:hr="t" fillcolor="#a0a0a0" stroked="f"/>
        </w:pict>
      </w:r>
    </w:p>
    <w:p w14:paraId="0335BDDA"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13. Supporting Indicators</w:t>
      </w:r>
    </w:p>
    <w:p w14:paraId="3FC0FFCE" w14:textId="77777777" w:rsidR="002B50C2" w:rsidRPr="002B50C2" w:rsidRDefault="002B50C2" w:rsidP="002B50C2">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All 20 Fundamentals Indicators </w:t>
      </w:r>
    </w:p>
    <w:p w14:paraId="6A2250BC" w14:textId="77777777" w:rsidR="002B50C2" w:rsidRPr="002B50C2" w:rsidRDefault="002B50C2" w:rsidP="002B50C2">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Technical Score </w:t>
      </w:r>
    </w:p>
    <w:p w14:paraId="41803767" w14:textId="77777777" w:rsidR="002B50C2" w:rsidRPr="002B50C2" w:rsidRDefault="002B50C2" w:rsidP="002B50C2">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Options Score </w:t>
      </w:r>
    </w:p>
    <w:p w14:paraId="6EDA54F7" w14:textId="77777777" w:rsidR="002B50C2" w:rsidRPr="002B50C2" w:rsidRDefault="002B50C2" w:rsidP="002B50C2">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Global Score </w:t>
      </w:r>
    </w:p>
    <w:p w14:paraId="48FA6CCF" w14:textId="77777777" w:rsidR="002B50C2" w:rsidRPr="002B50C2" w:rsidRDefault="002B50C2" w:rsidP="002B50C2">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Events Score </w:t>
      </w:r>
    </w:p>
    <w:p w14:paraId="4A2D1C6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08AEDBE0">
          <v:rect id="_x0000_i1677" style="width:0;height:1.5pt" o:hralign="center" o:hrstd="t" o:hr="t" fillcolor="#a0a0a0" stroked="f"/>
        </w:pict>
      </w:r>
    </w:p>
    <w:p w14:paraId="3FA6DDFA"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14. Metadata</w:t>
      </w:r>
    </w:p>
    <w:p w14:paraId="7F9E9BC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Source</w:t>
      </w:r>
    </w:p>
    <w:p w14:paraId="02CA367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Calculated</w:t>
      </w:r>
    </w:p>
    <w:p w14:paraId="22978CA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lastRenderedPageBreak/>
        <w:t>Calculation</w:t>
      </w:r>
    </w:p>
    <w:p w14:paraId="2AFBC95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Backend</w:t>
      </w:r>
    </w:p>
    <w:p w14:paraId="186739C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Updated</w:t>
      </w:r>
    </w:p>
    <w:p w14:paraId="4B20BC8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Whenever any Fundamental indicator updates</w:t>
      </w:r>
    </w:p>
    <w:p w14:paraId="41EE093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proofErr w:type="spellStart"/>
      <w:r w:rsidRPr="002B50C2">
        <w:rPr>
          <w:rFonts w:ascii="Times New Roman" w:eastAsia="Times New Roman" w:hAnsi="Times New Roman" w:cs="Times New Roman"/>
          <w:b/>
          <w:bCs/>
          <w:sz w:val="24"/>
          <w:szCs w:val="24"/>
        </w:rPr>
        <w:t>Timezone</w:t>
      </w:r>
      <w:proofErr w:type="spellEnd"/>
    </w:p>
    <w:p w14:paraId="63E58D2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Asia/Kolkata</w:t>
      </w:r>
    </w:p>
    <w:p w14:paraId="7865E8A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Storage</w:t>
      </w:r>
    </w:p>
    <w:p w14:paraId="789AA7A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Local Electron Database</w:t>
      </w:r>
    </w:p>
    <w:p w14:paraId="601DB36A"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735CD8F">
          <v:rect id="_x0000_i1678" style="width:0;height:1.5pt" o:hralign="center" o:hrstd="t" o:hr="t" fillcolor="#a0a0a0" stroked="f"/>
        </w:pict>
      </w:r>
    </w:p>
    <w:p w14:paraId="6E78C0F2"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15. Developer Notes</w:t>
      </w:r>
    </w:p>
    <w:p w14:paraId="298F032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Store:</w:t>
      </w:r>
    </w:p>
    <w:p w14:paraId="6E786666" w14:textId="77777777" w:rsidR="002B50C2" w:rsidRPr="002B50C2" w:rsidRDefault="002B50C2" w:rsidP="002B50C2">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w:t>
      </w:r>
    </w:p>
    <w:p w14:paraId="1BFD4D98" w14:textId="77777777" w:rsidR="002B50C2" w:rsidRPr="002B50C2" w:rsidRDefault="002B50C2" w:rsidP="002B50C2">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Category Scores </w:t>
      </w:r>
    </w:p>
    <w:p w14:paraId="5F96817B" w14:textId="77777777" w:rsidR="002B50C2" w:rsidRPr="002B50C2" w:rsidRDefault="002B50C2" w:rsidP="002B50C2">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Overall Confidence </w:t>
      </w:r>
    </w:p>
    <w:p w14:paraId="2BF22D8B" w14:textId="77777777" w:rsidR="002B50C2" w:rsidRPr="002B50C2" w:rsidRDefault="002B50C2" w:rsidP="002B50C2">
      <w:pPr>
        <w:numPr>
          <w:ilvl w:val="0"/>
          <w:numId w:val="274"/>
        </w:numPr>
        <w:spacing w:before="100" w:beforeAutospacing="1" w:after="100" w:afterAutospacing="1" w:line="240" w:lineRule="auto"/>
        <w:rPr>
          <w:rFonts w:ascii="Times New Roman" w:eastAsia="Times New Roman" w:hAnsi="Times New Roman" w:cs="Times New Roman"/>
          <w:sz w:val="24"/>
          <w:szCs w:val="24"/>
        </w:rPr>
      </w:pPr>
      <w:proofErr w:type="gramStart"/>
      <w:r w:rsidRPr="002B50C2">
        <w:rPr>
          <w:rFonts w:ascii="Times New Roman" w:eastAsia="Times New Roman" w:hAnsi="Times New Roman" w:cs="Times New Roman"/>
          <w:sz w:val="24"/>
          <w:szCs w:val="24"/>
        </w:rPr>
        <w:t>Overall</w:t>
      </w:r>
      <w:proofErr w:type="gramEnd"/>
      <w:r w:rsidRPr="002B50C2">
        <w:rPr>
          <w:rFonts w:ascii="Times New Roman" w:eastAsia="Times New Roman" w:hAnsi="Times New Roman" w:cs="Times New Roman"/>
          <w:sz w:val="24"/>
          <w:szCs w:val="24"/>
        </w:rPr>
        <w:t xml:space="preserve"> Bias </w:t>
      </w:r>
    </w:p>
    <w:p w14:paraId="04C9E985" w14:textId="77777777" w:rsidR="002B50C2" w:rsidRPr="002B50C2" w:rsidRDefault="002B50C2" w:rsidP="002B50C2">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Historical Scores </w:t>
      </w:r>
    </w:p>
    <w:p w14:paraId="51103363" w14:textId="77777777" w:rsidR="002B50C2" w:rsidRPr="002B50C2" w:rsidRDefault="002B50C2" w:rsidP="002B50C2">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Last Updated </w:t>
      </w:r>
    </w:p>
    <w:p w14:paraId="75902CE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Automatically recalculate only when an underlying indicator changes. Normalize category weights if one or more indicators are unavailable. Preserve historical scores for dashboard trend visualization.</w:t>
      </w:r>
    </w:p>
    <w:p w14:paraId="3717DF94"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261BAEBC">
          <v:rect id="_x0000_i1679" style="width:0;height:1.5pt" o:hralign="center" o:hrstd="t" o:hr="t" fillcolor="#a0a0a0" stroked="f"/>
        </w:pict>
      </w:r>
    </w:p>
    <w:p w14:paraId="29E91133"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 xml:space="preserve">16. Praxis Engine Integration </w:t>
      </w:r>
      <w:r w:rsidRPr="002B50C2">
        <w:rPr>
          <w:rFonts w:ascii="Segoe UI Emoji" w:eastAsia="Times New Roman" w:hAnsi="Segoe UI Emoji" w:cs="Segoe UI Emoji"/>
          <w:b/>
          <w:bCs/>
          <w:kern w:val="36"/>
          <w:sz w:val="48"/>
          <w:szCs w:val="48"/>
        </w:rPr>
        <w:t>⭐</w:t>
      </w:r>
    </w:p>
    <w:p w14:paraId="6D45A29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Engine Weight</w:t>
      </w:r>
    </w:p>
    <w:p w14:paraId="237BB5F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20% (Default Decision Engine Weight)</w:t>
      </w:r>
    </w:p>
    <w:p w14:paraId="5C001A8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Relative Importance</w:t>
      </w:r>
    </w:p>
    <w:p w14:paraId="0B073C9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Critical</w:t>
      </w:r>
    </w:p>
    <w:p w14:paraId="2FAC042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lastRenderedPageBreak/>
        <w:t>Decision Engine Role</w:t>
      </w:r>
    </w:p>
    <w:p w14:paraId="75285F2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Long-Term Market Assessment</w:t>
      </w:r>
    </w:p>
    <w:p w14:paraId="28D829B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Primary Use</w:t>
      </w:r>
    </w:p>
    <w:p w14:paraId="07C5791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Provide the overall Fundamental input to the Dashboard and Decision Engine.</w:t>
      </w:r>
    </w:p>
    <w:p w14:paraId="3DC3743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Bullish Confirmation</w:t>
      </w:r>
    </w:p>
    <w:p w14:paraId="0E4E74C5" w14:textId="77777777" w:rsidR="002B50C2" w:rsidRPr="002B50C2" w:rsidRDefault="002B50C2" w:rsidP="002B50C2">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&gt;75 </w:t>
      </w:r>
    </w:p>
    <w:p w14:paraId="72E256AC" w14:textId="77777777" w:rsidR="002B50C2" w:rsidRPr="002B50C2" w:rsidRDefault="002B50C2" w:rsidP="002B50C2">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&gt;80% </w:t>
      </w:r>
    </w:p>
    <w:p w14:paraId="7023EBA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Bearish Confirmation</w:t>
      </w:r>
    </w:p>
    <w:p w14:paraId="2D1490E1" w14:textId="77777777" w:rsidR="002B50C2" w:rsidRPr="002B50C2" w:rsidRDefault="002B50C2" w:rsidP="002B50C2">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&lt;55 </w:t>
      </w:r>
    </w:p>
    <w:p w14:paraId="0906E387" w14:textId="77777777" w:rsidR="002B50C2" w:rsidRPr="002B50C2" w:rsidRDefault="002B50C2" w:rsidP="002B50C2">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&lt;60% </w:t>
      </w:r>
    </w:p>
    <w:p w14:paraId="6853791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Display Priority</w:t>
      </w:r>
    </w:p>
    <w:p w14:paraId="6558AF3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Highest</w:t>
      </w:r>
    </w:p>
    <w:p w14:paraId="164768C4"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0F0B163A">
          <v:rect id="_x0000_i1680" style="width:0;height:1.5pt" o:hralign="center" o:hrstd="t" o:hr="t" fillcolor="#a0a0a0" stroked="f"/>
        </w:pict>
      </w:r>
    </w:p>
    <w:p w14:paraId="4C8AE41F"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17. Praxis Recommendation</w:t>
      </w:r>
    </w:p>
    <w:p w14:paraId="075E469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The Fundamentals Score Engine should be the </w:t>
      </w:r>
      <w:r w:rsidRPr="002B50C2">
        <w:rPr>
          <w:rFonts w:ascii="Times New Roman" w:eastAsia="Times New Roman" w:hAnsi="Times New Roman" w:cs="Times New Roman"/>
          <w:b/>
          <w:bCs/>
          <w:sz w:val="24"/>
          <w:szCs w:val="24"/>
        </w:rPr>
        <w:t>single output</w:t>
      </w:r>
      <w:r w:rsidRPr="002B50C2">
        <w:rPr>
          <w:rFonts w:ascii="Times New Roman" w:eastAsia="Times New Roman" w:hAnsi="Times New Roman" w:cs="Times New Roman"/>
          <w:sz w:val="24"/>
          <w:szCs w:val="24"/>
        </w:rPr>
        <w:t xml:space="preserve"> of the Fundamentals module.</w:t>
      </w:r>
    </w:p>
    <w:p w14:paraId="46C6D3B7"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Engine Hierarchy</w:t>
      </w:r>
    </w:p>
    <w:p w14:paraId="54B4EA8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Indicator Scores</w:t>
      </w:r>
    </w:p>
    <w:p w14:paraId="3B96D93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25191E4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Category Scores</w:t>
      </w:r>
    </w:p>
    <w:p w14:paraId="4FAC56B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2186EBF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Fundamentals Score</w:t>
      </w:r>
    </w:p>
    <w:p w14:paraId="5018366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4BEB0F8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Decision Engine</w:t>
      </w:r>
    </w:p>
    <w:p w14:paraId="13BFF4FB"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lastRenderedPageBreak/>
        <w:t>Engine Rules</w:t>
      </w:r>
    </w:p>
    <w:p w14:paraId="4625FE7A" w14:textId="77777777" w:rsidR="002B50C2" w:rsidRPr="002B50C2" w:rsidRDefault="002B50C2" w:rsidP="002B50C2">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Calculate category scores before calculating the overall score. </w:t>
      </w:r>
    </w:p>
    <w:p w14:paraId="3AA05820" w14:textId="77777777" w:rsidR="002B50C2" w:rsidRPr="002B50C2" w:rsidRDefault="002B50C2" w:rsidP="002B50C2">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Normalize weights automatically when indicators are unavailable. </w:t>
      </w:r>
    </w:p>
    <w:p w14:paraId="34619A3E" w14:textId="77777777" w:rsidR="002B50C2" w:rsidRPr="002B50C2" w:rsidRDefault="002B50C2" w:rsidP="002B50C2">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Use confidence-weighted aggregation where possible. </w:t>
      </w:r>
    </w:p>
    <w:p w14:paraId="1F671577" w14:textId="77777777" w:rsidR="002B50C2" w:rsidRPr="002B50C2" w:rsidRDefault="002B50C2" w:rsidP="002B50C2">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The Fundamentals Score should be consumed directly by the </w:t>
      </w:r>
      <w:r w:rsidRPr="002B50C2">
        <w:rPr>
          <w:rFonts w:ascii="Times New Roman" w:eastAsia="Times New Roman" w:hAnsi="Times New Roman" w:cs="Times New Roman"/>
          <w:b/>
          <w:bCs/>
          <w:sz w:val="24"/>
          <w:szCs w:val="24"/>
        </w:rPr>
        <w:t>Dashboard</w:t>
      </w:r>
      <w:r w:rsidRPr="002B50C2">
        <w:rPr>
          <w:rFonts w:ascii="Times New Roman" w:eastAsia="Times New Roman" w:hAnsi="Times New Roman" w:cs="Times New Roman"/>
          <w:sz w:val="24"/>
          <w:szCs w:val="24"/>
        </w:rPr>
        <w:t xml:space="preserve"> and </w:t>
      </w:r>
      <w:r w:rsidRPr="002B50C2">
        <w:rPr>
          <w:rFonts w:ascii="Times New Roman" w:eastAsia="Times New Roman" w:hAnsi="Times New Roman" w:cs="Times New Roman"/>
          <w:b/>
          <w:bCs/>
          <w:sz w:val="24"/>
          <w:szCs w:val="24"/>
        </w:rPr>
        <w:t>Decision Engine</w:t>
      </w:r>
      <w:r w:rsidRPr="002B50C2">
        <w:rPr>
          <w:rFonts w:ascii="Times New Roman" w:eastAsia="Times New Roman" w:hAnsi="Times New Roman" w:cs="Times New Roman"/>
          <w:sz w:val="24"/>
          <w:szCs w:val="24"/>
        </w:rPr>
        <w:t xml:space="preserve"> without recalculating any individual indicators. </w:t>
      </w:r>
    </w:p>
    <w:p w14:paraId="50AF4102" w14:textId="1EB9F794" w:rsid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This engine serves as the bridge between the 20 Fundamental indicators and the overall market assessment, producing a consistent </w:t>
      </w:r>
      <w:r w:rsidRPr="002B50C2">
        <w:rPr>
          <w:rFonts w:ascii="Times New Roman" w:eastAsia="Times New Roman" w:hAnsi="Times New Roman" w:cs="Times New Roman"/>
          <w:b/>
          <w:bCs/>
          <w:sz w:val="24"/>
          <w:szCs w:val="24"/>
        </w:rPr>
        <w:t>Score, Bias, and Confidence</w:t>
      </w:r>
      <w:r w:rsidRPr="002B50C2">
        <w:rPr>
          <w:rFonts w:ascii="Times New Roman" w:eastAsia="Times New Roman" w:hAnsi="Times New Roman" w:cs="Times New Roman"/>
          <w:sz w:val="24"/>
          <w:szCs w:val="24"/>
        </w:rPr>
        <w:t xml:space="preserve"> output for the rest of the Praxis ecosystem.</w:t>
      </w:r>
    </w:p>
    <w:p w14:paraId="5F5BA083" w14:textId="5929A0D3"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2D0B9353" w14:textId="301F945F"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468BC359" w14:textId="7AD20811"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668C731A" w14:textId="3528A142"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72BF41A2" w14:textId="2E45C9D5"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465CAC19" w14:textId="6C430C01"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633062CB" w14:textId="524AFD42"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21E29BF4" w14:textId="0D85A45A"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5AFED9D3" w14:textId="7DF75847"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150299D3" w14:textId="1FD3FB36"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22590C01" w14:textId="4D2E3D7B"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01F97D97" w14:textId="5B53BE87"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36C1357C" w14:textId="2D2DAADE"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4C00D1CD" w14:textId="567D866E"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289B0573" w14:textId="5E2CDE4C"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7A58FB6C" w14:textId="42B25B11"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4F5C6654" w14:textId="77777777" w:rsidR="00E11FEB" w:rsidRPr="002B50C2"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543A4418" w14:textId="5AC6FBE2" w:rsidR="002B50C2" w:rsidRPr="002B50C2" w:rsidRDefault="00E11FEB" w:rsidP="002B50C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E11FEB">
        <w:rPr>
          <w:rFonts w:ascii="Times New Roman" w:eastAsia="Times New Roman" w:hAnsi="Times New Roman" w:cs="Times New Roman"/>
          <w:b/>
          <w:bCs/>
          <w:color w:val="FF0000"/>
          <w:kern w:val="36"/>
          <w:sz w:val="48"/>
          <w:szCs w:val="48"/>
        </w:rPr>
        <w:lastRenderedPageBreak/>
        <w:t>$</w:t>
      </w:r>
      <w:r w:rsidR="002B50C2" w:rsidRPr="002B50C2">
        <w:rPr>
          <w:rFonts w:ascii="Times New Roman" w:eastAsia="Times New Roman" w:hAnsi="Times New Roman" w:cs="Times New Roman"/>
          <w:b/>
          <w:bCs/>
          <w:color w:val="FF0000"/>
          <w:kern w:val="36"/>
          <w:sz w:val="48"/>
          <w:szCs w:val="48"/>
        </w:rPr>
        <w:t>. Fundamentals Dashboard Card</w:t>
      </w:r>
    </w:p>
    <w:p w14:paraId="5A532DE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Module:</w:t>
      </w:r>
      <w:r w:rsidRPr="002B50C2">
        <w:rPr>
          <w:rFonts w:ascii="Times New Roman" w:eastAsia="Times New Roman" w:hAnsi="Times New Roman" w:cs="Times New Roman"/>
          <w:sz w:val="24"/>
          <w:szCs w:val="24"/>
        </w:rPr>
        <w:t xml:space="preserve"> Fundamentals</w:t>
      </w:r>
      <w:r w:rsidRPr="002B50C2">
        <w:rPr>
          <w:rFonts w:ascii="Times New Roman" w:eastAsia="Times New Roman" w:hAnsi="Times New Roman" w:cs="Times New Roman"/>
          <w:sz w:val="24"/>
          <w:szCs w:val="24"/>
        </w:rPr>
        <w:br/>
      </w:r>
      <w:r w:rsidRPr="002B50C2">
        <w:rPr>
          <w:rFonts w:ascii="Times New Roman" w:eastAsia="Times New Roman" w:hAnsi="Times New Roman" w:cs="Times New Roman"/>
          <w:b/>
          <w:bCs/>
          <w:sz w:val="24"/>
          <w:szCs w:val="24"/>
        </w:rPr>
        <w:t>Category:</w:t>
      </w:r>
      <w:r w:rsidRPr="002B50C2">
        <w:rPr>
          <w:rFonts w:ascii="Times New Roman" w:eastAsia="Times New Roman" w:hAnsi="Times New Roman" w:cs="Times New Roman"/>
          <w:sz w:val="24"/>
          <w:szCs w:val="24"/>
        </w:rPr>
        <w:t xml:space="preserve"> Dashboard</w:t>
      </w:r>
      <w:r w:rsidRPr="002B50C2">
        <w:rPr>
          <w:rFonts w:ascii="Times New Roman" w:eastAsia="Times New Roman" w:hAnsi="Times New Roman" w:cs="Times New Roman"/>
          <w:sz w:val="24"/>
          <w:szCs w:val="24"/>
        </w:rPr>
        <w:br/>
      </w:r>
      <w:r w:rsidRPr="002B50C2">
        <w:rPr>
          <w:rFonts w:ascii="Times New Roman" w:eastAsia="Times New Roman" w:hAnsi="Times New Roman" w:cs="Times New Roman"/>
          <w:b/>
          <w:bCs/>
          <w:sz w:val="24"/>
          <w:szCs w:val="24"/>
        </w:rPr>
        <w:t>Status:</w:t>
      </w:r>
      <w:r w:rsidRPr="002B50C2">
        <w:rPr>
          <w:rFonts w:ascii="Times New Roman" w:eastAsia="Times New Roman" w:hAnsi="Times New Roman" w:cs="Times New Roman"/>
          <w:sz w:val="24"/>
          <w:szCs w:val="24"/>
        </w:rPr>
        <w:t xml:space="preserve"> Production Ready</w:t>
      </w:r>
    </w:p>
    <w:p w14:paraId="4414C0F2" w14:textId="77777777" w:rsidR="002B50C2" w:rsidRPr="002B50C2" w:rsidRDefault="002B50C2" w:rsidP="002B50C2">
      <w:pPr>
        <w:spacing w:before="100" w:beforeAutospacing="1" w:after="100" w:afterAutospacing="1" w:line="240" w:lineRule="auto"/>
        <w:outlineLvl w:val="1"/>
        <w:rPr>
          <w:rFonts w:ascii="Times New Roman" w:eastAsia="Times New Roman" w:hAnsi="Times New Roman" w:cs="Times New Roman"/>
          <w:b/>
          <w:bCs/>
          <w:sz w:val="36"/>
          <w:szCs w:val="36"/>
        </w:rPr>
      </w:pPr>
      <w:r w:rsidRPr="002B50C2">
        <w:rPr>
          <w:rFonts w:ascii="Times New Roman" w:eastAsia="Times New Roman" w:hAnsi="Times New Roman" w:cs="Times New Roman"/>
          <w:b/>
          <w:bCs/>
          <w:sz w:val="36"/>
          <w:szCs w:val="36"/>
        </w:rPr>
        <w:t>1. Overview</w:t>
      </w:r>
    </w:p>
    <w:p w14:paraId="6B3AEF6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Name:</w:t>
      </w:r>
      <w:r w:rsidRPr="002B50C2">
        <w:rPr>
          <w:rFonts w:ascii="Times New Roman" w:eastAsia="Times New Roman" w:hAnsi="Times New Roman" w:cs="Times New Roman"/>
          <w:sz w:val="24"/>
          <w:szCs w:val="24"/>
        </w:rPr>
        <w:t xml:space="preserve"> Fundamentals Dashboard Card</w:t>
      </w:r>
    </w:p>
    <w:p w14:paraId="4F00684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Short Name:</w:t>
      </w:r>
      <w:r w:rsidRPr="002B50C2">
        <w:rPr>
          <w:rFonts w:ascii="Times New Roman" w:eastAsia="Times New Roman" w:hAnsi="Times New Roman" w:cs="Times New Roman"/>
          <w:sz w:val="24"/>
          <w:szCs w:val="24"/>
        </w:rPr>
        <w:t xml:space="preserve"> Fundamentals Card</w:t>
      </w:r>
    </w:p>
    <w:p w14:paraId="5DACC4C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Module:</w:t>
      </w:r>
      <w:r w:rsidRPr="002B50C2">
        <w:rPr>
          <w:rFonts w:ascii="Times New Roman" w:eastAsia="Times New Roman" w:hAnsi="Times New Roman" w:cs="Times New Roman"/>
          <w:sz w:val="24"/>
          <w:szCs w:val="24"/>
        </w:rPr>
        <w:t xml:space="preserve"> Fundamentals</w:t>
      </w:r>
    </w:p>
    <w:p w14:paraId="480507F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Category:</w:t>
      </w:r>
      <w:r w:rsidRPr="002B50C2">
        <w:rPr>
          <w:rFonts w:ascii="Times New Roman" w:eastAsia="Times New Roman" w:hAnsi="Times New Roman" w:cs="Times New Roman"/>
          <w:sz w:val="24"/>
          <w:szCs w:val="24"/>
        </w:rPr>
        <w:t xml:space="preserve"> Dashboard</w:t>
      </w:r>
    </w:p>
    <w:p w14:paraId="040F5F2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Purpose:</w:t>
      </w:r>
    </w:p>
    <w:p w14:paraId="5CC14B0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Provides a consolidated view of the overall Fundamentals Score, category performance, confidence, and long-term market health in a single dashboard card.</w:t>
      </w:r>
    </w:p>
    <w:p w14:paraId="7E67534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Based On:</w:t>
      </w:r>
    </w:p>
    <w:p w14:paraId="5CF2DCE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Score Engine</w:t>
      </w:r>
    </w:p>
    <w:p w14:paraId="6C116B8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Importance:</w:t>
      </w:r>
    </w:p>
    <w:p w14:paraId="7357CDB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(Primary Dashboard Component)</w:t>
      </w:r>
    </w:p>
    <w:p w14:paraId="0A7B1EF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Auto / Manual:</w:t>
      </w:r>
    </w:p>
    <w:p w14:paraId="3060134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Automatic</w:t>
      </w:r>
    </w:p>
    <w:p w14:paraId="70D1001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Update Frequency:</w:t>
      </w:r>
    </w:p>
    <w:p w14:paraId="1CFE002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Whenever the Fundamentals Score Engine updates.</w:t>
      </w:r>
    </w:p>
    <w:p w14:paraId="5759754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Praxis Note:</w:t>
      </w:r>
    </w:p>
    <w:p w14:paraId="1DF4B76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This card is display-only. It never performs calculations and consumes data exclusively from the Fundamentals Engine.</w:t>
      </w:r>
    </w:p>
    <w:p w14:paraId="502BB98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46758FCD">
          <v:rect id="_x0000_i1697" style="width:0;height:1.5pt" o:hralign="center" o:hrstd="t" o:hr="t" fillcolor="#a0a0a0" stroked="f"/>
        </w:pict>
      </w:r>
    </w:p>
    <w:p w14:paraId="3878B60D"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lastRenderedPageBreak/>
        <w:t>2. Data Requirements</w:t>
      </w:r>
    </w:p>
    <w:p w14:paraId="09ECD3F0"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Required Data</w:t>
      </w:r>
    </w:p>
    <w:p w14:paraId="5D8B4F0A" w14:textId="77777777" w:rsidR="002B50C2" w:rsidRPr="002B50C2" w:rsidRDefault="002B50C2" w:rsidP="002B50C2">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w:t>
      </w:r>
    </w:p>
    <w:p w14:paraId="44641CF5" w14:textId="77777777" w:rsidR="002B50C2" w:rsidRPr="002B50C2" w:rsidRDefault="002B50C2" w:rsidP="002B50C2">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Bias </w:t>
      </w:r>
    </w:p>
    <w:p w14:paraId="4FB7B32D" w14:textId="77777777" w:rsidR="002B50C2" w:rsidRPr="002B50C2" w:rsidRDefault="002B50C2" w:rsidP="002B50C2">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Overall Confidence </w:t>
      </w:r>
    </w:p>
    <w:p w14:paraId="5561ACD3" w14:textId="77777777" w:rsidR="002B50C2" w:rsidRPr="002B50C2" w:rsidRDefault="002B50C2" w:rsidP="002B50C2">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Valuation Score </w:t>
      </w:r>
    </w:p>
    <w:p w14:paraId="1F2FEE93" w14:textId="77777777" w:rsidR="002B50C2" w:rsidRPr="002B50C2" w:rsidRDefault="002B50C2" w:rsidP="002B50C2">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Growth Score </w:t>
      </w:r>
    </w:p>
    <w:p w14:paraId="0CE041AA" w14:textId="77777777" w:rsidR="002B50C2" w:rsidRPr="002B50C2" w:rsidRDefault="002B50C2" w:rsidP="002B50C2">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Profitability Score </w:t>
      </w:r>
    </w:p>
    <w:p w14:paraId="1243DC72" w14:textId="77777777" w:rsidR="002B50C2" w:rsidRPr="002B50C2" w:rsidRDefault="002B50C2" w:rsidP="002B50C2">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Financial Health Score </w:t>
      </w:r>
    </w:p>
    <w:p w14:paraId="506CB20B" w14:textId="77777777" w:rsidR="002B50C2" w:rsidRPr="002B50C2" w:rsidRDefault="002B50C2" w:rsidP="002B50C2">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Market Health Score </w:t>
      </w:r>
    </w:p>
    <w:p w14:paraId="74F72569" w14:textId="77777777" w:rsidR="002B50C2" w:rsidRPr="002B50C2" w:rsidRDefault="002B50C2" w:rsidP="002B50C2">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Last Updated Timestamp </w:t>
      </w:r>
    </w:p>
    <w:p w14:paraId="4863300B"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Data Source</w:t>
      </w:r>
    </w:p>
    <w:p w14:paraId="2036FC6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Score Engine</w:t>
      </w:r>
    </w:p>
    <w:p w14:paraId="787EA0AF"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271A7847">
          <v:rect id="_x0000_i1698" style="width:0;height:1.5pt" o:hralign="center" o:hrstd="t" o:hr="t" fillcolor="#a0a0a0" stroked="f"/>
        </w:pict>
      </w:r>
    </w:p>
    <w:p w14:paraId="2CE75788"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3. Industry Standard Calculation</w:t>
      </w:r>
    </w:p>
    <w:p w14:paraId="4215BCEB"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Calculation</w:t>
      </w:r>
    </w:p>
    <w:p w14:paraId="56FD6C4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No independent calculations.</w:t>
      </w:r>
    </w:p>
    <w:p w14:paraId="532F784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Consume outputs from:</w:t>
      </w:r>
    </w:p>
    <w:p w14:paraId="5F26BE4B" w14:textId="77777777" w:rsidR="002B50C2" w:rsidRPr="002B50C2" w:rsidRDefault="002B50C2" w:rsidP="002B50C2">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Engine </w:t>
      </w:r>
    </w:p>
    <w:p w14:paraId="6C5F3669" w14:textId="77777777" w:rsidR="002B50C2" w:rsidRPr="002B50C2" w:rsidRDefault="002B50C2" w:rsidP="002B50C2">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Category Scores </w:t>
      </w:r>
    </w:p>
    <w:p w14:paraId="1BB73AF4" w14:textId="77777777" w:rsidR="002B50C2" w:rsidRPr="002B50C2" w:rsidRDefault="002B50C2" w:rsidP="002B50C2">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Engine </w:t>
      </w:r>
    </w:p>
    <w:p w14:paraId="5F5D7031"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Implementation Steps</w:t>
      </w:r>
    </w:p>
    <w:p w14:paraId="1EA5E191" w14:textId="77777777" w:rsidR="002B50C2" w:rsidRPr="002B50C2" w:rsidRDefault="002B50C2" w:rsidP="002B50C2">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Retrieve Fundamentals Engine output. </w:t>
      </w:r>
    </w:p>
    <w:p w14:paraId="5CCB4261" w14:textId="77777777" w:rsidR="002B50C2" w:rsidRPr="002B50C2" w:rsidRDefault="002B50C2" w:rsidP="002B50C2">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Display latest score and confidence. </w:t>
      </w:r>
    </w:p>
    <w:p w14:paraId="7CBE60BF" w14:textId="77777777" w:rsidR="002B50C2" w:rsidRPr="002B50C2" w:rsidRDefault="002B50C2" w:rsidP="002B50C2">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Display category breakdown. </w:t>
      </w:r>
    </w:p>
    <w:p w14:paraId="2E92739A" w14:textId="77777777" w:rsidR="002B50C2" w:rsidRPr="002B50C2" w:rsidRDefault="002B50C2" w:rsidP="002B50C2">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Update charts. </w:t>
      </w:r>
    </w:p>
    <w:p w14:paraId="4369AA4B" w14:textId="77777777" w:rsidR="002B50C2" w:rsidRPr="002B50C2" w:rsidRDefault="002B50C2" w:rsidP="002B50C2">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Refresh AI Insight. </w:t>
      </w:r>
    </w:p>
    <w:p w14:paraId="47B6E6CC"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Notes</w:t>
      </w:r>
    </w:p>
    <w:p w14:paraId="4EC0FAFF" w14:textId="77777777" w:rsidR="002B50C2" w:rsidRPr="002B50C2" w:rsidRDefault="002B50C2" w:rsidP="002B50C2">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Never recalculate indicator values. </w:t>
      </w:r>
    </w:p>
    <w:p w14:paraId="5C69EF23" w14:textId="77777777" w:rsidR="002B50C2" w:rsidRPr="002B50C2" w:rsidRDefault="002B50C2" w:rsidP="002B50C2">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Dashboard is presentation only. </w:t>
      </w:r>
    </w:p>
    <w:p w14:paraId="6707FE2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pict w14:anchorId="3D84F63D">
          <v:rect id="_x0000_i1699" style="width:0;height:1.5pt" o:hralign="center" o:hrstd="t" o:hr="t" fillcolor="#a0a0a0" stroked="f"/>
        </w:pict>
      </w:r>
    </w:p>
    <w:p w14:paraId="38AD5830"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4. Card Fields</w:t>
      </w:r>
    </w:p>
    <w:p w14:paraId="6D1CEA40"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Primary</w:t>
      </w:r>
    </w:p>
    <w:p w14:paraId="095377AA" w14:textId="77777777" w:rsidR="002B50C2" w:rsidRPr="002B50C2" w:rsidRDefault="002B50C2" w:rsidP="002B50C2">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w:t>
      </w:r>
    </w:p>
    <w:p w14:paraId="62226323" w14:textId="77777777" w:rsidR="002B50C2" w:rsidRPr="002B50C2" w:rsidRDefault="002B50C2" w:rsidP="002B50C2">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Bias </w:t>
      </w:r>
    </w:p>
    <w:p w14:paraId="5C422043" w14:textId="77777777" w:rsidR="002B50C2" w:rsidRPr="002B50C2" w:rsidRDefault="002B50C2" w:rsidP="002B50C2">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w:t>
      </w:r>
    </w:p>
    <w:p w14:paraId="6FDC8F6A"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Category Breakdown</w:t>
      </w:r>
    </w:p>
    <w:p w14:paraId="7B76D6FB" w14:textId="77777777" w:rsidR="002B50C2" w:rsidRPr="002B50C2" w:rsidRDefault="002B50C2" w:rsidP="002B50C2">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Valuation </w:t>
      </w:r>
    </w:p>
    <w:p w14:paraId="19225698" w14:textId="77777777" w:rsidR="002B50C2" w:rsidRPr="002B50C2" w:rsidRDefault="002B50C2" w:rsidP="002B50C2">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Growth </w:t>
      </w:r>
    </w:p>
    <w:p w14:paraId="5560BEFD" w14:textId="77777777" w:rsidR="002B50C2" w:rsidRPr="002B50C2" w:rsidRDefault="002B50C2" w:rsidP="002B50C2">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Profitability </w:t>
      </w:r>
    </w:p>
    <w:p w14:paraId="7B8BCB78" w14:textId="77777777" w:rsidR="002B50C2" w:rsidRPr="002B50C2" w:rsidRDefault="002B50C2" w:rsidP="002B50C2">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Financial Health </w:t>
      </w:r>
    </w:p>
    <w:p w14:paraId="3D09B973" w14:textId="77777777" w:rsidR="002B50C2" w:rsidRPr="002B50C2" w:rsidRDefault="002B50C2" w:rsidP="002B50C2">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Market Health </w:t>
      </w:r>
    </w:p>
    <w:p w14:paraId="391C382F"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Visual Components</w:t>
      </w:r>
    </w:p>
    <w:p w14:paraId="0AA440E3" w14:textId="77777777" w:rsidR="002B50C2" w:rsidRPr="002B50C2" w:rsidRDefault="002B50C2" w:rsidP="002B50C2">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Score Range Bar </w:t>
      </w:r>
    </w:p>
    <w:p w14:paraId="5A5A07D3" w14:textId="77777777" w:rsidR="002B50C2" w:rsidRPr="002B50C2" w:rsidRDefault="002B50C2" w:rsidP="002B50C2">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30-Day Average Marker </w:t>
      </w:r>
    </w:p>
    <w:p w14:paraId="4AEB0ECE" w14:textId="77777777" w:rsidR="002B50C2" w:rsidRPr="002B50C2" w:rsidRDefault="002B50C2" w:rsidP="002B50C2">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Current Score Pointer </w:t>
      </w:r>
    </w:p>
    <w:p w14:paraId="36A3D6EB" w14:textId="77777777" w:rsidR="002B50C2" w:rsidRPr="002B50C2" w:rsidRDefault="002B50C2" w:rsidP="002B50C2">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Trend Chart </w:t>
      </w:r>
    </w:p>
    <w:p w14:paraId="4678C64B"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Additional</w:t>
      </w:r>
    </w:p>
    <w:p w14:paraId="225C0BAE" w14:textId="77777777" w:rsidR="002B50C2" w:rsidRPr="002B50C2" w:rsidRDefault="002B50C2" w:rsidP="002B50C2">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AI Insight </w:t>
      </w:r>
    </w:p>
    <w:p w14:paraId="4038E349" w14:textId="77777777" w:rsidR="002B50C2" w:rsidRPr="002B50C2" w:rsidRDefault="002B50C2" w:rsidP="002B50C2">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Why It Matters </w:t>
      </w:r>
    </w:p>
    <w:p w14:paraId="61742F86" w14:textId="77777777" w:rsidR="002B50C2" w:rsidRPr="002B50C2" w:rsidRDefault="002B50C2" w:rsidP="002B50C2">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Supporting Categories </w:t>
      </w:r>
    </w:p>
    <w:p w14:paraId="415016E0" w14:textId="77777777" w:rsidR="002B50C2" w:rsidRPr="002B50C2" w:rsidRDefault="002B50C2" w:rsidP="002B50C2">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Last Updated </w:t>
      </w:r>
    </w:p>
    <w:p w14:paraId="388A582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0E74FB6">
          <v:rect id="_x0000_i1700" style="width:0;height:1.5pt" o:hralign="center" o:hrstd="t" o:hr="t" fillcolor="#a0a0a0" stroked="f"/>
        </w:pict>
      </w:r>
    </w:p>
    <w:p w14:paraId="2E63D224"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5. Praxis Score Logic</w:t>
      </w:r>
    </w:p>
    <w:p w14:paraId="468174F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Display the score generated by the Fundamentals Engine.</w:t>
      </w:r>
    </w:p>
    <w:p w14:paraId="6F71D37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No additional scoring logic.</w:t>
      </w:r>
    </w:p>
    <w:p w14:paraId="7CC98577"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4E9D2E2">
          <v:rect id="_x0000_i1701" style="width:0;height:1.5pt" o:hralign="center" o:hrstd="t" o:hr="t" fillcolor="#a0a0a0" stroked="f"/>
        </w:pict>
      </w:r>
    </w:p>
    <w:p w14:paraId="5A122A54"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6. Bias Rules</w:t>
      </w:r>
    </w:p>
    <w:p w14:paraId="05EEBB5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t>Display:</w:t>
      </w:r>
    </w:p>
    <w:p w14:paraId="32960F36" w14:textId="77777777" w:rsidR="002B50C2" w:rsidRPr="002B50C2" w:rsidRDefault="002B50C2" w:rsidP="002B50C2">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Strong Bullish </w:t>
      </w:r>
    </w:p>
    <w:p w14:paraId="41D26834" w14:textId="77777777" w:rsidR="002B50C2" w:rsidRPr="002B50C2" w:rsidRDefault="002B50C2" w:rsidP="002B50C2">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Bullish </w:t>
      </w:r>
    </w:p>
    <w:p w14:paraId="3FF467B6" w14:textId="77777777" w:rsidR="002B50C2" w:rsidRPr="002B50C2" w:rsidRDefault="002B50C2" w:rsidP="002B50C2">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Neutral </w:t>
      </w:r>
    </w:p>
    <w:p w14:paraId="1E3B7C46" w14:textId="77777777" w:rsidR="002B50C2" w:rsidRPr="002B50C2" w:rsidRDefault="002B50C2" w:rsidP="002B50C2">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Bearish </w:t>
      </w:r>
    </w:p>
    <w:p w14:paraId="6B1B4405" w14:textId="77777777" w:rsidR="002B50C2" w:rsidRPr="002B50C2" w:rsidRDefault="002B50C2" w:rsidP="002B50C2">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Strong Bearish </w:t>
      </w:r>
    </w:p>
    <w:p w14:paraId="100D75A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Exactly as received from the Fundamentals Engine.</w:t>
      </w:r>
    </w:p>
    <w:p w14:paraId="6F67F2B7"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094BF2CF">
          <v:rect id="_x0000_i1702" style="width:0;height:1.5pt" o:hralign="center" o:hrstd="t" o:hr="t" fillcolor="#a0a0a0" stroked="f"/>
        </w:pict>
      </w:r>
    </w:p>
    <w:p w14:paraId="01D74F45"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7. Confidence Logic</w:t>
      </w:r>
    </w:p>
    <w:p w14:paraId="3C08B60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Display:</w:t>
      </w:r>
    </w:p>
    <w:p w14:paraId="353CDC1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Overall Fundamentals Confidence</w:t>
      </w:r>
    </w:p>
    <w:p w14:paraId="7AD4B7F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No recalculation.</w:t>
      </w:r>
    </w:p>
    <w:p w14:paraId="4DA1AB5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41AEA659">
          <v:rect id="_x0000_i1703" style="width:0;height:1.5pt" o:hralign="center" o:hrstd="t" o:hr="t" fillcolor="#a0a0a0" stroked="f"/>
        </w:pict>
      </w:r>
    </w:p>
    <w:p w14:paraId="4E36D5C9"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8. Score Range Bar</w:t>
      </w:r>
    </w:p>
    <w:p w14:paraId="28B46E2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Minimum</w:t>
      </w:r>
    </w:p>
    <w:p w14:paraId="2CF31B8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0</w:t>
      </w:r>
    </w:p>
    <w:p w14:paraId="05749EF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Maximum</w:t>
      </w:r>
    </w:p>
    <w:p w14:paraId="6603C3D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100</w:t>
      </w:r>
    </w:p>
    <w:p w14:paraId="397D2C4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Pointer</w:t>
      </w:r>
    </w:p>
    <w:p w14:paraId="1219895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Current Fundamentals Score</w:t>
      </w:r>
    </w:p>
    <w:p w14:paraId="78B5F89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Average Marker</w:t>
      </w:r>
    </w:p>
    <w:p w14:paraId="780E7E9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30-Day Average</w:t>
      </w:r>
    </w:p>
    <w:p w14:paraId="5F1C2B12"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Color Zones</w:t>
      </w:r>
    </w:p>
    <w:p w14:paraId="56AD29E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0–30 → Weak</w:t>
      </w:r>
    </w:p>
    <w:p w14:paraId="4C2C7C7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t>30–60 → Neutral</w:t>
      </w:r>
    </w:p>
    <w:p w14:paraId="61B0F33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60–80 → Healthy</w:t>
      </w:r>
    </w:p>
    <w:p w14:paraId="5C6F987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80–100 → Strong</w:t>
      </w:r>
    </w:p>
    <w:p w14:paraId="4037EC8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6430722E">
          <v:rect id="_x0000_i1704" style="width:0;height:1.5pt" o:hralign="center" o:hrstd="t" o:hr="t" fillcolor="#a0a0a0" stroked="f"/>
        </w:pict>
      </w:r>
    </w:p>
    <w:p w14:paraId="3C791FAD"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9. Dual Trend Chart</w:t>
      </w:r>
    </w:p>
    <w:p w14:paraId="0DC111A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Chart Type</w:t>
      </w:r>
    </w:p>
    <w:p w14:paraId="42CE28E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Dual Line</w:t>
      </w:r>
    </w:p>
    <w:p w14:paraId="7A03F07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Line 1</w:t>
      </w:r>
    </w:p>
    <w:p w14:paraId="042D218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Score</w:t>
      </w:r>
    </w:p>
    <w:p w14:paraId="526C34A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Line 2</w:t>
      </w:r>
    </w:p>
    <w:p w14:paraId="1C2CA0C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Overall Confidence</w:t>
      </w:r>
    </w:p>
    <w:p w14:paraId="77205E9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History</w:t>
      </w:r>
    </w:p>
    <w:p w14:paraId="2FD9831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30 Updates</w:t>
      </w:r>
    </w:p>
    <w:p w14:paraId="4687316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Update</w:t>
      </w:r>
    </w:p>
    <w:p w14:paraId="4B7FBFD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Whenever the Fundamentals Engine updates.</w:t>
      </w:r>
    </w:p>
    <w:p w14:paraId="7EEEAEFB"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1994459">
          <v:rect id="_x0000_i1705" style="width:0;height:1.5pt" o:hralign="center" o:hrstd="t" o:hr="t" fillcolor="#a0a0a0" stroked="f"/>
        </w:pict>
      </w:r>
    </w:p>
    <w:p w14:paraId="25BBCF44"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10. AI Insight Rules</w:t>
      </w:r>
    </w:p>
    <w:p w14:paraId="310B35C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Display the AI summary generated from the Fundamentals Engine.</w:t>
      </w:r>
    </w:p>
    <w:p w14:paraId="1619DC9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Priority order:</w:t>
      </w:r>
    </w:p>
    <w:p w14:paraId="79317961" w14:textId="77777777" w:rsidR="002B50C2" w:rsidRPr="002B50C2" w:rsidRDefault="002B50C2" w:rsidP="002B50C2">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Overall Fundamentals </w:t>
      </w:r>
    </w:p>
    <w:p w14:paraId="7A0A7239" w14:textId="77777777" w:rsidR="002B50C2" w:rsidRPr="002B50C2" w:rsidRDefault="002B50C2" w:rsidP="002B50C2">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Strongest Category </w:t>
      </w:r>
    </w:p>
    <w:p w14:paraId="7DCCFBCD" w14:textId="77777777" w:rsidR="002B50C2" w:rsidRPr="002B50C2" w:rsidRDefault="002B50C2" w:rsidP="002B50C2">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Weakest Category </w:t>
      </w:r>
    </w:p>
    <w:p w14:paraId="3BE4D47E" w14:textId="77777777" w:rsidR="002B50C2" w:rsidRPr="002B50C2" w:rsidRDefault="002B50C2" w:rsidP="002B50C2">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Warning (if applicable) </w:t>
      </w:r>
    </w:p>
    <w:p w14:paraId="54B8CAB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Maximum:</w:t>
      </w:r>
    </w:p>
    <w:p w14:paraId="5045289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t>3–5 concise sentences.</w:t>
      </w:r>
    </w:p>
    <w:p w14:paraId="08321FF7"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FDFEAEA">
          <v:rect id="_x0000_i1706" style="width:0;height:1.5pt" o:hralign="center" o:hrstd="t" o:hr="t" fillcolor="#a0a0a0" stroked="f"/>
        </w:pict>
      </w:r>
    </w:p>
    <w:p w14:paraId="0600FFAE"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11. Why It Matters</w:t>
      </w:r>
    </w:p>
    <w:p w14:paraId="6F5D6B7B" w14:textId="77777777" w:rsidR="002B50C2" w:rsidRPr="002B50C2" w:rsidRDefault="002B50C2" w:rsidP="002B50C2">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Provides a quick overview of long-term market health. </w:t>
      </w:r>
    </w:p>
    <w:p w14:paraId="6DF15381" w14:textId="77777777" w:rsidR="002B50C2" w:rsidRPr="002B50C2" w:rsidRDefault="002B50C2" w:rsidP="002B50C2">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Highlights strengths and weaknesses across categories. </w:t>
      </w:r>
    </w:p>
    <w:p w14:paraId="5E1D6596" w14:textId="77777777" w:rsidR="002B50C2" w:rsidRPr="002B50C2" w:rsidRDefault="002B50C2" w:rsidP="002B50C2">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Simplifies complex financial data into a single score. </w:t>
      </w:r>
    </w:p>
    <w:p w14:paraId="28CF10B9" w14:textId="77777777" w:rsidR="002B50C2" w:rsidRPr="002B50C2" w:rsidRDefault="002B50C2" w:rsidP="002B50C2">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Serves as the primary Fundamentals summary for the Dashboard. </w:t>
      </w:r>
    </w:p>
    <w:p w14:paraId="2AC14BE5"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2C43F205">
          <v:rect id="_x0000_i1707" style="width:0;height:1.5pt" o:hralign="center" o:hrstd="t" o:hr="t" fillcolor="#a0a0a0" stroked="f"/>
        </w:pict>
      </w:r>
    </w:p>
    <w:p w14:paraId="54895CFE"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12. Trading Impact</w:t>
      </w:r>
    </w:p>
    <w:p w14:paraId="34C15D1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Intraday</w:t>
      </w:r>
    </w:p>
    <w:p w14:paraId="791CBC2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Segoe UI Symbol" w:eastAsia="Times New Roman" w:hAnsi="Segoe UI Symbol" w:cs="Segoe UI Symbol"/>
          <w:sz w:val="24"/>
          <w:szCs w:val="24"/>
        </w:rPr>
        <w:t>☆☆☆☆</w:t>
      </w:r>
    </w:p>
    <w:p w14:paraId="5E6C0A7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Swing Trading</w:t>
      </w:r>
    </w:p>
    <w:p w14:paraId="71DAB52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Symbol" w:eastAsia="Times New Roman" w:hAnsi="Segoe UI Symbol" w:cs="Segoe UI Symbol"/>
          <w:sz w:val="24"/>
          <w:szCs w:val="24"/>
        </w:rPr>
        <w:t>★★★☆☆</w:t>
      </w:r>
    </w:p>
    <w:p w14:paraId="6E65446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Positional Trading</w:t>
      </w:r>
    </w:p>
    <w:p w14:paraId="3DFF1C1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Symbol" w:eastAsia="Times New Roman" w:hAnsi="Segoe UI Symbol" w:cs="Segoe UI Symbol"/>
          <w:sz w:val="24"/>
          <w:szCs w:val="24"/>
        </w:rPr>
        <w:t>★★★★★</w:t>
      </w:r>
    </w:p>
    <w:p w14:paraId="7EE52FA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Options Trading</w:t>
      </w:r>
    </w:p>
    <w:p w14:paraId="3962650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Symbol" w:eastAsia="Times New Roman" w:hAnsi="Segoe UI Symbol" w:cs="Segoe UI Symbol"/>
          <w:sz w:val="24"/>
          <w:szCs w:val="24"/>
        </w:rPr>
        <w:t>★★☆☆☆</w:t>
      </w:r>
    </w:p>
    <w:p w14:paraId="0ECA701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Best Use</w:t>
      </w:r>
    </w:p>
    <w:p w14:paraId="073C200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Long-term market assessment.</w:t>
      </w:r>
    </w:p>
    <w:p w14:paraId="28A6041D"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45A86995">
          <v:rect id="_x0000_i1708" style="width:0;height:1.5pt" o:hralign="center" o:hrstd="t" o:hr="t" fillcolor="#a0a0a0" stroked="f"/>
        </w:pict>
      </w:r>
    </w:p>
    <w:p w14:paraId="03F89645"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13. Supporting Indicators</w:t>
      </w:r>
    </w:p>
    <w:p w14:paraId="72A97E59" w14:textId="77777777" w:rsidR="002B50C2" w:rsidRPr="002B50C2" w:rsidRDefault="002B50C2" w:rsidP="002B50C2">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Engine </w:t>
      </w:r>
    </w:p>
    <w:p w14:paraId="6B611FC1" w14:textId="77777777" w:rsidR="002B50C2" w:rsidRPr="002B50C2" w:rsidRDefault="002B50C2" w:rsidP="002B50C2">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Valuation </w:t>
      </w:r>
    </w:p>
    <w:p w14:paraId="080C2009" w14:textId="77777777" w:rsidR="002B50C2" w:rsidRPr="002B50C2" w:rsidRDefault="002B50C2" w:rsidP="002B50C2">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Growth </w:t>
      </w:r>
    </w:p>
    <w:p w14:paraId="5435A28E" w14:textId="77777777" w:rsidR="002B50C2" w:rsidRPr="002B50C2" w:rsidRDefault="002B50C2" w:rsidP="002B50C2">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Profitability </w:t>
      </w:r>
    </w:p>
    <w:p w14:paraId="28A9FEA6" w14:textId="77777777" w:rsidR="002B50C2" w:rsidRPr="002B50C2" w:rsidRDefault="002B50C2" w:rsidP="002B50C2">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t xml:space="preserve">Financial Health </w:t>
      </w:r>
    </w:p>
    <w:p w14:paraId="1C9AF0B6" w14:textId="77777777" w:rsidR="002B50C2" w:rsidRPr="002B50C2" w:rsidRDefault="002B50C2" w:rsidP="002B50C2">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Market Health </w:t>
      </w:r>
    </w:p>
    <w:p w14:paraId="7F1137C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68E742B5">
          <v:rect id="_x0000_i1709" style="width:0;height:1.5pt" o:hralign="center" o:hrstd="t" o:hr="t" fillcolor="#a0a0a0" stroked="f"/>
        </w:pict>
      </w:r>
    </w:p>
    <w:p w14:paraId="5294C572"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14. Metadata</w:t>
      </w:r>
    </w:p>
    <w:p w14:paraId="30679AA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Source</w:t>
      </w:r>
    </w:p>
    <w:p w14:paraId="11A3E1C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Engine</w:t>
      </w:r>
    </w:p>
    <w:p w14:paraId="5718D66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Calculation</w:t>
      </w:r>
    </w:p>
    <w:p w14:paraId="6EE6CC3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None (Display Only)</w:t>
      </w:r>
    </w:p>
    <w:p w14:paraId="27364CA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Updated</w:t>
      </w:r>
    </w:p>
    <w:p w14:paraId="69276C5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Automatic</w:t>
      </w:r>
    </w:p>
    <w:p w14:paraId="287374D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proofErr w:type="spellStart"/>
      <w:r w:rsidRPr="002B50C2">
        <w:rPr>
          <w:rFonts w:ascii="Times New Roman" w:eastAsia="Times New Roman" w:hAnsi="Times New Roman" w:cs="Times New Roman"/>
          <w:b/>
          <w:bCs/>
          <w:sz w:val="24"/>
          <w:szCs w:val="24"/>
        </w:rPr>
        <w:t>Timezone</w:t>
      </w:r>
      <w:proofErr w:type="spellEnd"/>
    </w:p>
    <w:p w14:paraId="7055F08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Asia/Kolkata</w:t>
      </w:r>
    </w:p>
    <w:p w14:paraId="2BFA8E5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Storage</w:t>
      </w:r>
    </w:p>
    <w:p w14:paraId="46338B2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Local Electron Database</w:t>
      </w:r>
    </w:p>
    <w:p w14:paraId="426D3D91"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0AF701D5">
          <v:rect id="_x0000_i1710" style="width:0;height:1.5pt" o:hralign="center" o:hrstd="t" o:hr="t" fillcolor="#a0a0a0" stroked="f"/>
        </w:pict>
      </w:r>
    </w:p>
    <w:p w14:paraId="73DFAF93"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15. Developer Notes</w:t>
      </w:r>
    </w:p>
    <w:p w14:paraId="675F9AA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Display only.</w:t>
      </w:r>
    </w:p>
    <w:p w14:paraId="59BDDDD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Do not calculate:</w:t>
      </w:r>
    </w:p>
    <w:p w14:paraId="63F4C976" w14:textId="77777777" w:rsidR="002B50C2" w:rsidRPr="002B50C2" w:rsidRDefault="002B50C2" w:rsidP="002B50C2">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Scores </w:t>
      </w:r>
    </w:p>
    <w:p w14:paraId="40E1A8D5" w14:textId="77777777" w:rsidR="002B50C2" w:rsidRPr="002B50C2" w:rsidRDefault="002B50C2" w:rsidP="002B50C2">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Bias </w:t>
      </w:r>
    </w:p>
    <w:p w14:paraId="2C16BB9C" w14:textId="77777777" w:rsidR="002B50C2" w:rsidRPr="002B50C2" w:rsidRDefault="002B50C2" w:rsidP="002B50C2">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w:t>
      </w:r>
    </w:p>
    <w:p w14:paraId="7F282D6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Consume directly from the Fundamentals Engine.</w:t>
      </w:r>
    </w:p>
    <w:p w14:paraId="4362D18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Refresh only when the engine publishes new data.</w:t>
      </w:r>
    </w:p>
    <w:p w14:paraId="410D5E3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Cache previous values to support dashboard history.</w:t>
      </w:r>
    </w:p>
    <w:p w14:paraId="38E36D7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pict w14:anchorId="410E0752">
          <v:rect id="_x0000_i1711" style="width:0;height:1.5pt" o:hralign="center" o:hrstd="t" o:hr="t" fillcolor="#a0a0a0" stroked="f"/>
        </w:pict>
      </w:r>
    </w:p>
    <w:p w14:paraId="07EA7A9F"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 xml:space="preserve">16. Praxis Engine Integration </w:t>
      </w:r>
      <w:r w:rsidRPr="002B50C2">
        <w:rPr>
          <w:rFonts w:ascii="Segoe UI Emoji" w:eastAsia="Times New Roman" w:hAnsi="Segoe UI Emoji" w:cs="Segoe UI Emoji"/>
          <w:b/>
          <w:bCs/>
          <w:kern w:val="36"/>
          <w:sz w:val="48"/>
          <w:szCs w:val="48"/>
        </w:rPr>
        <w:t>⭐</w:t>
      </w:r>
    </w:p>
    <w:p w14:paraId="496ECED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Display Priority</w:t>
      </w:r>
    </w:p>
    <w:p w14:paraId="3B013CC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Highest</w:t>
      </w:r>
    </w:p>
    <w:p w14:paraId="3986A7F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Consumes</w:t>
      </w:r>
    </w:p>
    <w:p w14:paraId="7DE6959B" w14:textId="77777777" w:rsidR="002B50C2" w:rsidRPr="002B50C2" w:rsidRDefault="002B50C2" w:rsidP="002B50C2">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w:t>
      </w:r>
    </w:p>
    <w:p w14:paraId="12064436" w14:textId="77777777" w:rsidR="002B50C2" w:rsidRPr="002B50C2" w:rsidRDefault="002B50C2" w:rsidP="002B50C2">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Bias </w:t>
      </w:r>
    </w:p>
    <w:p w14:paraId="15738A7C" w14:textId="77777777" w:rsidR="002B50C2" w:rsidRPr="002B50C2" w:rsidRDefault="002B50C2" w:rsidP="002B50C2">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w:t>
      </w:r>
    </w:p>
    <w:p w14:paraId="0C9479BD" w14:textId="77777777" w:rsidR="002B50C2" w:rsidRPr="002B50C2" w:rsidRDefault="002B50C2" w:rsidP="002B50C2">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Category Scores </w:t>
      </w:r>
    </w:p>
    <w:p w14:paraId="370EEE1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Outputs</w:t>
      </w:r>
    </w:p>
    <w:p w14:paraId="52D115E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None</w:t>
      </w:r>
    </w:p>
    <w:p w14:paraId="3A41996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This card is a presentation layer and does not feed back into any engine.</w:t>
      </w:r>
    </w:p>
    <w:p w14:paraId="01A5F80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23B9E71">
          <v:rect id="_x0000_i1712" style="width:0;height:1.5pt" o:hralign="center" o:hrstd="t" o:hr="t" fillcolor="#a0a0a0" stroked="f"/>
        </w:pict>
      </w:r>
    </w:p>
    <w:p w14:paraId="57280911"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17. Praxis Recommendation</w:t>
      </w:r>
    </w:p>
    <w:p w14:paraId="35F0AEB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The Fundamentals Dashboard Card should act as the </w:t>
      </w:r>
      <w:r w:rsidRPr="002B50C2">
        <w:rPr>
          <w:rFonts w:ascii="Times New Roman" w:eastAsia="Times New Roman" w:hAnsi="Times New Roman" w:cs="Times New Roman"/>
          <w:b/>
          <w:bCs/>
          <w:sz w:val="24"/>
          <w:szCs w:val="24"/>
        </w:rPr>
        <w:t>single visualization component</w:t>
      </w:r>
      <w:r w:rsidRPr="002B50C2">
        <w:rPr>
          <w:rFonts w:ascii="Times New Roman" w:eastAsia="Times New Roman" w:hAnsi="Times New Roman" w:cs="Times New Roman"/>
          <w:sz w:val="24"/>
          <w:szCs w:val="24"/>
        </w:rPr>
        <w:t xml:space="preserve"> for the Fundamentals module.</w:t>
      </w:r>
    </w:p>
    <w:p w14:paraId="6D6A6F40"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Display Hierarchy</w:t>
      </w:r>
    </w:p>
    <w:p w14:paraId="273AD7D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Fundamentals Score</w:t>
      </w:r>
    </w:p>
    <w:p w14:paraId="177855F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7E8690E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Category Breakdown</w:t>
      </w:r>
    </w:p>
    <w:p w14:paraId="0B73277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5BBE102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Trend Chart</w:t>
      </w:r>
    </w:p>
    <w:p w14:paraId="257F18D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17E8B41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AI Insight</w:t>
      </w:r>
    </w:p>
    <w:p w14:paraId="5550C05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lastRenderedPageBreak/>
        <w:t>⬇</w:t>
      </w:r>
    </w:p>
    <w:p w14:paraId="15EFFDD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Metadata</w:t>
      </w:r>
    </w:p>
    <w:p w14:paraId="32E8C21F"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Dashboard Rules</w:t>
      </w:r>
    </w:p>
    <w:p w14:paraId="266BE386" w14:textId="77777777" w:rsidR="002B50C2" w:rsidRPr="002B50C2" w:rsidRDefault="002B50C2" w:rsidP="002B50C2">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Never perform calculations. </w:t>
      </w:r>
    </w:p>
    <w:p w14:paraId="1404515E" w14:textId="77777777" w:rsidR="002B50C2" w:rsidRPr="002B50C2" w:rsidRDefault="002B50C2" w:rsidP="002B50C2">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Always consume the latest Fundamentals Engine output. </w:t>
      </w:r>
    </w:p>
    <w:p w14:paraId="04B233C8" w14:textId="77777777" w:rsidR="002B50C2" w:rsidRPr="002B50C2" w:rsidRDefault="002B50C2" w:rsidP="002B50C2">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Refresh automatically after every Fundamentals Engine update. </w:t>
      </w:r>
    </w:p>
    <w:p w14:paraId="43792EB6" w14:textId="77777777" w:rsidR="002B50C2" w:rsidRPr="002B50C2" w:rsidRDefault="002B50C2" w:rsidP="002B50C2">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Maintain a clean, high-level summary suitable for immediate decision-making. </w:t>
      </w:r>
    </w:p>
    <w:p w14:paraId="1B01D8A8" w14:textId="0D3F8EA5" w:rsid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The Dashboard Card should provide users with an instant understanding of the current state of the Fundamentals module while leaving all calculations and business logic to the underlying engine.</w:t>
      </w:r>
    </w:p>
    <w:p w14:paraId="5A50000B" w14:textId="4A1E975D"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12A19DCF" w14:textId="5D2FCB90"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0DA14A74" w14:textId="7FB1F045"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685B86BE" w14:textId="1A4D14A5"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1A1DCDD1" w14:textId="046D9688"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7B349D72" w14:textId="2C89078A"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1FF30CFB" w14:textId="4A45B67A"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6F76301F" w14:textId="2421123E"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23C5AD77" w14:textId="719C7902"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1ADB2635" w14:textId="6455890E"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4077DB11" w14:textId="511BF41D"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3870EDAD" w14:textId="5F5AEA53"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3DDC623F" w14:textId="4AB1DA89"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241996D5" w14:textId="04BC33C9"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431B67A8" w14:textId="77777777" w:rsidR="00E11FEB" w:rsidRPr="002B50C2"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1F5537E8" w14:textId="3A453CF0" w:rsidR="002B50C2" w:rsidRPr="002B50C2" w:rsidRDefault="00E11FEB" w:rsidP="002B50C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Pr>
          <w:rFonts w:ascii="Times New Roman" w:eastAsia="Times New Roman" w:hAnsi="Times New Roman" w:cs="Times New Roman"/>
          <w:b/>
          <w:bCs/>
          <w:color w:val="FF0000"/>
          <w:kern w:val="36"/>
          <w:sz w:val="48"/>
          <w:szCs w:val="48"/>
        </w:rPr>
        <w:lastRenderedPageBreak/>
        <w:t>$</w:t>
      </w:r>
      <w:r w:rsidR="002B50C2" w:rsidRPr="002B50C2">
        <w:rPr>
          <w:rFonts w:ascii="Times New Roman" w:eastAsia="Times New Roman" w:hAnsi="Times New Roman" w:cs="Times New Roman"/>
          <w:b/>
          <w:bCs/>
          <w:color w:val="FF0000"/>
          <w:kern w:val="36"/>
          <w:sz w:val="48"/>
          <w:szCs w:val="48"/>
        </w:rPr>
        <w:t>. Fundamentals AI Engine</w:t>
      </w:r>
    </w:p>
    <w:p w14:paraId="234E70B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Module:</w:t>
      </w:r>
      <w:r w:rsidRPr="002B50C2">
        <w:rPr>
          <w:rFonts w:ascii="Times New Roman" w:eastAsia="Times New Roman" w:hAnsi="Times New Roman" w:cs="Times New Roman"/>
          <w:sz w:val="24"/>
          <w:szCs w:val="24"/>
        </w:rPr>
        <w:t xml:space="preserve"> Fundamentals</w:t>
      </w:r>
      <w:r w:rsidRPr="002B50C2">
        <w:rPr>
          <w:rFonts w:ascii="Times New Roman" w:eastAsia="Times New Roman" w:hAnsi="Times New Roman" w:cs="Times New Roman"/>
          <w:sz w:val="24"/>
          <w:szCs w:val="24"/>
        </w:rPr>
        <w:br/>
      </w:r>
      <w:r w:rsidRPr="002B50C2">
        <w:rPr>
          <w:rFonts w:ascii="Times New Roman" w:eastAsia="Times New Roman" w:hAnsi="Times New Roman" w:cs="Times New Roman"/>
          <w:b/>
          <w:bCs/>
          <w:sz w:val="24"/>
          <w:szCs w:val="24"/>
        </w:rPr>
        <w:t>Category:</w:t>
      </w:r>
      <w:r w:rsidRPr="002B50C2">
        <w:rPr>
          <w:rFonts w:ascii="Times New Roman" w:eastAsia="Times New Roman" w:hAnsi="Times New Roman" w:cs="Times New Roman"/>
          <w:sz w:val="24"/>
          <w:szCs w:val="24"/>
        </w:rPr>
        <w:t xml:space="preserve"> AI Engine</w:t>
      </w:r>
      <w:r w:rsidRPr="002B50C2">
        <w:rPr>
          <w:rFonts w:ascii="Times New Roman" w:eastAsia="Times New Roman" w:hAnsi="Times New Roman" w:cs="Times New Roman"/>
          <w:sz w:val="24"/>
          <w:szCs w:val="24"/>
        </w:rPr>
        <w:br/>
      </w:r>
      <w:r w:rsidRPr="002B50C2">
        <w:rPr>
          <w:rFonts w:ascii="Times New Roman" w:eastAsia="Times New Roman" w:hAnsi="Times New Roman" w:cs="Times New Roman"/>
          <w:b/>
          <w:bCs/>
          <w:sz w:val="24"/>
          <w:szCs w:val="24"/>
        </w:rPr>
        <w:t>Status:</w:t>
      </w:r>
      <w:r w:rsidRPr="002B50C2">
        <w:rPr>
          <w:rFonts w:ascii="Times New Roman" w:eastAsia="Times New Roman" w:hAnsi="Times New Roman" w:cs="Times New Roman"/>
          <w:sz w:val="24"/>
          <w:szCs w:val="24"/>
        </w:rPr>
        <w:t xml:space="preserve"> Production Ready</w:t>
      </w:r>
    </w:p>
    <w:p w14:paraId="1347B1A5" w14:textId="77777777" w:rsidR="002B50C2" w:rsidRPr="002B50C2" w:rsidRDefault="002B50C2" w:rsidP="002B50C2">
      <w:pPr>
        <w:spacing w:before="100" w:beforeAutospacing="1" w:after="100" w:afterAutospacing="1" w:line="240" w:lineRule="auto"/>
        <w:outlineLvl w:val="1"/>
        <w:rPr>
          <w:rFonts w:ascii="Times New Roman" w:eastAsia="Times New Roman" w:hAnsi="Times New Roman" w:cs="Times New Roman"/>
          <w:b/>
          <w:bCs/>
          <w:sz w:val="36"/>
          <w:szCs w:val="36"/>
        </w:rPr>
      </w:pPr>
      <w:r w:rsidRPr="002B50C2">
        <w:rPr>
          <w:rFonts w:ascii="Times New Roman" w:eastAsia="Times New Roman" w:hAnsi="Times New Roman" w:cs="Times New Roman"/>
          <w:b/>
          <w:bCs/>
          <w:sz w:val="36"/>
          <w:szCs w:val="36"/>
        </w:rPr>
        <w:t>1. Overview</w:t>
      </w:r>
    </w:p>
    <w:p w14:paraId="4076B62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Name:</w:t>
      </w:r>
      <w:r w:rsidRPr="002B50C2">
        <w:rPr>
          <w:rFonts w:ascii="Times New Roman" w:eastAsia="Times New Roman" w:hAnsi="Times New Roman" w:cs="Times New Roman"/>
          <w:sz w:val="24"/>
          <w:szCs w:val="24"/>
        </w:rPr>
        <w:t xml:space="preserve"> Fundamentals AI Engine</w:t>
      </w:r>
    </w:p>
    <w:p w14:paraId="253693E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Short Name:</w:t>
      </w:r>
      <w:r w:rsidRPr="002B50C2">
        <w:rPr>
          <w:rFonts w:ascii="Times New Roman" w:eastAsia="Times New Roman" w:hAnsi="Times New Roman" w:cs="Times New Roman"/>
          <w:sz w:val="24"/>
          <w:szCs w:val="24"/>
        </w:rPr>
        <w:t xml:space="preserve"> Fundamentals AI</w:t>
      </w:r>
    </w:p>
    <w:p w14:paraId="39D5561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Module:</w:t>
      </w:r>
      <w:r w:rsidRPr="002B50C2">
        <w:rPr>
          <w:rFonts w:ascii="Times New Roman" w:eastAsia="Times New Roman" w:hAnsi="Times New Roman" w:cs="Times New Roman"/>
          <w:sz w:val="24"/>
          <w:szCs w:val="24"/>
        </w:rPr>
        <w:t xml:space="preserve"> Fundamentals</w:t>
      </w:r>
    </w:p>
    <w:p w14:paraId="48559C2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Category:</w:t>
      </w:r>
      <w:r w:rsidRPr="002B50C2">
        <w:rPr>
          <w:rFonts w:ascii="Times New Roman" w:eastAsia="Times New Roman" w:hAnsi="Times New Roman" w:cs="Times New Roman"/>
          <w:sz w:val="24"/>
          <w:szCs w:val="24"/>
        </w:rPr>
        <w:t xml:space="preserve"> AI Engine</w:t>
      </w:r>
    </w:p>
    <w:p w14:paraId="1753990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Purpose:</w:t>
      </w:r>
    </w:p>
    <w:p w14:paraId="7D22386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Generate concise, human-readable explanations for the Fundamentals module using structured outputs from the Fundamentals Engine.</w:t>
      </w:r>
    </w:p>
    <w:p w14:paraId="24DA63E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Based On:</w:t>
      </w:r>
    </w:p>
    <w:p w14:paraId="6936FC9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Score Engine</w:t>
      </w:r>
    </w:p>
    <w:p w14:paraId="7D841F3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Importance:</w:t>
      </w:r>
    </w:p>
    <w:p w14:paraId="50AF5BD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(Core AI Component)</w:t>
      </w:r>
    </w:p>
    <w:p w14:paraId="7262807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Auto / Manual:</w:t>
      </w:r>
    </w:p>
    <w:p w14:paraId="47E68A9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Automatic</w:t>
      </w:r>
    </w:p>
    <w:p w14:paraId="7260131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Update Frequency:</w:t>
      </w:r>
    </w:p>
    <w:p w14:paraId="6AC8DE0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Whenever the Fundamentals Score Engine updates.</w:t>
      </w:r>
    </w:p>
    <w:p w14:paraId="36F98A0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Praxis Note:</w:t>
      </w:r>
    </w:p>
    <w:p w14:paraId="1E311B4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The AI Engine </w:t>
      </w:r>
      <w:r w:rsidRPr="002B50C2">
        <w:rPr>
          <w:rFonts w:ascii="Times New Roman" w:eastAsia="Times New Roman" w:hAnsi="Times New Roman" w:cs="Times New Roman"/>
          <w:b/>
          <w:bCs/>
          <w:sz w:val="24"/>
          <w:szCs w:val="24"/>
        </w:rPr>
        <w:t>never performs calculations</w:t>
      </w:r>
      <w:r w:rsidRPr="002B50C2">
        <w:rPr>
          <w:rFonts w:ascii="Times New Roman" w:eastAsia="Times New Roman" w:hAnsi="Times New Roman" w:cs="Times New Roman"/>
          <w:sz w:val="24"/>
          <w:szCs w:val="24"/>
        </w:rPr>
        <w:t xml:space="preserve"> or modifies scores. It only explains the outputs generated by the Fundamentals Engine.</w:t>
      </w:r>
    </w:p>
    <w:p w14:paraId="5CEFC8AF"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09058564">
          <v:rect id="_x0000_i1729" style="width:0;height:1.5pt" o:hralign="center" o:hrstd="t" o:hr="t" fillcolor="#a0a0a0" stroked="f"/>
        </w:pict>
      </w:r>
    </w:p>
    <w:p w14:paraId="75F2B843"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lastRenderedPageBreak/>
        <w:t>2. Data Requirements</w:t>
      </w:r>
    </w:p>
    <w:p w14:paraId="7B93E89C"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Required Inputs</w:t>
      </w:r>
    </w:p>
    <w:p w14:paraId="744F95B1"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w:t>
      </w:r>
    </w:p>
    <w:p w14:paraId="2C2E8C3B"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Bias </w:t>
      </w:r>
    </w:p>
    <w:p w14:paraId="10C680B0"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Overall Confidence </w:t>
      </w:r>
    </w:p>
    <w:p w14:paraId="2A439DD4"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Valuation Score </w:t>
      </w:r>
    </w:p>
    <w:p w14:paraId="7F0AA933"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Growth Score </w:t>
      </w:r>
    </w:p>
    <w:p w14:paraId="570A0BE7"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Profitability Score </w:t>
      </w:r>
    </w:p>
    <w:p w14:paraId="377778DB"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Financial Health Score </w:t>
      </w:r>
    </w:p>
    <w:p w14:paraId="7D643E86"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Market Health Score </w:t>
      </w:r>
    </w:p>
    <w:p w14:paraId="09BF9A23"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Highest Scoring Category </w:t>
      </w:r>
    </w:p>
    <w:p w14:paraId="1688E325" w14:textId="77777777" w:rsidR="002B50C2" w:rsidRPr="002B50C2" w:rsidRDefault="002B50C2" w:rsidP="002B50C2">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Lowest Scoring Category </w:t>
      </w:r>
    </w:p>
    <w:p w14:paraId="1C7EBF49"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Source</w:t>
      </w:r>
    </w:p>
    <w:p w14:paraId="457D19E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Score Engine</w:t>
      </w:r>
    </w:p>
    <w:p w14:paraId="6B5695B7"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3DAF33E">
          <v:rect id="_x0000_i1730" style="width:0;height:1.5pt" o:hralign="center" o:hrstd="t" o:hr="t" fillcolor="#a0a0a0" stroked="f"/>
        </w:pict>
      </w:r>
    </w:p>
    <w:p w14:paraId="73BA8A88"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3. Industry Standard Logic</w:t>
      </w:r>
    </w:p>
    <w:p w14:paraId="566189C0"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Workflow</w:t>
      </w:r>
    </w:p>
    <w:p w14:paraId="76EE7ED0" w14:textId="77777777" w:rsidR="002B50C2" w:rsidRPr="002B50C2" w:rsidRDefault="002B50C2" w:rsidP="002B50C2">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Receive Fundamentals Engine outputs. </w:t>
      </w:r>
    </w:p>
    <w:p w14:paraId="3683D944" w14:textId="77777777" w:rsidR="002B50C2" w:rsidRPr="002B50C2" w:rsidRDefault="002B50C2" w:rsidP="002B50C2">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Identify strongest category. </w:t>
      </w:r>
    </w:p>
    <w:p w14:paraId="7B32C829" w14:textId="77777777" w:rsidR="002B50C2" w:rsidRPr="002B50C2" w:rsidRDefault="002B50C2" w:rsidP="002B50C2">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Identify weakest category. </w:t>
      </w:r>
    </w:p>
    <w:p w14:paraId="6635D184" w14:textId="77777777" w:rsidR="002B50C2" w:rsidRPr="002B50C2" w:rsidRDefault="002B50C2" w:rsidP="002B50C2">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Generate overall summary. </w:t>
      </w:r>
    </w:p>
    <w:p w14:paraId="39B3A246" w14:textId="77777777" w:rsidR="002B50C2" w:rsidRPr="002B50C2" w:rsidRDefault="002B50C2" w:rsidP="002B50C2">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Add confidence disclaimer if required. </w:t>
      </w:r>
    </w:p>
    <w:p w14:paraId="3B6531CB"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Notes</w:t>
      </w:r>
    </w:p>
    <w:p w14:paraId="343414D6" w14:textId="77777777" w:rsidR="002B50C2" w:rsidRPr="002B50C2" w:rsidRDefault="002B50C2" w:rsidP="002B50C2">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No calculations. </w:t>
      </w:r>
    </w:p>
    <w:p w14:paraId="4D101249" w14:textId="77777777" w:rsidR="002B50C2" w:rsidRPr="002B50C2" w:rsidRDefault="002B50C2" w:rsidP="002B50C2">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No predictions. </w:t>
      </w:r>
    </w:p>
    <w:p w14:paraId="7C9A4B5D" w14:textId="77777777" w:rsidR="002B50C2" w:rsidRPr="002B50C2" w:rsidRDefault="002B50C2" w:rsidP="002B50C2">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No investment advice. </w:t>
      </w:r>
    </w:p>
    <w:p w14:paraId="464A2E9D" w14:textId="77777777" w:rsidR="002B50C2" w:rsidRPr="002B50C2" w:rsidRDefault="002B50C2" w:rsidP="002B50C2">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Explanation only. </w:t>
      </w:r>
    </w:p>
    <w:p w14:paraId="26EB1261"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71B267EA">
          <v:rect id="_x0000_i1731" style="width:0;height:1.5pt" o:hralign="center" o:hrstd="t" o:hr="t" fillcolor="#a0a0a0" stroked="f"/>
        </w:pict>
      </w:r>
    </w:p>
    <w:p w14:paraId="232CE8CF"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4. Card Fields</w:t>
      </w:r>
    </w:p>
    <w:p w14:paraId="0CEC115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AI Summary</w:t>
      </w:r>
    </w:p>
    <w:p w14:paraId="5760E1C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t>Overall explanation.</w:t>
      </w:r>
    </w:p>
    <w:p w14:paraId="3AC3A16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Strengths</w:t>
      </w:r>
    </w:p>
    <w:p w14:paraId="7E14F3F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Highest-performing categories.</w:t>
      </w:r>
    </w:p>
    <w:p w14:paraId="04E13AD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Weaknesses</w:t>
      </w:r>
    </w:p>
    <w:p w14:paraId="4F9BA67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Lowest-performing categories.</w:t>
      </w:r>
    </w:p>
    <w:p w14:paraId="214E2B4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Confidence Note</w:t>
      </w:r>
    </w:p>
    <w:p w14:paraId="4EDFFD6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Displayed only when confidence is below the threshold.</w:t>
      </w:r>
    </w:p>
    <w:p w14:paraId="0209C08D"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64496667">
          <v:rect id="_x0000_i1732" style="width:0;height:1.5pt" o:hralign="center" o:hrstd="t" o:hr="t" fillcolor="#a0a0a0" stroked="f"/>
        </w:pict>
      </w:r>
    </w:p>
    <w:p w14:paraId="4B2C8A0F"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5. Summary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662"/>
      </w:tblGrid>
      <w:tr w:rsidR="002B50C2" w:rsidRPr="002B50C2" w14:paraId="44DEF69A" w14:textId="77777777" w:rsidTr="002B50C2">
        <w:trPr>
          <w:tblHeader/>
          <w:tblCellSpacing w:w="15" w:type="dxa"/>
        </w:trPr>
        <w:tc>
          <w:tcPr>
            <w:tcW w:w="0" w:type="auto"/>
            <w:vAlign w:val="center"/>
            <w:hideMark/>
          </w:tcPr>
          <w:p w14:paraId="06B93B12"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Fundamentals Score</w:t>
            </w:r>
          </w:p>
        </w:tc>
        <w:tc>
          <w:tcPr>
            <w:tcW w:w="0" w:type="auto"/>
            <w:vAlign w:val="center"/>
            <w:hideMark/>
          </w:tcPr>
          <w:p w14:paraId="0B1BCEF3"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Summary Tone</w:t>
            </w:r>
          </w:p>
        </w:tc>
      </w:tr>
      <w:tr w:rsidR="002B50C2" w:rsidRPr="002B50C2" w14:paraId="4E5DAE13" w14:textId="77777777" w:rsidTr="002B50C2">
        <w:trPr>
          <w:tblCellSpacing w:w="15" w:type="dxa"/>
        </w:trPr>
        <w:tc>
          <w:tcPr>
            <w:tcW w:w="0" w:type="auto"/>
            <w:vAlign w:val="center"/>
            <w:hideMark/>
          </w:tcPr>
          <w:p w14:paraId="38A73FDF"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90–100</w:t>
            </w:r>
          </w:p>
        </w:tc>
        <w:tc>
          <w:tcPr>
            <w:tcW w:w="0" w:type="auto"/>
            <w:vAlign w:val="center"/>
            <w:hideMark/>
          </w:tcPr>
          <w:p w14:paraId="034A244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Very Strong Fundamentals</w:t>
            </w:r>
          </w:p>
        </w:tc>
      </w:tr>
      <w:tr w:rsidR="002B50C2" w:rsidRPr="002B50C2" w14:paraId="4371A456" w14:textId="77777777" w:rsidTr="002B50C2">
        <w:trPr>
          <w:tblCellSpacing w:w="15" w:type="dxa"/>
        </w:trPr>
        <w:tc>
          <w:tcPr>
            <w:tcW w:w="0" w:type="auto"/>
            <w:vAlign w:val="center"/>
            <w:hideMark/>
          </w:tcPr>
          <w:p w14:paraId="7AEBEE49"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75–89</w:t>
            </w:r>
          </w:p>
        </w:tc>
        <w:tc>
          <w:tcPr>
            <w:tcW w:w="0" w:type="auto"/>
            <w:vAlign w:val="center"/>
            <w:hideMark/>
          </w:tcPr>
          <w:p w14:paraId="48216021"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Strong Fundamentals</w:t>
            </w:r>
          </w:p>
        </w:tc>
      </w:tr>
      <w:tr w:rsidR="002B50C2" w:rsidRPr="002B50C2" w14:paraId="3B8FE28A" w14:textId="77777777" w:rsidTr="002B50C2">
        <w:trPr>
          <w:tblCellSpacing w:w="15" w:type="dxa"/>
        </w:trPr>
        <w:tc>
          <w:tcPr>
            <w:tcW w:w="0" w:type="auto"/>
            <w:vAlign w:val="center"/>
            <w:hideMark/>
          </w:tcPr>
          <w:p w14:paraId="79BA429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55–74</w:t>
            </w:r>
          </w:p>
        </w:tc>
        <w:tc>
          <w:tcPr>
            <w:tcW w:w="0" w:type="auto"/>
            <w:vAlign w:val="center"/>
            <w:hideMark/>
          </w:tcPr>
          <w:p w14:paraId="799A9D4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Balanced Fundamentals</w:t>
            </w:r>
          </w:p>
        </w:tc>
      </w:tr>
      <w:tr w:rsidR="002B50C2" w:rsidRPr="002B50C2" w14:paraId="3024BA99" w14:textId="77777777" w:rsidTr="002B50C2">
        <w:trPr>
          <w:tblCellSpacing w:w="15" w:type="dxa"/>
        </w:trPr>
        <w:tc>
          <w:tcPr>
            <w:tcW w:w="0" w:type="auto"/>
            <w:vAlign w:val="center"/>
            <w:hideMark/>
          </w:tcPr>
          <w:p w14:paraId="19F2A1D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35–54</w:t>
            </w:r>
          </w:p>
        </w:tc>
        <w:tc>
          <w:tcPr>
            <w:tcW w:w="0" w:type="auto"/>
            <w:vAlign w:val="center"/>
            <w:hideMark/>
          </w:tcPr>
          <w:p w14:paraId="0C36DF64"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Weak Fundamentals</w:t>
            </w:r>
          </w:p>
        </w:tc>
      </w:tr>
      <w:tr w:rsidR="002B50C2" w:rsidRPr="002B50C2" w14:paraId="51603EB6" w14:textId="77777777" w:rsidTr="002B50C2">
        <w:trPr>
          <w:tblCellSpacing w:w="15" w:type="dxa"/>
        </w:trPr>
        <w:tc>
          <w:tcPr>
            <w:tcW w:w="0" w:type="auto"/>
            <w:vAlign w:val="center"/>
            <w:hideMark/>
          </w:tcPr>
          <w:p w14:paraId="0C174D1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0–34</w:t>
            </w:r>
          </w:p>
        </w:tc>
        <w:tc>
          <w:tcPr>
            <w:tcW w:w="0" w:type="auto"/>
            <w:vAlign w:val="center"/>
            <w:hideMark/>
          </w:tcPr>
          <w:p w14:paraId="74F40B3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Very Weak Fundamentals</w:t>
            </w:r>
          </w:p>
        </w:tc>
      </w:tr>
    </w:tbl>
    <w:p w14:paraId="7452A940"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Notes</w:t>
      </w:r>
    </w:p>
    <w:p w14:paraId="2233F3FD" w14:textId="77777777" w:rsidR="002B50C2" w:rsidRPr="002B50C2" w:rsidRDefault="002B50C2" w:rsidP="002B50C2">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Keep </w:t>
      </w:r>
      <w:proofErr w:type="gramStart"/>
      <w:r w:rsidRPr="002B50C2">
        <w:rPr>
          <w:rFonts w:ascii="Times New Roman" w:eastAsia="Times New Roman" w:hAnsi="Times New Roman" w:cs="Times New Roman"/>
          <w:sz w:val="24"/>
          <w:szCs w:val="24"/>
        </w:rPr>
        <w:t>responses</w:t>
      </w:r>
      <w:proofErr w:type="gramEnd"/>
      <w:r w:rsidRPr="002B50C2">
        <w:rPr>
          <w:rFonts w:ascii="Times New Roman" w:eastAsia="Times New Roman" w:hAnsi="Times New Roman" w:cs="Times New Roman"/>
          <w:sz w:val="24"/>
          <w:szCs w:val="24"/>
        </w:rPr>
        <w:t xml:space="preserve"> objective. </w:t>
      </w:r>
    </w:p>
    <w:p w14:paraId="3E23EE94" w14:textId="77777777" w:rsidR="002B50C2" w:rsidRPr="002B50C2" w:rsidRDefault="002B50C2" w:rsidP="002B50C2">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Do not exaggerate bullish or bearish conditions. </w:t>
      </w:r>
    </w:p>
    <w:p w14:paraId="03846A0D" w14:textId="77777777" w:rsidR="002B50C2" w:rsidRPr="002B50C2" w:rsidRDefault="002B50C2" w:rsidP="002B50C2">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Limit summaries to 3–5 concise sentences. </w:t>
      </w:r>
    </w:p>
    <w:p w14:paraId="09E536BD"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6EEA7AEC">
          <v:rect id="_x0000_i1733" style="width:0;height:1.5pt" o:hralign="center" o:hrstd="t" o:hr="t" fillcolor="#a0a0a0" stroked="f"/>
        </w:pict>
      </w:r>
    </w:p>
    <w:p w14:paraId="3971A51C"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6. Bias Rules</w:t>
      </w:r>
    </w:p>
    <w:p w14:paraId="57D802B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Bullish</w:t>
      </w:r>
    </w:p>
    <w:p w14:paraId="14ECA3F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Emphasize the strongest supporting categories.</w:t>
      </w:r>
    </w:p>
    <w:p w14:paraId="5559DAE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Neutral</w:t>
      </w:r>
    </w:p>
    <w:p w14:paraId="7330541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Highlight both strengths and weaknesses equally.</w:t>
      </w:r>
    </w:p>
    <w:p w14:paraId="2016033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lastRenderedPageBreak/>
        <w:t>Bearish</w:t>
      </w:r>
    </w:p>
    <w:p w14:paraId="078541C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Focus on the weakest categories and primary risks.</w:t>
      </w:r>
    </w:p>
    <w:p w14:paraId="1E38192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47A9317">
          <v:rect id="_x0000_i1734" style="width:0;height:1.5pt" o:hralign="center" o:hrstd="t" o:hr="t" fillcolor="#a0a0a0" stroked="f"/>
        </w:pict>
      </w:r>
    </w:p>
    <w:p w14:paraId="69299BB2"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7. Confidence Logic</w:t>
      </w:r>
    </w:p>
    <w:p w14:paraId="7C46F42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Confidence &gt;80%</w:t>
      </w:r>
    </w:p>
    <w:p w14:paraId="491132A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No disclaimer.</w:t>
      </w:r>
    </w:p>
    <w:p w14:paraId="33D0998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Confidence 60–80%</w:t>
      </w:r>
    </w:p>
    <w:p w14:paraId="649E31E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Mention that some indicators require monitoring.</w:t>
      </w:r>
    </w:p>
    <w:p w14:paraId="23EE03D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Confidence &lt;60%</w:t>
      </w:r>
    </w:p>
    <w:p w14:paraId="7D158E5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Clearly state that limited or incomplete data reduces confidence.</w:t>
      </w:r>
    </w:p>
    <w:p w14:paraId="3F03886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D69ADCC">
          <v:rect id="_x0000_i1735" style="width:0;height:1.5pt" o:hralign="center" o:hrstd="t" o:hr="t" fillcolor="#a0a0a0" stroked="f"/>
        </w:pict>
      </w:r>
    </w:p>
    <w:p w14:paraId="05940886"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8. Summary Structure</w:t>
      </w:r>
    </w:p>
    <w:p w14:paraId="1B17A5E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The AI response should follow this order:</w:t>
      </w:r>
    </w:p>
    <w:p w14:paraId="7543F1EB" w14:textId="77777777" w:rsidR="002B50C2" w:rsidRPr="002B50C2" w:rsidRDefault="002B50C2" w:rsidP="002B50C2">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Overall Fundamentals </w:t>
      </w:r>
    </w:p>
    <w:p w14:paraId="4AA4B942" w14:textId="77777777" w:rsidR="002B50C2" w:rsidRPr="002B50C2" w:rsidRDefault="002B50C2" w:rsidP="002B50C2">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Strongest Category </w:t>
      </w:r>
    </w:p>
    <w:p w14:paraId="2C64009B" w14:textId="77777777" w:rsidR="002B50C2" w:rsidRPr="002B50C2" w:rsidRDefault="002B50C2" w:rsidP="002B50C2">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Weakest Category </w:t>
      </w:r>
    </w:p>
    <w:p w14:paraId="1377F5CE" w14:textId="77777777" w:rsidR="002B50C2" w:rsidRPr="002B50C2" w:rsidRDefault="002B50C2" w:rsidP="002B50C2">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Note (if required) </w:t>
      </w:r>
    </w:p>
    <w:p w14:paraId="7C1D9BD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Maximum:</w:t>
      </w:r>
    </w:p>
    <w:p w14:paraId="16F0E6F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5 sentences.</w:t>
      </w:r>
    </w:p>
    <w:p w14:paraId="32DA6E39"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A3D6026">
          <v:rect id="_x0000_i1736" style="width:0;height:1.5pt" o:hralign="center" o:hrstd="t" o:hr="t" fillcolor="#a0a0a0" stroked="f"/>
        </w:pict>
      </w:r>
    </w:p>
    <w:p w14:paraId="00C35348"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9. Insight Refresh</w:t>
      </w:r>
    </w:p>
    <w:p w14:paraId="605EAB1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History</w:t>
      </w:r>
    </w:p>
    <w:p w14:paraId="2AD5E16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Store the latest AI summaries.</w:t>
      </w:r>
    </w:p>
    <w:p w14:paraId="6A35082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lastRenderedPageBreak/>
        <w:t>Update</w:t>
      </w:r>
    </w:p>
    <w:p w14:paraId="0F85C06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Whenever the Fundamentals Engine publishes a new score.</w:t>
      </w:r>
    </w:p>
    <w:p w14:paraId="193387F7"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F9E6101">
          <v:rect id="_x0000_i1737" style="width:0;height:1.5pt" o:hralign="center" o:hrstd="t" o:hr="t" fillcolor="#a0a0a0" stroked="f"/>
        </w:pict>
      </w:r>
    </w:p>
    <w:p w14:paraId="68F3BFF5"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10. AI Insight Rules</w:t>
      </w:r>
    </w:p>
    <w:p w14:paraId="6A1800C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Valuation Strong</w:t>
      </w:r>
    </w:p>
    <w:p w14:paraId="35E3C0C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Mention attractive market valuation.</w:t>
      </w:r>
    </w:p>
    <w:p w14:paraId="7D67088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Growth Strong</w:t>
      </w:r>
    </w:p>
    <w:p w14:paraId="74BFF1E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Highlight improving corporate growth.</w:t>
      </w:r>
    </w:p>
    <w:p w14:paraId="02AFD4F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Profitability Strong</w:t>
      </w:r>
    </w:p>
    <w:p w14:paraId="2E896AB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Mention efficient earnings generation.</w:t>
      </w:r>
    </w:p>
    <w:p w14:paraId="68D07CD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Financial Health Strong</w:t>
      </w:r>
    </w:p>
    <w:p w14:paraId="215182E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Highlight strong balance sheets and liquidity.</w:t>
      </w:r>
    </w:p>
    <w:p w14:paraId="4F184A2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Market Health Strong</w:t>
      </w:r>
    </w:p>
    <w:p w14:paraId="71E1EA1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Mention supportive macro and institutional conditions.</w:t>
      </w:r>
    </w:p>
    <w:p w14:paraId="02DEADC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Multiple Weak Categories</w:t>
      </w:r>
    </w:p>
    <w:p w14:paraId="33BE80E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Summarize the primary risks affecting the Fundamentals Score.</w:t>
      </w:r>
    </w:p>
    <w:p w14:paraId="2E63887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9FC3CFA">
          <v:rect id="_x0000_i1738" style="width:0;height:1.5pt" o:hralign="center" o:hrstd="t" o:hr="t" fillcolor="#a0a0a0" stroked="f"/>
        </w:pict>
      </w:r>
    </w:p>
    <w:p w14:paraId="3B781633"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11. Why It Matters</w:t>
      </w:r>
    </w:p>
    <w:p w14:paraId="08F886DC" w14:textId="77777777" w:rsidR="002B50C2" w:rsidRPr="002B50C2" w:rsidRDefault="002B50C2" w:rsidP="002B50C2">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Converts numerical scores into readable insights. </w:t>
      </w:r>
    </w:p>
    <w:p w14:paraId="415A61B7" w14:textId="77777777" w:rsidR="002B50C2" w:rsidRPr="002B50C2" w:rsidRDefault="002B50C2" w:rsidP="002B50C2">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Improves dashboard usability. </w:t>
      </w:r>
    </w:p>
    <w:p w14:paraId="4363815F" w14:textId="77777777" w:rsidR="002B50C2" w:rsidRPr="002B50C2" w:rsidRDefault="002B50C2" w:rsidP="002B50C2">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Helps users quickly understand market conditions. </w:t>
      </w:r>
    </w:p>
    <w:p w14:paraId="5B66F5D2" w14:textId="77777777" w:rsidR="002B50C2" w:rsidRPr="002B50C2" w:rsidRDefault="002B50C2" w:rsidP="002B50C2">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Maintains consistency across all modules. </w:t>
      </w:r>
    </w:p>
    <w:p w14:paraId="17F1711A"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CBC25F3">
          <v:rect id="_x0000_i1739" style="width:0;height:1.5pt" o:hralign="center" o:hrstd="t" o:hr="t" fillcolor="#a0a0a0" stroked="f"/>
        </w:pict>
      </w:r>
    </w:p>
    <w:p w14:paraId="248CB6EF"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lastRenderedPageBreak/>
        <w:t>12. Trading Impact</w:t>
      </w:r>
    </w:p>
    <w:p w14:paraId="4552A30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Direct Trading Impact</w:t>
      </w:r>
    </w:p>
    <w:p w14:paraId="0E45F45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None</w:t>
      </w:r>
    </w:p>
    <w:p w14:paraId="2CBBF73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Primary Use</w:t>
      </w:r>
    </w:p>
    <w:p w14:paraId="4208B12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Interpretation of Fundamentals data.</w:t>
      </w:r>
    </w:p>
    <w:p w14:paraId="6280344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1908C108">
          <v:rect id="_x0000_i1740" style="width:0;height:1.5pt" o:hralign="center" o:hrstd="t" o:hr="t" fillcolor="#a0a0a0" stroked="f"/>
        </w:pict>
      </w:r>
    </w:p>
    <w:p w14:paraId="6B615F5A"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13. Supporting Components</w:t>
      </w:r>
    </w:p>
    <w:p w14:paraId="1193F350" w14:textId="77777777" w:rsidR="002B50C2" w:rsidRPr="002B50C2" w:rsidRDefault="002B50C2" w:rsidP="002B50C2">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Engine </w:t>
      </w:r>
    </w:p>
    <w:p w14:paraId="73EA0206" w14:textId="77777777" w:rsidR="002B50C2" w:rsidRPr="002B50C2" w:rsidRDefault="002B50C2" w:rsidP="002B50C2">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Category Scores </w:t>
      </w:r>
    </w:p>
    <w:p w14:paraId="735CA8B2" w14:textId="77777777" w:rsidR="002B50C2" w:rsidRPr="002B50C2" w:rsidRDefault="002B50C2" w:rsidP="002B50C2">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Engine </w:t>
      </w:r>
    </w:p>
    <w:p w14:paraId="44C0B311"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7FE21D01">
          <v:rect id="_x0000_i1741" style="width:0;height:1.5pt" o:hralign="center" o:hrstd="t" o:hr="t" fillcolor="#a0a0a0" stroked="f"/>
        </w:pict>
      </w:r>
    </w:p>
    <w:p w14:paraId="2FA27D80"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14. Metadata</w:t>
      </w:r>
    </w:p>
    <w:p w14:paraId="07B567A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Source</w:t>
      </w:r>
    </w:p>
    <w:p w14:paraId="555718F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Engine</w:t>
      </w:r>
    </w:p>
    <w:p w14:paraId="0965694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Calculation</w:t>
      </w:r>
    </w:p>
    <w:p w14:paraId="1285002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None (Explanation Only)</w:t>
      </w:r>
    </w:p>
    <w:p w14:paraId="1363512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Updated</w:t>
      </w:r>
    </w:p>
    <w:p w14:paraId="642C0F9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Automatic</w:t>
      </w:r>
    </w:p>
    <w:p w14:paraId="095FF5D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proofErr w:type="spellStart"/>
      <w:r w:rsidRPr="002B50C2">
        <w:rPr>
          <w:rFonts w:ascii="Times New Roman" w:eastAsia="Times New Roman" w:hAnsi="Times New Roman" w:cs="Times New Roman"/>
          <w:b/>
          <w:bCs/>
          <w:sz w:val="24"/>
          <w:szCs w:val="24"/>
        </w:rPr>
        <w:t>Timezone</w:t>
      </w:r>
      <w:proofErr w:type="spellEnd"/>
    </w:p>
    <w:p w14:paraId="41662F7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Asia/Kolkata</w:t>
      </w:r>
    </w:p>
    <w:p w14:paraId="0837A83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Storage</w:t>
      </w:r>
    </w:p>
    <w:p w14:paraId="5A3D4AD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Local Electron Database</w:t>
      </w:r>
    </w:p>
    <w:p w14:paraId="7C6C82B9"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207FAC0C">
          <v:rect id="_x0000_i1742" style="width:0;height:1.5pt" o:hralign="center" o:hrstd="t" o:hr="t" fillcolor="#a0a0a0" stroked="f"/>
        </w:pict>
      </w:r>
    </w:p>
    <w:p w14:paraId="69DFFFFF"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lastRenderedPageBreak/>
        <w:t>15. Developer Notes</w:t>
      </w:r>
    </w:p>
    <w:p w14:paraId="516CBF2A" w14:textId="77777777" w:rsidR="002B50C2" w:rsidRPr="002B50C2" w:rsidRDefault="002B50C2" w:rsidP="002B50C2">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Do not expose raw calculation logic. </w:t>
      </w:r>
    </w:p>
    <w:p w14:paraId="53EE8CD1" w14:textId="77777777" w:rsidR="002B50C2" w:rsidRPr="002B50C2" w:rsidRDefault="002B50C2" w:rsidP="002B50C2">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Never modify indicator scores. </w:t>
      </w:r>
    </w:p>
    <w:p w14:paraId="019D109C" w14:textId="77777777" w:rsidR="002B50C2" w:rsidRPr="002B50C2" w:rsidRDefault="002B50C2" w:rsidP="002B50C2">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Generate deterministic summaries from engine outputs. </w:t>
      </w:r>
    </w:p>
    <w:p w14:paraId="0192EC9E" w14:textId="77777777" w:rsidR="002B50C2" w:rsidRPr="002B50C2" w:rsidRDefault="002B50C2" w:rsidP="002B50C2">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Avoid repeating the same sentence structure when no meaningful changes occur. </w:t>
      </w:r>
    </w:p>
    <w:p w14:paraId="7C8C28DC" w14:textId="77777777" w:rsidR="002B50C2" w:rsidRPr="002B50C2" w:rsidRDefault="002B50C2" w:rsidP="002B50C2">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Store previous summaries for history if AI history is enabled. </w:t>
      </w:r>
    </w:p>
    <w:p w14:paraId="280885DB"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CF8056D">
          <v:rect id="_x0000_i1743" style="width:0;height:1.5pt" o:hralign="center" o:hrstd="t" o:hr="t" fillcolor="#a0a0a0" stroked="f"/>
        </w:pict>
      </w:r>
    </w:p>
    <w:p w14:paraId="6A03EC83"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 xml:space="preserve">16. Praxis Engine Integration </w:t>
      </w:r>
      <w:r w:rsidRPr="002B50C2">
        <w:rPr>
          <w:rFonts w:ascii="Segoe UI Emoji" w:eastAsia="Times New Roman" w:hAnsi="Segoe UI Emoji" w:cs="Segoe UI Emoji"/>
          <w:b/>
          <w:bCs/>
          <w:kern w:val="36"/>
          <w:sz w:val="48"/>
          <w:szCs w:val="48"/>
        </w:rPr>
        <w:t>⭐</w:t>
      </w:r>
    </w:p>
    <w:p w14:paraId="3395422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Consumes</w:t>
      </w:r>
    </w:p>
    <w:p w14:paraId="00175625" w14:textId="77777777" w:rsidR="002B50C2" w:rsidRPr="002B50C2" w:rsidRDefault="002B50C2" w:rsidP="002B50C2">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w:t>
      </w:r>
    </w:p>
    <w:p w14:paraId="1A506E9C" w14:textId="77777777" w:rsidR="002B50C2" w:rsidRPr="002B50C2" w:rsidRDefault="002B50C2" w:rsidP="002B50C2">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Bias </w:t>
      </w:r>
    </w:p>
    <w:p w14:paraId="1AB00DC0" w14:textId="77777777" w:rsidR="002B50C2" w:rsidRPr="002B50C2" w:rsidRDefault="002B50C2" w:rsidP="002B50C2">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w:t>
      </w:r>
    </w:p>
    <w:p w14:paraId="6F0C2CEC" w14:textId="77777777" w:rsidR="002B50C2" w:rsidRPr="002B50C2" w:rsidRDefault="002B50C2" w:rsidP="002B50C2">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Category Scores </w:t>
      </w:r>
    </w:p>
    <w:p w14:paraId="41244DE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Outputs</w:t>
      </w:r>
    </w:p>
    <w:p w14:paraId="28CD0AB5" w14:textId="77777777" w:rsidR="002B50C2" w:rsidRPr="002B50C2" w:rsidRDefault="002B50C2" w:rsidP="002B50C2">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AI Summary </w:t>
      </w:r>
    </w:p>
    <w:p w14:paraId="5D20844A" w14:textId="77777777" w:rsidR="002B50C2" w:rsidRPr="002B50C2" w:rsidRDefault="002B50C2" w:rsidP="002B50C2">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Strengths </w:t>
      </w:r>
    </w:p>
    <w:p w14:paraId="437FF01C" w14:textId="77777777" w:rsidR="002B50C2" w:rsidRPr="002B50C2" w:rsidRDefault="002B50C2" w:rsidP="002B50C2">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Weaknesses </w:t>
      </w:r>
    </w:p>
    <w:p w14:paraId="1E2B4B39" w14:textId="77777777" w:rsidR="002B50C2" w:rsidRPr="002B50C2" w:rsidRDefault="002B50C2" w:rsidP="002B50C2">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Note </w:t>
      </w:r>
    </w:p>
    <w:p w14:paraId="7DF1968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Display Priority</w:t>
      </w:r>
    </w:p>
    <w:p w14:paraId="3827DA0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High</w:t>
      </w:r>
    </w:p>
    <w:p w14:paraId="6BE458D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The AI Engine is an explanation layer only and does not provide feedback to the Fundamentals Engine.</w:t>
      </w:r>
    </w:p>
    <w:p w14:paraId="32304A0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1F501DD">
          <v:rect id="_x0000_i1744" style="width:0;height:1.5pt" o:hralign="center" o:hrstd="t" o:hr="t" fillcolor="#a0a0a0" stroked="f"/>
        </w:pict>
      </w:r>
    </w:p>
    <w:p w14:paraId="0195C5F2"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17. Praxis Recommendation</w:t>
      </w:r>
    </w:p>
    <w:p w14:paraId="69D773A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The Fundamentals AI Engine should act as the </w:t>
      </w:r>
      <w:r w:rsidRPr="002B50C2">
        <w:rPr>
          <w:rFonts w:ascii="Times New Roman" w:eastAsia="Times New Roman" w:hAnsi="Times New Roman" w:cs="Times New Roman"/>
          <w:b/>
          <w:bCs/>
          <w:sz w:val="24"/>
          <w:szCs w:val="24"/>
        </w:rPr>
        <w:t>natural language explanation layer</w:t>
      </w:r>
      <w:r w:rsidRPr="002B50C2">
        <w:rPr>
          <w:rFonts w:ascii="Times New Roman" w:eastAsia="Times New Roman" w:hAnsi="Times New Roman" w:cs="Times New Roman"/>
          <w:sz w:val="24"/>
          <w:szCs w:val="24"/>
        </w:rPr>
        <w:t xml:space="preserve"> for the Fundamentals module.</w:t>
      </w:r>
    </w:p>
    <w:p w14:paraId="097BF9D4"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AI Flow</w:t>
      </w:r>
    </w:p>
    <w:p w14:paraId="742BEF2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Fundamentals Engine</w:t>
      </w:r>
    </w:p>
    <w:p w14:paraId="5482099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lastRenderedPageBreak/>
        <w:t>⬇</w:t>
      </w:r>
    </w:p>
    <w:p w14:paraId="1BB7246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Category Analysis</w:t>
      </w:r>
    </w:p>
    <w:p w14:paraId="5BFC338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755166A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Summary Generation</w:t>
      </w:r>
    </w:p>
    <w:p w14:paraId="4EDD1A9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13521CF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Strengths &amp; Weaknesses</w:t>
      </w:r>
    </w:p>
    <w:p w14:paraId="502D670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78D7303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Confidence Note</w:t>
      </w:r>
    </w:p>
    <w:p w14:paraId="7261ADA8"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AI Rules</w:t>
      </w:r>
    </w:p>
    <w:p w14:paraId="284FF3A7" w14:textId="77777777" w:rsidR="002B50C2" w:rsidRPr="002B50C2" w:rsidRDefault="002B50C2" w:rsidP="002B50C2">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Never calculate indicators. </w:t>
      </w:r>
    </w:p>
    <w:p w14:paraId="1E431D9E" w14:textId="77777777" w:rsidR="002B50C2" w:rsidRPr="002B50C2" w:rsidRDefault="002B50C2" w:rsidP="002B50C2">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Never generate independent trading signals. </w:t>
      </w:r>
    </w:p>
    <w:p w14:paraId="0FD408F9" w14:textId="77777777" w:rsidR="002B50C2" w:rsidRPr="002B50C2" w:rsidRDefault="002B50C2" w:rsidP="002B50C2">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Explain only what the Fundamentals Engine has already determined. </w:t>
      </w:r>
    </w:p>
    <w:p w14:paraId="5468F260" w14:textId="77777777" w:rsidR="002B50C2" w:rsidRPr="002B50C2" w:rsidRDefault="002B50C2" w:rsidP="002B50C2">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Keep explanations concise, factual, and consistent with the calculated scores. </w:t>
      </w:r>
    </w:p>
    <w:p w14:paraId="5927365F" w14:textId="26C97920" w:rsid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The Fundamentals AI Engine should ensure that every Fundamentals Score is accompanied by a clear, reliable explanation without influencing the underlying calculations or decision-making logic.</w:t>
      </w:r>
    </w:p>
    <w:p w14:paraId="1A3878E6" w14:textId="0382D2D8"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4CDF604A" w14:textId="307DDD16"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6797658A" w14:textId="361F4317"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685D88AB" w14:textId="6750F49D"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27C52BD7" w14:textId="522F93CC"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0645D7E6" w14:textId="40783D6A"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5FD8E173" w14:textId="1E4DDFBB"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2C8CD271" w14:textId="3171F3CC" w:rsidR="00E11FEB"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7BA29C2B" w14:textId="77777777" w:rsidR="00E11FEB" w:rsidRPr="002B50C2" w:rsidRDefault="00E11FEB" w:rsidP="002B50C2">
      <w:pPr>
        <w:spacing w:before="100" w:beforeAutospacing="1" w:after="100" w:afterAutospacing="1" w:line="240" w:lineRule="auto"/>
        <w:rPr>
          <w:rFonts w:ascii="Times New Roman" w:eastAsia="Times New Roman" w:hAnsi="Times New Roman" w:cs="Times New Roman"/>
          <w:sz w:val="24"/>
          <w:szCs w:val="24"/>
        </w:rPr>
      </w:pPr>
    </w:p>
    <w:p w14:paraId="7776CF4E" w14:textId="2AA56968" w:rsidR="002B50C2" w:rsidRPr="002B50C2" w:rsidRDefault="00E11FEB" w:rsidP="002B50C2">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Pr>
          <w:rFonts w:ascii="Times New Roman" w:eastAsia="Times New Roman" w:hAnsi="Times New Roman" w:cs="Times New Roman"/>
          <w:b/>
          <w:bCs/>
          <w:color w:val="FF0000"/>
          <w:kern w:val="36"/>
          <w:sz w:val="48"/>
          <w:szCs w:val="48"/>
        </w:rPr>
        <w:lastRenderedPageBreak/>
        <w:t>$</w:t>
      </w:r>
      <w:r w:rsidR="002B50C2" w:rsidRPr="002B50C2">
        <w:rPr>
          <w:rFonts w:ascii="Times New Roman" w:eastAsia="Times New Roman" w:hAnsi="Times New Roman" w:cs="Times New Roman"/>
          <w:b/>
          <w:bCs/>
          <w:color w:val="FF0000"/>
          <w:kern w:val="36"/>
          <w:sz w:val="48"/>
          <w:szCs w:val="48"/>
        </w:rPr>
        <w:t>. Fundamentals Configuration</w:t>
      </w:r>
    </w:p>
    <w:p w14:paraId="23FBE38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Module:</w:t>
      </w:r>
      <w:r w:rsidRPr="002B50C2">
        <w:rPr>
          <w:rFonts w:ascii="Times New Roman" w:eastAsia="Times New Roman" w:hAnsi="Times New Roman" w:cs="Times New Roman"/>
          <w:sz w:val="24"/>
          <w:szCs w:val="24"/>
        </w:rPr>
        <w:t xml:space="preserve"> Fundamentals</w:t>
      </w:r>
      <w:r w:rsidRPr="002B50C2">
        <w:rPr>
          <w:rFonts w:ascii="Times New Roman" w:eastAsia="Times New Roman" w:hAnsi="Times New Roman" w:cs="Times New Roman"/>
          <w:sz w:val="24"/>
          <w:szCs w:val="24"/>
        </w:rPr>
        <w:br/>
      </w:r>
      <w:r w:rsidRPr="002B50C2">
        <w:rPr>
          <w:rFonts w:ascii="Times New Roman" w:eastAsia="Times New Roman" w:hAnsi="Times New Roman" w:cs="Times New Roman"/>
          <w:b/>
          <w:bCs/>
          <w:sz w:val="24"/>
          <w:szCs w:val="24"/>
        </w:rPr>
        <w:t>Category:</w:t>
      </w:r>
      <w:r w:rsidRPr="002B50C2">
        <w:rPr>
          <w:rFonts w:ascii="Times New Roman" w:eastAsia="Times New Roman" w:hAnsi="Times New Roman" w:cs="Times New Roman"/>
          <w:sz w:val="24"/>
          <w:szCs w:val="24"/>
        </w:rPr>
        <w:t xml:space="preserve"> Configuration</w:t>
      </w:r>
      <w:r w:rsidRPr="002B50C2">
        <w:rPr>
          <w:rFonts w:ascii="Times New Roman" w:eastAsia="Times New Roman" w:hAnsi="Times New Roman" w:cs="Times New Roman"/>
          <w:sz w:val="24"/>
          <w:szCs w:val="24"/>
        </w:rPr>
        <w:br/>
      </w:r>
      <w:r w:rsidRPr="002B50C2">
        <w:rPr>
          <w:rFonts w:ascii="Times New Roman" w:eastAsia="Times New Roman" w:hAnsi="Times New Roman" w:cs="Times New Roman"/>
          <w:b/>
          <w:bCs/>
          <w:sz w:val="24"/>
          <w:szCs w:val="24"/>
        </w:rPr>
        <w:t>Status:</w:t>
      </w:r>
      <w:r w:rsidRPr="002B50C2">
        <w:rPr>
          <w:rFonts w:ascii="Times New Roman" w:eastAsia="Times New Roman" w:hAnsi="Times New Roman" w:cs="Times New Roman"/>
          <w:sz w:val="24"/>
          <w:szCs w:val="24"/>
        </w:rPr>
        <w:t xml:space="preserve"> Production Ready</w:t>
      </w:r>
    </w:p>
    <w:p w14:paraId="1154F6E2" w14:textId="77777777" w:rsidR="002B50C2" w:rsidRPr="002B50C2" w:rsidRDefault="002B50C2" w:rsidP="002B50C2">
      <w:pPr>
        <w:spacing w:before="100" w:beforeAutospacing="1" w:after="100" w:afterAutospacing="1" w:line="240" w:lineRule="auto"/>
        <w:outlineLvl w:val="1"/>
        <w:rPr>
          <w:rFonts w:ascii="Times New Roman" w:eastAsia="Times New Roman" w:hAnsi="Times New Roman" w:cs="Times New Roman"/>
          <w:b/>
          <w:bCs/>
          <w:sz w:val="36"/>
          <w:szCs w:val="36"/>
        </w:rPr>
      </w:pPr>
      <w:r w:rsidRPr="002B50C2">
        <w:rPr>
          <w:rFonts w:ascii="Times New Roman" w:eastAsia="Times New Roman" w:hAnsi="Times New Roman" w:cs="Times New Roman"/>
          <w:b/>
          <w:bCs/>
          <w:sz w:val="36"/>
          <w:szCs w:val="36"/>
        </w:rPr>
        <w:t>1. Overview</w:t>
      </w:r>
    </w:p>
    <w:p w14:paraId="038FF61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Name:</w:t>
      </w:r>
      <w:r w:rsidRPr="002B50C2">
        <w:rPr>
          <w:rFonts w:ascii="Times New Roman" w:eastAsia="Times New Roman" w:hAnsi="Times New Roman" w:cs="Times New Roman"/>
          <w:sz w:val="24"/>
          <w:szCs w:val="24"/>
        </w:rPr>
        <w:t xml:space="preserve"> Fundamentals Configuration</w:t>
      </w:r>
    </w:p>
    <w:p w14:paraId="44E0E73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Short Name:</w:t>
      </w:r>
      <w:r w:rsidRPr="002B50C2">
        <w:rPr>
          <w:rFonts w:ascii="Times New Roman" w:eastAsia="Times New Roman" w:hAnsi="Times New Roman" w:cs="Times New Roman"/>
          <w:sz w:val="24"/>
          <w:szCs w:val="24"/>
        </w:rPr>
        <w:t xml:space="preserve"> Fundamentals Config</w:t>
      </w:r>
    </w:p>
    <w:p w14:paraId="0311E89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Module:</w:t>
      </w:r>
      <w:r w:rsidRPr="002B50C2">
        <w:rPr>
          <w:rFonts w:ascii="Times New Roman" w:eastAsia="Times New Roman" w:hAnsi="Times New Roman" w:cs="Times New Roman"/>
          <w:sz w:val="24"/>
          <w:szCs w:val="24"/>
        </w:rPr>
        <w:t xml:space="preserve"> Fundamentals</w:t>
      </w:r>
    </w:p>
    <w:p w14:paraId="6113CB2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Category:</w:t>
      </w:r>
      <w:r w:rsidRPr="002B50C2">
        <w:rPr>
          <w:rFonts w:ascii="Times New Roman" w:eastAsia="Times New Roman" w:hAnsi="Times New Roman" w:cs="Times New Roman"/>
          <w:sz w:val="24"/>
          <w:szCs w:val="24"/>
        </w:rPr>
        <w:t xml:space="preserve"> Configuration</w:t>
      </w:r>
    </w:p>
    <w:p w14:paraId="4F64A3A1"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Purpose:</w:t>
      </w:r>
    </w:p>
    <w:p w14:paraId="62E644E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Provides centralized configuration for the Fundamentals module, including category weights, indicator weights, scoring thresholds, update behavior, and future automation settings.</w:t>
      </w:r>
    </w:p>
    <w:p w14:paraId="36ED736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Importance:</w:t>
      </w:r>
    </w:p>
    <w:p w14:paraId="4E72414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(Core Configuration)</w:t>
      </w:r>
    </w:p>
    <w:p w14:paraId="103F972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Auto / Manual:</w:t>
      </w:r>
    </w:p>
    <w:p w14:paraId="7296F395"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Manual</w:t>
      </w:r>
    </w:p>
    <w:p w14:paraId="240B865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Update Frequency:</w:t>
      </w:r>
    </w:p>
    <w:p w14:paraId="692E01D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On Configuration Change</w:t>
      </w:r>
    </w:p>
    <w:p w14:paraId="2509521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Praxis Note:</w:t>
      </w:r>
    </w:p>
    <w:p w14:paraId="719F5D6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Configuration should only affect how the Fundamentals Engine interprets and combines indicator outputs. It must never modify the underlying indicator calculations.</w:t>
      </w:r>
    </w:p>
    <w:p w14:paraId="09CE12FB"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97AD1C9">
          <v:rect id="_x0000_i1761" style="width:0;height:1.5pt" o:hralign="center" o:hrstd="t" o:hr="t" fillcolor="#a0a0a0" stroked="f"/>
        </w:pict>
      </w:r>
    </w:p>
    <w:p w14:paraId="41BAD843"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2. Configuration Parameters</w:t>
      </w:r>
    </w:p>
    <w:p w14:paraId="38075B35" w14:textId="77777777" w:rsidR="002B50C2" w:rsidRPr="002B50C2" w:rsidRDefault="002B50C2" w:rsidP="002B50C2">
      <w:pPr>
        <w:spacing w:before="100" w:beforeAutospacing="1" w:after="100" w:afterAutospacing="1" w:line="240" w:lineRule="auto"/>
        <w:outlineLvl w:val="1"/>
        <w:rPr>
          <w:rFonts w:ascii="Times New Roman" w:eastAsia="Times New Roman" w:hAnsi="Times New Roman" w:cs="Times New Roman"/>
          <w:b/>
          <w:bCs/>
          <w:sz w:val="36"/>
          <w:szCs w:val="36"/>
        </w:rPr>
      </w:pPr>
      <w:r w:rsidRPr="002B50C2">
        <w:rPr>
          <w:rFonts w:ascii="Times New Roman" w:eastAsia="Times New Roman" w:hAnsi="Times New Roman" w:cs="Times New Roman"/>
          <w:b/>
          <w:bCs/>
          <w:sz w:val="36"/>
          <w:szCs w:val="36"/>
        </w:rPr>
        <w:t>Category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642"/>
      </w:tblGrid>
      <w:tr w:rsidR="002B50C2" w:rsidRPr="002B50C2" w14:paraId="255FE5DD" w14:textId="77777777" w:rsidTr="002B50C2">
        <w:trPr>
          <w:tblHeader/>
          <w:tblCellSpacing w:w="15" w:type="dxa"/>
        </w:trPr>
        <w:tc>
          <w:tcPr>
            <w:tcW w:w="0" w:type="auto"/>
            <w:vAlign w:val="center"/>
            <w:hideMark/>
          </w:tcPr>
          <w:p w14:paraId="0D42C411"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lastRenderedPageBreak/>
              <w:t>Category</w:t>
            </w:r>
          </w:p>
        </w:tc>
        <w:tc>
          <w:tcPr>
            <w:tcW w:w="0" w:type="auto"/>
            <w:vAlign w:val="center"/>
            <w:hideMark/>
          </w:tcPr>
          <w:p w14:paraId="55688269"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Default Weight</w:t>
            </w:r>
          </w:p>
        </w:tc>
      </w:tr>
      <w:tr w:rsidR="002B50C2" w:rsidRPr="002B50C2" w14:paraId="6B48A6CD" w14:textId="77777777" w:rsidTr="002B50C2">
        <w:trPr>
          <w:tblCellSpacing w:w="15" w:type="dxa"/>
        </w:trPr>
        <w:tc>
          <w:tcPr>
            <w:tcW w:w="0" w:type="auto"/>
            <w:vAlign w:val="center"/>
            <w:hideMark/>
          </w:tcPr>
          <w:p w14:paraId="6B022274"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Valuation</w:t>
            </w:r>
          </w:p>
        </w:tc>
        <w:tc>
          <w:tcPr>
            <w:tcW w:w="0" w:type="auto"/>
            <w:vAlign w:val="center"/>
            <w:hideMark/>
          </w:tcPr>
          <w:p w14:paraId="4BF0ADC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25%</w:t>
            </w:r>
          </w:p>
        </w:tc>
      </w:tr>
      <w:tr w:rsidR="002B50C2" w:rsidRPr="002B50C2" w14:paraId="700E9528" w14:textId="77777777" w:rsidTr="002B50C2">
        <w:trPr>
          <w:tblCellSpacing w:w="15" w:type="dxa"/>
        </w:trPr>
        <w:tc>
          <w:tcPr>
            <w:tcW w:w="0" w:type="auto"/>
            <w:vAlign w:val="center"/>
            <w:hideMark/>
          </w:tcPr>
          <w:p w14:paraId="5D34070C"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Growth</w:t>
            </w:r>
          </w:p>
        </w:tc>
        <w:tc>
          <w:tcPr>
            <w:tcW w:w="0" w:type="auto"/>
            <w:vAlign w:val="center"/>
            <w:hideMark/>
          </w:tcPr>
          <w:p w14:paraId="2FFF4BE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25%</w:t>
            </w:r>
          </w:p>
        </w:tc>
      </w:tr>
      <w:tr w:rsidR="002B50C2" w:rsidRPr="002B50C2" w14:paraId="3C055DA5" w14:textId="77777777" w:rsidTr="002B50C2">
        <w:trPr>
          <w:tblCellSpacing w:w="15" w:type="dxa"/>
        </w:trPr>
        <w:tc>
          <w:tcPr>
            <w:tcW w:w="0" w:type="auto"/>
            <w:vAlign w:val="center"/>
            <w:hideMark/>
          </w:tcPr>
          <w:p w14:paraId="7A7D15FD"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Profitability</w:t>
            </w:r>
          </w:p>
        </w:tc>
        <w:tc>
          <w:tcPr>
            <w:tcW w:w="0" w:type="auto"/>
            <w:vAlign w:val="center"/>
            <w:hideMark/>
          </w:tcPr>
          <w:p w14:paraId="2BC191DC"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20%</w:t>
            </w:r>
          </w:p>
        </w:tc>
      </w:tr>
      <w:tr w:rsidR="002B50C2" w:rsidRPr="002B50C2" w14:paraId="3A4793C9" w14:textId="77777777" w:rsidTr="002B50C2">
        <w:trPr>
          <w:tblCellSpacing w:w="15" w:type="dxa"/>
        </w:trPr>
        <w:tc>
          <w:tcPr>
            <w:tcW w:w="0" w:type="auto"/>
            <w:vAlign w:val="center"/>
            <w:hideMark/>
          </w:tcPr>
          <w:p w14:paraId="34E649AD"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Financial Health</w:t>
            </w:r>
          </w:p>
        </w:tc>
        <w:tc>
          <w:tcPr>
            <w:tcW w:w="0" w:type="auto"/>
            <w:vAlign w:val="center"/>
            <w:hideMark/>
          </w:tcPr>
          <w:p w14:paraId="01A5374F"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15%</w:t>
            </w:r>
          </w:p>
        </w:tc>
      </w:tr>
      <w:tr w:rsidR="002B50C2" w:rsidRPr="002B50C2" w14:paraId="3E8DE13B" w14:textId="77777777" w:rsidTr="002B50C2">
        <w:trPr>
          <w:tblCellSpacing w:w="15" w:type="dxa"/>
        </w:trPr>
        <w:tc>
          <w:tcPr>
            <w:tcW w:w="0" w:type="auto"/>
            <w:vAlign w:val="center"/>
            <w:hideMark/>
          </w:tcPr>
          <w:p w14:paraId="66FD67CD"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Market Health</w:t>
            </w:r>
          </w:p>
        </w:tc>
        <w:tc>
          <w:tcPr>
            <w:tcW w:w="0" w:type="auto"/>
            <w:vAlign w:val="center"/>
            <w:hideMark/>
          </w:tcPr>
          <w:p w14:paraId="22840A5A"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15%</w:t>
            </w:r>
          </w:p>
        </w:tc>
      </w:tr>
    </w:tbl>
    <w:p w14:paraId="640679A9"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7CEF2BF">
          <v:rect id="_x0000_i1762" style="width:0;height:1.5pt" o:hralign="center" o:hrstd="t" o:hr="t" fillcolor="#a0a0a0" stroked="f"/>
        </w:pict>
      </w:r>
    </w:p>
    <w:p w14:paraId="67763171" w14:textId="77777777" w:rsidR="002B50C2" w:rsidRPr="002B50C2" w:rsidRDefault="002B50C2" w:rsidP="002B50C2">
      <w:pPr>
        <w:spacing w:before="100" w:beforeAutospacing="1" w:after="100" w:afterAutospacing="1" w:line="240" w:lineRule="auto"/>
        <w:outlineLvl w:val="1"/>
        <w:rPr>
          <w:rFonts w:ascii="Times New Roman" w:eastAsia="Times New Roman" w:hAnsi="Times New Roman" w:cs="Times New Roman"/>
          <w:b/>
          <w:bCs/>
          <w:sz w:val="36"/>
          <w:szCs w:val="36"/>
        </w:rPr>
      </w:pPr>
      <w:r w:rsidRPr="002B50C2">
        <w:rPr>
          <w:rFonts w:ascii="Times New Roman" w:eastAsia="Times New Roman" w:hAnsi="Times New Roman" w:cs="Times New Roman"/>
          <w:b/>
          <w:bCs/>
          <w:sz w:val="36"/>
          <w:szCs w:val="36"/>
        </w:rPr>
        <w:t>Indicator Weights</w:t>
      </w:r>
    </w:p>
    <w:p w14:paraId="3C53AF3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All indicators inherit equal weight within their category by default.</w:t>
      </w:r>
    </w:p>
    <w:p w14:paraId="7175B1C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Support custom weighting in future versions.</w:t>
      </w:r>
    </w:p>
    <w:p w14:paraId="4B325FEF"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3943645A">
          <v:rect id="_x0000_i1763" style="width:0;height:1.5pt" o:hralign="center" o:hrstd="t" o:hr="t" fillcolor="#a0a0a0" stroked="f"/>
        </w:pict>
      </w:r>
    </w:p>
    <w:p w14:paraId="66972DA9" w14:textId="77777777" w:rsidR="002B50C2" w:rsidRPr="002B50C2" w:rsidRDefault="002B50C2" w:rsidP="002B50C2">
      <w:pPr>
        <w:spacing w:before="100" w:beforeAutospacing="1" w:after="100" w:afterAutospacing="1" w:line="240" w:lineRule="auto"/>
        <w:outlineLvl w:val="1"/>
        <w:rPr>
          <w:rFonts w:ascii="Times New Roman" w:eastAsia="Times New Roman" w:hAnsi="Times New Roman" w:cs="Times New Roman"/>
          <w:b/>
          <w:bCs/>
          <w:sz w:val="36"/>
          <w:szCs w:val="36"/>
        </w:rPr>
      </w:pPr>
      <w:r w:rsidRPr="002B50C2">
        <w:rPr>
          <w:rFonts w:ascii="Times New Roman" w:eastAsia="Times New Roman" w:hAnsi="Times New Roman" w:cs="Times New Roman"/>
          <w:b/>
          <w:bCs/>
          <w:sz w:val="36"/>
          <w:szCs w:val="36"/>
        </w:rPr>
        <w:t>Score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509"/>
      </w:tblGrid>
      <w:tr w:rsidR="002B50C2" w:rsidRPr="002B50C2" w14:paraId="0DEBEFED" w14:textId="77777777" w:rsidTr="002B50C2">
        <w:trPr>
          <w:tblHeader/>
          <w:tblCellSpacing w:w="15" w:type="dxa"/>
        </w:trPr>
        <w:tc>
          <w:tcPr>
            <w:tcW w:w="0" w:type="auto"/>
            <w:vAlign w:val="center"/>
            <w:hideMark/>
          </w:tcPr>
          <w:p w14:paraId="50BFA46E"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Score</w:t>
            </w:r>
          </w:p>
        </w:tc>
        <w:tc>
          <w:tcPr>
            <w:tcW w:w="0" w:type="auto"/>
            <w:vAlign w:val="center"/>
            <w:hideMark/>
          </w:tcPr>
          <w:p w14:paraId="6313E959"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Bias</w:t>
            </w:r>
          </w:p>
        </w:tc>
      </w:tr>
      <w:tr w:rsidR="002B50C2" w:rsidRPr="002B50C2" w14:paraId="37029DD9" w14:textId="77777777" w:rsidTr="002B50C2">
        <w:trPr>
          <w:tblCellSpacing w:w="15" w:type="dxa"/>
        </w:trPr>
        <w:tc>
          <w:tcPr>
            <w:tcW w:w="0" w:type="auto"/>
            <w:vAlign w:val="center"/>
            <w:hideMark/>
          </w:tcPr>
          <w:p w14:paraId="2F5FFC7D"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90–100</w:t>
            </w:r>
          </w:p>
        </w:tc>
        <w:tc>
          <w:tcPr>
            <w:tcW w:w="0" w:type="auto"/>
            <w:vAlign w:val="center"/>
            <w:hideMark/>
          </w:tcPr>
          <w:p w14:paraId="10661364"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Strong Bullish</w:t>
            </w:r>
          </w:p>
        </w:tc>
      </w:tr>
      <w:tr w:rsidR="002B50C2" w:rsidRPr="002B50C2" w14:paraId="18DA90C3" w14:textId="77777777" w:rsidTr="002B50C2">
        <w:trPr>
          <w:tblCellSpacing w:w="15" w:type="dxa"/>
        </w:trPr>
        <w:tc>
          <w:tcPr>
            <w:tcW w:w="0" w:type="auto"/>
            <w:vAlign w:val="center"/>
            <w:hideMark/>
          </w:tcPr>
          <w:p w14:paraId="7A6E6259"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75–89</w:t>
            </w:r>
          </w:p>
        </w:tc>
        <w:tc>
          <w:tcPr>
            <w:tcW w:w="0" w:type="auto"/>
            <w:vAlign w:val="center"/>
            <w:hideMark/>
          </w:tcPr>
          <w:p w14:paraId="77BFEC5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Bullish</w:t>
            </w:r>
          </w:p>
        </w:tc>
      </w:tr>
      <w:tr w:rsidR="002B50C2" w:rsidRPr="002B50C2" w14:paraId="49D26AFA" w14:textId="77777777" w:rsidTr="002B50C2">
        <w:trPr>
          <w:tblCellSpacing w:w="15" w:type="dxa"/>
        </w:trPr>
        <w:tc>
          <w:tcPr>
            <w:tcW w:w="0" w:type="auto"/>
            <w:vAlign w:val="center"/>
            <w:hideMark/>
          </w:tcPr>
          <w:p w14:paraId="13F0438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55–74</w:t>
            </w:r>
          </w:p>
        </w:tc>
        <w:tc>
          <w:tcPr>
            <w:tcW w:w="0" w:type="auto"/>
            <w:vAlign w:val="center"/>
            <w:hideMark/>
          </w:tcPr>
          <w:p w14:paraId="035AB4B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Neutral</w:t>
            </w:r>
          </w:p>
        </w:tc>
      </w:tr>
      <w:tr w:rsidR="002B50C2" w:rsidRPr="002B50C2" w14:paraId="75765F02" w14:textId="77777777" w:rsidTr="002B50C2">
        <w:trPr>
          <w:tblCellSpacing w:w="15" w:type="dxa"/>
        </w:trPr>
        <w:tc>
          <w:tcPr>
            <w:tcW w:w="0" w:type="auto"/>
            <w:vAlign w:val="center"/>
            <w:hideMark/>
          </w:tcPr>
          <w:p w14:paraId="285EC4A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35–54</w:t>
            </w:r>
          </w:p>
        </w:tc>
        <w:tc>
          <w:tcPr>
            <w:tcW w:w="0" w:type="auto"/>
            <w:vAlign w:val="center"/>
            <w:hideMark/>
          </w:tcPr>
          <w:p w14:paraId="56AAE74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Bearish</w:t>
            </w:r>
          </w:p>
        </w:tc>
      </w:tr>
      <w:tr w:rsidR="002B50C2" w:rsidRPr="002B50C2" w14:paraId="150717D5" w14:textId="77777777" w:rsidTr="002B50C2">
        <w:trPr>
          <w:tblCellSpacing w:w="15" w:type="dxa"/>
        </w:trPr>
        <w:tc>
          <w:tcPr>
            <w:tcW w:w="0" w:type="auto"/>
            <w:vAlign w:val="center"/>
            <w:hideMark/>
          </w:tcPr>
          <w:p w14:paraId="5927CAFB"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0–34</w:t>
            </w:r>
          </w:p>
        </w:tc>
        <w:tc>
          <w:tcPr>
            <w:tcW w:w="0" w:type="auto"/>
            <w:vAlign w:val="center"/>
            <w:hideMark/>
          </w:tcPr>
          <w:p w14:paraId="66A2F7B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Strong Bearish</w:t>
            </w:r>
          </w:p>
        </w:tc>
      </w:tr>
    </w:tbl>
    <w:p w14:paraId="4C29F7C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696D97CD">
          <v:rect id="_x0000_i1764" style="width:0;height:1.5pt" o:hralign="center" o:hrstd="t" o:hr="t" fillcolor="#a0a0a0" stroked="f"/>
        </w:pict>
      </w:r>
    </w:p>
    <w:p w14:paraId="01129BDB" w14:textId="77777777" w:rsidR="002B50C2" w:rsidRPr="002B50C2" w:rsidRDefault="002B50C2" w:rsidP="002B50C2">
      <w:pPr>
        <w:spacing w:before="100" w:beforeAutospacing="1" w:after="100" w:afterAutospacing="1" w:line="240" w:lineRule="auto"/>
        <w:outlineLvl w:val="1"/>
        <w:rPr>
          <w:rFonts w:ascii="Times New Roman" w:eastAsia="Times New Roman" w:hAnsi="Times New Roman" w:cs="Times New Roman"/>
          <w:b/>
          <w:bCs/>
          <w:sz w:val="36"/>
          <w:szCs w:val="36"/>
        </w:rPr>
      </w:pPr>
      <w:r w:rsidRPr="002B50C2">
        <w:rPr>
          <w:rFonts w:ascii="Times New Roman" w:eastAsia="Times New Roman" w:hAnsi="Times New Roman" w:cs="Times New Roman"/>
          <w:b/>
          <w:bCs/>
          <w:sz w:val="36"/>
          <w:szCs w:val="36"/>
        </w:rPr>
        <w:t>Confidence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889"/>
      </w:tblGrid>
      <w:tr w:rsidR="002B50C2" w:rsidRPr="002B50C2" w14:paraId="2968E4A0" w14:textId="77777777" w:rsidTr="002B50C2">
        <w:trPr>
          <w:tblHeader/>
          <w:tblCellSpacing w:w="15" w:type="dxa"/>
        </w:trPr>
        <w:tc>
          <w:tcPr>
            <w:tcW w:w="0" w:type="auto"/>
            <w:vAlign w:val="center"/>
            <w:hideMark/>
          </w:tcPr>
          <w:p w14:paraId="41F1D3E2"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Confidence</w:t>
            </w:r>
          </w:p>
        </w:tc>
        <w:tc>
          <w:tcPr>
            <w:tcW w:w="0" w:type="auto"/>
            <w:vAlign w:val="center"/>
            <w:hideMark/>
          </w:tcPr>
          <w:p w14:paraId="755A6F33"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Status</w:t>
            </w:r>
          </w:p>
        </w:tc>
      </w:tr>
      <w:tr w:rsidR="002B50C2" w:rsidRPr="002B50C2" w14:paraId="50E1468C" w14:textId="77777777" w:rsidTr="002B50C2">
        <w:trPr>
          <w:tblCellSpacing w:w="15" w:type="dxa"/>
        </w:trPr>
        <w:tc>
          <w:tcPr>
            <w:tcW w:w="0" w:type="auto"/>
            <w:vAlign w:val="center"/>
            <w:hideMark/>
          </w:tcPr>
          <w:p w14:paraId="3817939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&gt;80%</w:t>
            </w:r>
          </w:p>
        </w:tc>
        <w:tc>
          <w:tcPr>
            <w:tcW w:w="0" w:type="auto"/>
            <w:vAlign w:val="center"/>
            <w:hideMark/>
          </w:tcPr>
          <w:p w14:paraId="7B85A39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High</w:t>
            </w:r>
          </w:p>
        </w:tc>
      </w:tr>
      <w:tr w:rsidR="002B50C2" w:rsidRPr="002B50C2" w14:paraId="0D1D2C04" w14:textId="77777777" w:rsidTr="002B50C2">
        <w:trPr>
          <w:tblCellSpacing w:w="15" w:type="dxa"/>
        </w:trPr>
        <w:tc>
          <w:tcPr>
            <w:tcW w:w="0" w:type="auto"/>
            <w:vAlign w:val="center"/>
            <w:hideMark/>
          </w:tcPr>
          <w:p w14:paraId="6D5C4458"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60–80%</w:t>
            </w:r>
          </w:p>
        </w:tc>
        <w:tc>
          <w:tcPr>
            <w:tcW w:w="0" w:type="auto"/>
            <w:vAlign w:val="center"/>
            <w:hideMark/>
          </w:tcPr>
          <w:p w14:paraId="07B6DBDC"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Medium</w:t>
            </w:r>
          </w:p>
        </w:tc>
      </w:tr>
      <w:tr w:rsidR="002B50C2" w:rsidRPr="002B50C2" w14:paraId="5E34E8A9" w14:textId="77777777" w:rsidTr="002B50C2">
        <w:trPr>
          <w:tblCellSpacing w:w="15" w:type="dxa"/>
        </w:trPr>
        <w:tc>
          <w:tcPr>
            <w:tcW w:w="0" w:type="auto"/>
            <w:vAlign w:val="center"/>
            <w:hideMark/>
          </w:tcPr>
          <w:p w14:paraId="332E458F"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&lt;60%</w:t>
            </w:r>
          </w:p>
        </w:tc>
        <w:tc>
          <w:tcPr>
            <w:tcW w:w="0" w:type="auto"/>
            <w:vAlign w:val="center"/>
            <w:hideMark/>
          </w:tcPr>
          <w:p w14:paraId="112F49F5"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Low</w:t>
            </w:r>
          </w:p>
        </w:tc>
      </w:tr>
    </w:tbl>
    <w:p w14:paraId="2ECE7F2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2C657BC6">
          <v:rect id="_x0000_i1765" style="width:0;height:1.5pt" o:hralign="center" o:hrstd="t" o:hr="t" fillcolor="#a0a0a0" stroked="f"/>
        </w:pict>
      </w:r>
    </w:p>
    <w:p w14:paraId="42EFBF66"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3. Engine Settings</w:t>
      </w:r>
    </w:p>
    <w:p w14:paraId="028E7E8E"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Missing Data</w:t>
      </w:r>
    </w:p>
    <w:p w14:paraId="2F99C08A" w14:textId="77777777" w:rsidR="002B50C2" w:rsidRPr="002B50C2" w:rsidRDefault="002B50C2" w:rsidP="002B50C2">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Ignore unavailable indicators. </w:t>
      </w:r>
    </w:p>
    <w:p w14:paraId="387C3565" w14:textId="77777777" w:rsidR="002B50C2" w:rsidRPr="002B50C2" w:rsidRDefault="002B50C2" w:rsidP="002B50C2">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Normalize category weights automatically. </w:t>
      </w:r>
    </w:p>
    <w:p w14:paraId="10192435" w14:textId="77777777" w:rsidR="002B50C2" w:rsidRPr="002B50C2" w:rsidRDefault="002B50C2" w:rsidP="002B50C2">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t xml:space="preserve">Do not assign zero scores for missing data. </w:t>
      </w:r>
    </w:p>
    <w:p w14:paraId="2F8EC7CB"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Historical Data</w:t>
      </w:r>
    </w:p>
    <w:p w14:paraId="1393759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Default:</w:t>
      </w:r>
    </w:p>
    <w:p w14:paraId="1B13CAB9" w14:textId="77777777" w:rsidR="002B50C2" w:rsidRPr="002B50C2" w:rsidRDefault="002B50C2" w:rsidP="002B50C2">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Quarterly indicators → Last 8 reports </w:t>
      </w:r>
    </w:p>
    <w:p w14:paraId="6154E802" w14:textId="77777777" w:rsidR="002B50C2" w:rsidRPr="002B50C2" w:rsidRDefault="002B50C2" w:rsidP="002B50C2">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Market indicators → 30 observations </w:t>
      </w:r>
    </w:p>
    <w:p w14:paraId="11557589" w14:textId="77777777" w:rsidR="002B50C2" w:rsidRPr="002B50C2" w:rsidRDefault="002B50C2" w:rsidP="002B50C2">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Long-term valuation → 5 years </w:t>
      </w:r>
    </w:p>
    <w:p w14:paraId="168AD65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4C4A2EC6">
          <v:rect id="_x0000_i1766" style="width:0;height:1.5pt" o:hralign="center" o:hrstd="t" o:hr="t" fillcolor="#a0a0a0" stroked="f"/>
        </w:pict>
      </w:r>
    </w:p>
    <w:p w14:paraId="674CE18D"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4. Update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2048"/>
      </w:tblGrid>
      <w:tr w:rsidR="002B50C2" w:rsidRPr="002B50C2" w14:paraId="6B5A1B8A" w14:textId="77777777" w:rsidTr="002B50C2">
        <w:trPr>
          <w:tblHeader/>
          <w:tblCellSpacing w:w="15" w:type="dxa"/>
        </w:trPr>
        <w:tc>
          <w:tcPr>
            <w:tcW w:w="0" w:type="auto"/>
            <w:vAlign w:val="center"/>
            <w:hideMark/>
          </w:tcPr>
          <w:p w14:paraId="0B75CF4B"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Component</w:t>
            </w:r>
          </w:p>
        </w:tc>
        <w:tc>
          <w:tcPr>
            <w:tcW w:w="0" w:type="auto"/>
            <w:vAlign w:val="center"/>
            <w:hideMark/>
          </w:tcPr>
          <w:p w14:paraId="419E2765" w14:textId="77777777" w:rsidR="002B50C2" w:rsidRPr="002B50C2" w:rsidRDefault="002B50C2" w:rsidP="002B50C2">
            <w:pPr>
              <w:spacing w:after="0" w:line="240" w:lineRule="auto"/>
              <w:jc w:val="center"/>
              <w:rPr>
                <w:rFonts w:ascii="Times New Roman" w:eastAsia="Times New Roman" w:hAnsi="Times New Roman" w:cs="Times New Roman"/>
                <w:b/>
                <w:bCs/>
                <w:sz w:val="24"/>
                <w:szCs w:val="24"/>
              </w:rPr>
            </w:pPr>
            <w:r w:rsidRPr="002B50C2">
              <w:rPr>
                <w:rFonts w:ascii="Times New Roman" w:eastAsia="Times New Roman" w:hAnsi="Times New Roman" w:cs="Times New Roman"/>
                <w:b/>
                <w:bCs/>
                <w:sz w:val="24"/>
                <w:szCs w:val="24"/>
              </w:rPr>
              <w:t>Update Frequency</w:t>
            </w:r>
          </w:p>
        </w:tc>
      </w:tr>
      <w:tr w:rsidR="002B50C2" w:rsidRPr="002B50C2" w14:paraId="433DE0A1" w14:textId="77777777" w:rsidTr="002B50C2">
        <w:trPr>
          <w:tblCellSpacing w:w="15" w:type="dxa"/>
        </w:trPr>
        <w:tc>
          <w:tcPr>
            <w:tcW w:w="0" w:type="auto"/>
            <w:vAlign w:val="center"/>
            <w:hideMark/>
          </w:tcPr>
          <w:p w14:paraId="7ADF72C4"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Quarterly Financial Indicators</w:t>
            </w:r>
          </w:p>
        </w:tc>
        <w:tc>
          <w:tcPr>
            <w:tcW w:w="0" w:type="auto"/>
            <w:vAlign w:val="center"/>
            <w:hideMark/>
          </w:tcPr>
          <w:p w14:paraId="6942D04C"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Quarterly</w:t>
            </w:r>
          </w:p>
        </w:tc>
      </w:tr>
      <w:tr w:rsidR="002B50C2" w:rsidRPr="002B50C2" w14:paraId="74FD4AC0" w14:textId="77777777" w:rsidTr="002B50C2">
        <w:trPr>
          <w:tblCellSpacing w:w="15" w:type="dxa"/>
        </w:trPr>
        <w:tc>
          <w:tcPr>
            <w:tcW w:w="0" w:type="auto"/>
            <w:vAlign w:val="center"/>
            <w:hideMark/>
          </w:tcPr>
          <w:p w14:paraId="37DF6558"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GDP Growth</w:t>
            </w:r>
          </w:p>
        </w:tc>
        <w:tc>
          <w:tcPr>
            <w:tcW w:w="0" w:type="auto"/>
            <w:vAlign w:val="center"/>
            <w:hideMark/>
          </w:tcPr>
          <w:p w14:paraId="103FA72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Quarterly</w:t>
            </w:r>
          </w:p>
        </w:tc>
      </w:tr>
      <w:tr w:rsidR="002B50C2" w:rsidRPr="002B50C2" w14:paraId="694B8FE3" w14:textId="77777777" w:rsidTr="002B50C2">
        <w:trPr>
          <w:tblCellSpacing w:w="15" w:type="dxa"/>
        </w:trPr>
        <w:tc>
          <w:tcPr>
            <w:tcW w:w="0" w:type="auto"/>
            <w:vAlign w:val="center"/>
            <w:hideMark/>
          </w:tcPr>
          <w:p w14:paraId="3429AD0C"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FII/DII Flow</w:t>
            </w:r>
          </w:p>
        </w:tc>
        <w:tc>
          <w:tcPr>
            <w:tcW w:w="0" w:type="auto"/>
            <w:vAlign w:val="center"/>
            <w:hideMark/>
          </w:tcPr>
          <w:p w14:paraId="3DE08498"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Daily</w:t>
            </w:r>
          </w:p>
        </w:tc>
      </w:tr>
      <w:tr w:rsidR="002B50C2" w:rsidRPr="002B50C2" w14:paraId="1CE63EE8" w14:textId="77777777" w:rsidTr="002B50C2">
        <w:trPr>
          <w:tblCellSpacing w:w="15" w:type="dxa"/>
        </w:trPr>
        <w:tc>
          <w:tcPr>
            <w:tcW w:w="0" w:type="auto"/>
            <w:vAlign w:val="center"/>
            <w:hideMark/>
          </w:tcPr>
          <w:p w14:paraId="12DBDB0C"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Market Cap to GDP</w:t>
            </w:r>
          </w:p>
        </w:tc>
        <w:tc>
          <w:tcPr>
            <w:tcW w:w="0" w:type="auto"/>
            <w:vAlign w:val="center"/>
            <w:hideMark/>
          </w:tcPr>
          <w:p w14:paraId="176F1E3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Quarterly</w:t>
            </w:r>
          </w:p>
        </w:tc>
      </w:tr>
      <w:tr w:rsidR="002B50C2" w:rsidRPr="002B50C2" w14:paraId="1583FC0E" w14:textId="77777777" w:rsidTr="002B50C2">
        <w:trPr>
          <w:tblCellSpacing w:w="15" w:type="dxa"/>
        </w:trPr>
        <w:tc>
          <w:tcPr>
            <w:tcW w:w="0" w:type="auto"/>
            <w:vAlign w:val="center"/>
            <w:hideMark/>
          </w:tcPr>
          <w:p w14:paraId="4807FC7C"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Dividend Yield</w:t>
            </w:r>
          </w:p>
        </w:tc>
        <w:tc>
          <w:tcPr>
            <w:tcW w:w="0" w:type="auto"/>
            <w:vAlign w:val="center"/>
            <w:hideMark/>
          </w:tcPr>
          <w:p w14:paraId="756DEF58"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Corporate Action</w:t>
            </w:r>
          </w:p>
        </w:tc>
      </w:tr>
      <w:tr w:rsidR="002B50C2" w:rsidRPr="002B50C2" w14:paraId="582DE832" w14:textId="77777777" w:rsidTr="002B50C2">
        <w:trPr>
          <w:tblCellSpacing w:w="15" w:type="dxa"/>
        </w:trPr>
        <w:tc>
          <w:tcPr>
            <w:tcW w:w="0" w:type="auto"/>
            <w:vAlign w:val="center"/>
            <w:hideMark/>
          </w:tcPr>
          <w:p w14:paraId="03696CF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Score</w:t>
            </w:r>
          </w:p>
        </w:tc>
        <w:tc>
          <w:tcPr>
            <w:tcW w:w="0" w:type="auto"/>
            <w:vAlign w:val="center"/>
            <w:hideMark/>
          </w:tcPr>
          <w:p w14:paraId="7E853AC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On Indicator Update</w:t>
            </w:r>
          </w:p>
        </w:tc>
      </w:tr>
      <w:tr w:rsidR="002B50C2" w:rsidRPr="002B50C2" w14:paraId="7FBA32C2" w14:textId="77777777" w:rsidTr="002B50C2">
        <w:trPr>
          <w:tblCellSpacing w:w="15" w:type="dxa"/>
        </w:trPr>
        <w:tc>
          <w:tcPr>
            <w:tcW w:w="0" w:type="auto"/>
            <w:vAlign w:val="center"/>
            <w:hideMark/>
          </w:tcPr>
          <w:p w14:paraId="7431ADA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Dashboard Card</w:t>
            </w:r>
          </w:p>
        </w:tc>
        <w:tc>
          <w:tcPr>
            <w:tcW w:w="0" w:type="auto"/>
            <w:vAlign w:val="center"/>
            <w:hideMark/>
          </w:tcPr>
          <w:p w14:paraId="30DF4080"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On Score Update</w:t>
            </w:r>
          </w:p>
        </w:tc>
      </w:tr>
      <w:tr w:rsidR="002B50C2" w:rsidRPr="002B50C2" w14:paraId="5B3522A5" w14:textId="77777777" w:rsidTr="002B50C2">
        <w:trPr>
          <w:tblCellSpacing w:w="15" w:type="dxa"/>
        </w:trPr>
        <w:tc>
          <w:tcPr>
            <w:tcW w:w="0" w:type="auto"/>
            <w:vAlign w:val="center"/>
            <w:hideMark/>
          </w:tcPr>
          <w:p w14:paraId="253A288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AI Summary</w:t>
            </w:r>
          </w:p>
        </w:tc>
        <w:tc>
          <w:tcPr>
            <w:tcW w:w="0" w:type="auto"/>
            <w:vAlign w:val="center"/>
            <w:hideMark/>
          </w:tcPr>
          <w:p w14:paraId="433173D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On Score Update</w:t>
            </w:r>
          </w:p>
        </w:tc>
      </w:tr>
    </w:tbl>
    <w:p w14:paraId="207EE83D"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4F14595">
          <v:rect id="_x0000_i1767" style="width:0;height:1.5pt" o:hralign="center" o:hrstd="t" o:hr="t" fillcolor="#a0a0a0" stroked="f"/>
        </w:pict>
      </w:r>
    </w:p>
    <w:p w14:paraId="3FA02CE6"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5. Manual Mode</w:t>
      </w:r>
    </w:p>
    <w:p w14:paraId="7EE74AF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Support manual input for:</w:t>
      </w:r>
    </w:p>
    <w:p w14:paraId="0A34F181" w14:textId="77777777" w:rsidR="002B50C2" w:rsidRPr="002B50C2" w:rsidRDefault="002B50C2" w:rsidP="002B50C2">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PE Ratio </w:t>
      </w:r>
    </w:p>
    <w:p w14:paraId="2C21A5D3" w14:textId="77777777" w:rsidR="002B50C2" w:rsidRPr="002B50C2" w:rsidRDefault="002B50C2" w:rsidP="002B50C2">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Forward PE </w:t>
      </w:r>
    </w:p>
    <w:p w14:paraId="21E35FD4" w14:textId="77777777" w:rsidR="002B50C2" w:rsidRPr="002B50C2" w:rsidRDefault="002B50C2" w:rsidP="002B50C2">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PB Ratio </w:t>
      </w:r>
    </w:p>
    <w:p w14:paraId="2AE00921" w14:textId="77777777" w:rsidR="002B50C2" w:rsidRPr="002B50C2" w:rsidRDefault="002B50C2" w:rsidP="002B50C2">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Earnings Yield </w:t>
      </w:r>
    </w:p>
    <w:p w14:paraId="6FCB0AE8" w14:textId="77777777" w:rsidR="002B50C2" w:rsidRPr="002B50C2" w:rsidRDefault="002B50C2" w:rsidP="002B50C2">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GDP Growth </w:t>
      </w:r>
    </w:p>
    <w:p w14:paraId="5B6E50E7" w14:textId="77777777" w:rsidR="002B50C2" w:rsidRPr="002B50C2" w:rsidRDefault="002B50C2" w:rsidP="002B50C2">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Market Cap to GDP </w:t>
      </w:r>
    </w:p>
    <w:p w14:paraId="32229A0A" w14:textId="77777777" w:rsidR="002B50C2" w:rsidRPr="002B50C2" w:rsidRDefault="002B50C2" w:rsidP="002B50C2">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Dividend Yield </w:t>
      </w:r>
    </w:p>
    <w:p w14:paraId="747C4F97" w14:textId="77777777" w:rsidR="002B50C2" w:rsidRPr="002B50C2" w:rsidRDefault="002B50C2" w:rsidP="002B50C2">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FII/DII Flow </w:t>
      </w:r>
    </w:p>
    <w:p w14:paraId="60064B8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Manual values should:</w:t>
      </w:r>
    </w:p>
    <w:p w14:paraId="6C8BE3F0" w14:textId="77777777" w:rsidR="002B50C2" w:rsidRPr="002B50C2" w:rsidRDefault="002B50C2" w:rsidP="002B50C2">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Override automatic values. </w:t>
      </w:r>
    </w:p>
    <w:p w14:paraId="4DB457FC" w14:textId="77777777" w:rsidR="002B50C2" w:rsidRPr="002B50C2" w:rsidRDefault="002B50C2" w:rsidP="002B50C2">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Record update timestamp. </w:t>
      </w:r>
    </w:p>
    <w:p w14:paraId="1AA04AAC" w14:textId="77777777" w:rsidR="002B50C2" w:rsidRPr="002B50C2" w:rsidRDefault="002B50C2" w:rsidP="002B50C2">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t xml:space="preserve">Record data source. </w:t>
      </w:r>
    </w:p>
    <w:p w14:paraId="125D6016" w14:textId="77777777" w:rsidR="002B50C2" w:rsidRPr="002B50C2" w:rsidRDefault="002B50C2" w:rsidP="002B50C2">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Trigger Fundamentals Engine recalculation. </w:t>
      </w:r>
    </w:p>
    <w:p w14:paraId="233BD6EE"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4707554C">
          <v:rect id="_x0000_i1768" style="width:0;height:1.5pt" o:hralign="center" o:hrstd="t" o:hr="t" fillcolor="#a0a0a0" stroked="f"/>
        </w:pict>
      </w:r>
    </w:p>
    <w:p w14:paraId="49B11F02"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6. Future Auto Mode (V2)</w:t>
      </w:r>
    </w:p>
    <w:p w14:paraId="2AFF728F"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Support automatic data retrieval through:</w:t>
      </w:r>
    </w:p>
    <w:p w14:paraId="24DAA1D5" w14:textId="77777777" w:rsidR="002B50C2" w:rsidRPr="002B50C2" w:rsidRDefault="002B50C2" w:rsidP="002B50C2">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NSE APIs </w:t>
      </w:r>
    </w:p>
    <w:p w14:paraId="727F1F99" w14:textId="77777777" w:rsidR="002B50C2" w:rsidRPr="002B50C2" w:rsidRDefault="002B50C2" w:rsidP="002B50C2">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Upstox API </w:t>
      </w:r>
    </w:p>
    <w:p w14:paraId="11EC2BC4" w14:textId="77777777" w:rsidR="002B50C2" w:rsidRPr="002B50C2" w:rsidRDefault="002B50C2" w:rsidP="002B50C2">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Company Financial APIs </w:t>
      </w:r>
    </w:p>
    <w:p w14:paraId="2C57C95C" w14:textId="77777777" w:rsidR="002B50C2" w:rsidRPr="002B50C2" w:rsidRDefault="002B50C2" w:rsidP="002B50C2">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RBI Data </w:t>
      </w:r>
    </w:p>
    <w:p w14:paraId="3ED48904" w14:textId="77777777" w:rsidR="002B50C2" w:rsidRPr="002B50C2" w:rsidRDefault="002B50C2" w:rsidP="002B50C2">
      <w:pPr>
        <w:numPr>
          <w:ilvl w:val="0"/>
          <w:numId w:val="308"/>
        </w:numPr>
        <w:spacing w:before="100" w:beforeAutospacing="1" w:after="100" w:afterAutospacing="1" w:line="240" w:lineRule="auto"/>
        <w:rPr>
          <w:rFonts w:ascii="Times New Roman" w:eastAsia="Times New Roman" w:hAnsi="Times New Roman" w:cs="Times New Roman"/>
          <w:sz w:val="24"/>
          <w:szCs w:val="24"/>
        </w:rPr>
      </w:pPr>
      <w:proofErr w:type="spellStart"/>
      <w:r w:rsidRPr="002B50C2">
        <w:rPr>
          <w:rFonts w:ascii="Times New Roman" w:eastAsia="Times New Roman" w:hAnsi="Times New Roman" w:cs="Times New Roman"/>
          <w:sz w:val="24"/>
          <w:szCs w:val="24"/>
        </w:rPr>
        <w:t>MoSPI</w:t>
      </w:r>
      <w:proofErr w:type="spellEnd"/>
      <w:r w:rsidRPr="002B50C2">
        <w:rPr>
          <w:rFonts w:ascii="Times New Roman" w:eastAsia="Times New Roman" w:hAnsi="Times New Roman" w:cs="Times New Roman"/>
          <w:sz w:val="24"/>
          <w:szCs w:val="24"/>
        </w:rPr>
        <w:t xml:space="preserve"> Data </w:t>
      </w:r>
    </w:p>
    <w:p w14:paraId="7A9939F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Manual override should remain available.</w:t>
      </w:r>
    </w:p>
    <w:p w14:paraId="6350A412"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7F601B39">
          <v:rect id="_x0000_i1769" style="width:0;height:1.5pt" o:hralign="center" o:hrstd="t" o:hr="t" fillcolor="#a0a0a0" stroked="f"/>
        </w:pict>
      </w:r>
    </w:p>
    <w:p w14:paraId="27B3385B"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7. Score Configuration</w:t>
      </w:r>
    </w:p>
    <w:p w14:paraId="2185D18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Support configurable:</w:t>
      </w:r>
    </w:p>
    <w:p w14:paraId="25C3F30C" w14:textId="77777777" w:rsidR="002B50C2" w:rsidRPr="002B50C2" w:rsidRDefault="002B50C2" w:rsidP="002B50C2">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Category weights </w:t>
      </w:r>
    </w:p>
    <w:p w14:paraId="694FE661" w14:textId="77777777" w:rsidR="002B50C2" w:rsidRPr="002B50C2" w:rsidRDefault="002B50C2" w:rsidP="002B50C2">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Indicator weights </w:t>
      </w:r>
    </w:p>
    <w:p w14:paraId="3945FAF8" w14:textId="77777777" w:rsidR="002B50C2" w:rsidRPr="002B50C2" w:rsidRDefault="002B50C2" w:rsidP="002B50C2">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Bias thresholds </w:t>
      </w:r>
    </w:p>
    <w:p w14:paraId="4CB9CCDE" w14:textId="77777777" w:rsidR="002B50C2" w:rsidRPr="002B50C2" w:rsidRDefault="002B50C2" w:rsidP="002B50C2">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thresholds </w:t>
      </w:r>
    </w:p>
    <w:p w14:paraId="0EF5332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Changes should immediately recalculate the Fundamentals Score.</w:t>
      </w:r>
    </w:p>
    <w:p w14:paraId="6FB7EBC1"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25015903">
          <v:rect id="_x0000_i1770" style="width:0;height:1.5pt" o:hralign="center" o:hrstd="t" o:hr="t" fillcolor="#a0a0a0" stroked="f"/>
        </w:pict>
      </w:r>
    </w:p>
    <w:p w14:paraId="7DDC38BB"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8. Dashboard Configuration</w:t>
      </w:r>
    </w:p>
    <w:p w14:paraId="0479544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Allow enabling or disabling:</w:t>
      </w:r>
    </w:p>
    <w:p w14:paraId="3DA1C788" w14:textId="77777777" w:rsidR="002B50C2" w:rsidRPr="002B50C2" w:rsidRDefault="002B50C2" w:rsidP="002B50C2">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AI Summary </w:t>
      </w:r>
    </w:p>
    <w:p w14:paraId="027093A9" w14:textId="77777777" w:rsidR="002B50C2" w:rsidRPr="002B50C2" w:rsidRDefault="002B50C2" w:rsidP="002B50C2">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Trend Chart </w:t>
      </w:r>
    </w:p>
    <w:p w14:paraId="33DD7969" w14:textId="77777777" w:rsidR="002B50C2" w:rsidRPr="002B50C2" w:rsidRDefault="002B50C2" w:rsidP="002B50C2">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Category Breakdown </w:t>
      </w:r>
    </w:p>
    <w:p w14:paraId="528781C5" w14:textId="77777777" w:rsidR="002B50C2" w:rsidRPr="002B50C2" w:rsidRDefault="002B50C2" w:rsidP="002B50C2">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Display </w:t>
      </w:r>
    </w:p>
    <w:p w14:paraId="338A3E21" w14:textId="77777777" w:rsidR="002B50C2" w:rsidRPr="002B50C2" w:rsidRDefault="002B50C2" w:rsidP="002B50C2">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Supporting Indicators </w:t>
      </w:r>
    </w:p>
    <w:p w14:paraId="597E507A" w14:textId="77777777" w:rsidR="002B50C2" w:rsidRPr="002B50C2" w:rsidRDefault="002B50C2" w:rsidP="002B50C2">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Metadata </w:t>
      </w:r>
    </w:p>
    <w:p w14:paraId="5DE24604"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pict w14:anchorId="3FC092F2">
          <v:rect id="_x0000_i1771" style="width:0;height:1.5pt" o:hralign="center" o:hrstd="t" o:hr="t" fillcolor="#a0a0a0" stroked="f"/>
        </w:pict>
      </w:r>
    </w:p>
    <w:p w14:paraId="4CA4DE4B"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9. AI Configuration</w:t>
      </w:r>
    </w:p>
    <w:p w14:paraId="6BF0D117"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Allow configuration of:</w:t>
      </w:r>
    </w:p>
    <w:p w14:paraId="10924423" w14:textId="77777777" w:rsidR="002B50C2" w:rsidRPr="002B50C2" w:rsidRDefault="002B50C2" w:rsidP="002B50C2">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Maximum summary length </w:t>
      </w:r>
    </w:p>
    <w:p w14:paraId="564CB207" w14:textId="77777777" w:rsidR="002B50C2" w:rsidRPr="002B50C2" w:rsidRDefault="002B50C2" w:rsidP="002B50C2">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disclaimer threshold </w:t>
      </w:r>
    </w:p>
    <w:p w14:paraId="5756A30A" w14:textId="77777777" w:rsidR="002B50C2" w:rsidRPr="002B50C2" w:rsidRDefault="002B50C2" w:rsidP="002B50C2">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Summary refresh behavior </w:t>
      </w:r>
    </w:p>
    <w:p w14:paraId="31B9911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AI configuration must not affect engine calculations.</w:t>
      </w:r>
    </w:p>
    <w:p w14:paraId="36FF4298"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59D212FF">
          <v:rect id="_x0000_i1772" style="width:0;height:1.5pt" o:hralign="center" o:hrstd="t" o:hr="t" fillcolor="#a0a0a0" stroked="f"/>
        </w:pict>
      </w:r>
    </w:p>
    <w:p w14:paraId="79AAA000"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10. Storage Configuration</w:t>
      </w:r>
    </w:p>
    <w:p w14:paraId="21C9179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Persist:</w:t>
      </w:r>
    </w:p>
    <w:p w14:paraId="3A9AAB70" w14:textId="77777777" w:rsidR="002B50C2" w:rsidRPr="002B50C2" w:rsidRDefault="002B50C2" w:rsidP="002B50C2">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Category weights </w:t>
      </w:r>
    </w:p>
    <w:p w14:paraId="5AAFA846" w14:textId="77777777" w:rsidR="002B50C2" w:rsidRPr="002B50C2" w:rsidRDefault="002B50C2" w:rsidP="002B50C2">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Indicator weights </w:t>
      </w:r>
    </w:p>
    <w:p w14:paraId="1FD7754D" w14:textId="77777777" w:rsidR="002B50C2" w:rsidRPr="002B50C2" w:rsidRDefault="002B50C2" w:rsidP="002B50C2">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Manual values </w:t>
      </w:r>
    </w:p>
    <w:p w14:paraId="27BBC5B8" w14:textId="77777777" w:rsidR="002B50C2" w:rsidRPr="002B50C2" w:rsidRDefault="002B50C2" w:rsidP="002B50C2">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Configuration settings </w:t>
      </w:r>
    </w:p>
    <w:p w14:paraId="699CE6E7" w14:textId="77777777" w:rsidR="002B50C2" w:rsidRPr="002B50C2" w:rsidRDefault="002B50C2" w:rsidP="002B50C2">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Historical scores </w:t>
      </w:r>
    </w:p>
    <w:p w14:paraId="43531B90" w14:textId="77777777" w:rsidR="002B50C2" w:rsidRPr="002B50C2" w:rsidRDefault="002B50C2" w:rsidP="002B50C2">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Last update timestamps </w:t>
      </w:r>
    </w:p>
    <w:p w14:paraId="66552F83"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Storage Location:</w:t>
      </w:r>
    </w:p>
    <w:p w14:paraId="6D0CAA6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Local Electron Database</w:t>
      </w:r>
    </w:p>
    <w:p w14:paraId="19F11366"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6B2FAC9B">
          <v:rect id="_x0000_i1773" style="width:0;height:1.5pt" o:hralign="center" o:hrstd="t" o:hr="t" fillcolor="#a0a0a0" stroked="f"/>
        </w:pict>
      </w:r>
    </w:p>
    <w:p w14:paraId="5081E088"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11. Validation Rules</w:t>
      </w:r>
    </w:p>
    <w:p w14:paraId="218FAF41" w14:textId="77777777" w:rsidR="002B50C2" w:rsidRPr="002B50C2" w:rsidRDefault="002B50C2" w:rsidP="002B50C2">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Total category weights must equal </w:t>
      </w:r>
      <w:r w:rsidRPr="002B50C2">
        <w:rPr>
          <w:rFonts w:ascii="Times New Roman" w:eastAsia="Times New Roman" w:hAnsi="Times New Roman" w:cs="Times New Roman"/>
          <w:b/>
          <w:bCs/>
          <w:sz w:val="24"/>
          <w:szCs w:val="24"/>
        </w:rPr>
        <w:t>100%</w:t>
      </w:r>
      <w:r w:rsidRPr="002B50C2">
        <w:rPr>
          <w:rFonts w:ascii="Times New Roman" w:eastAsia="Times New Roman" w:hAnsi="Times New Roman" w:cs="Times New Roman"/>
          <w:sz w:val="24"/>
          <w:szCs w:val="24"/>
        </w:rPr>
        <w:t xml:space="preserve">. </w:t>
      </w:r>
    </w:p>
    <w:p w14:paraId="20430F08" w14:textId="77777777" w:rsidR="002B50C2" w:rsidRPr="002B50C2" w:rsidRDefault="002B50C2" w:rsidP="002B50C2">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Indicator weights within a category must equal </w:t>
      </w:r>
      <w:r w:rsidRPr="002B50C2">
        <w:rPr>
          <w:rFonts w:ascii="Times New Roman" w:eastAsia="Times New Roman" w:hAnsi="Times New Roman" w:cs="Times New Roman"/>
          <w:b/>
          <w:bCs/>
          <w:sz w:val="24"/>
          <w:szCs w:val="24"/>
        </w:rPr>
        <w:t>100%</w:t>
      </w:r>
      <w:r w:rsidRPr="002B50C2">
        <w:rPr>
          <w:rFonts w:ascii="Times New Roman" w:eastAsia="Times New Roman" w:hAnsi="Times New Roman" w:cs="Times New Roman"/>
          <w:sz w:val="24"/>
          <w:szCs w:val="24"/>
        </w:rPr>
        <w:t xml:space="preserve">. </w:t>
      </w:r>
    </w:p>
    <w:p w14:paraId="47A46525" w14:textId="77777777" w:rsidR="002B50C2" w:rsidRPr="002B50C2" w:rsidRDefault="002B50C2" w:rsidP="002B50C2">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Score thresholds must not overlap. </w:t>
      </w:r>
    </w:p>
    <w:p w14:paraId="08C921F9" w14:textId="77777777" w:rsidR="002B50C2" w:rsidRPr="002B50C2" w:rsidRDefault="002B50C2" w:rsidP="002B50C2">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Confidence values must remain between </w:t>
      </w:r>
      <w:r w:rsidRPr="002B50C2">
        <w:rPr>
          <w:rFonts w:ascii="Times New Roman" w:eastAsia="Times New Roman" w:hAnsi="Times New Roman" w:cs="Times New Roman"/>
          <w:b/>
          <w:bCs/>
          <w:sz w:val="24"/>
          <w:szCs w:val="24"/>
        </w:rPr>
        <w:t>0% and 100%</w:t>
      </w:r>
      <w:r w:rsidRPr="002B50C2">
        <w:rPr>
          <w:rFonts w:ascii="Times New Roman" w:eastAsia="Times New Roman" w:hAnsi="Times New Roman" w:cs="Times New Roman"/>
          <w:sz w:val="24"/>
          <w:szCs w:val="24"/>
        </w:rPr>
        <w:t xml:space="preserve">. </w:t>
      </w:r>
    </w:p>
    <w:p w14:paraId="272905A8" w14:textId="77777777" w:rsidR="002B50C2" w:rsidRPr="002B50C2" w:rsidRDefault="002B50C2" w:rsidP="002B50C2">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Reject invalid configurations before applying changes. </w:t>
      </w:r>
    </w:p>
    <w:p w14:paraId="6BCABA59"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1EFDACB3">
          <v:rect id="_x0000_i1774" style="width:0;height:1.5pt" o:hralign="center" o:hrstd="t" o:hr="t" fillcolor="#a0a0a0" stroked="f"/>
        </w:pict>
      </w:r>
    </w:p>
    <w:p w14:paraId="5B5BCAA3"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12. Developer Notes</w:t>
      </w:r>
    </w:p>
    <w:p w14:paraId="6B79B50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lastRenderedPageBreak/>
        <w:t>Store:</w:t>
      </w:r>
    </w:p>
    <w:p w14:paraId="37233B11" w14:textId="77777777" w:rsidR="002B50C2" w:rsidRPr="002B50C2" w:rsidRDefault="002B50C2" w:rsidP="002B50C2">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Current configuration </w:t>
      </w:r>
    </w:p>
    <w:p w14:paraId="5D9DCD85" w14:textId="77777777" w:rsidR="002B50C2" w:rsidRPr="002B50C2" w:rsidRDefault="002B50C2" w:rsidP="002B50C2">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Previous configuration </w:t>
      </w:r>
    </w:p>
    <w:p w14:paraId="09E25910" w14:textId="77777777" w:rsidR="002B50C2" w:rsidRPr="002B50C2" w:rsidRDefault="002B50C2" w:rsidP="002B50C2">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Configuration version </w:t>
      </w:r>
    </w:p>
    <w:p w14:paraId="4B7F63F3" w14:textId="77777777" w:rsidR="002B50C2" w:rsidRPr="002B50C2" w:rsidRDefault="002B50C2" w:rsidP="002B50C2">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Last modified timestamp </w:t>
      </w:r>
    </w:p>
    <w:p w14:paraId="712A3066"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Support configuration rollback in case of invalid or corrupted settings.</w:t>
      </w:r>
    </w:p>
    <w:p w14:paraId="7A8FB210"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Configuration changes should not modify historical indicator data.</w:t>
      </w:r>
    </w:p>
    <w:p w14:paraId="75AEF72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04D70235">
          <v:rect id="_x0000_i1775" style="width:0;height:1.5pt" o:hralign="center" o:hrstd="t" o:hr="t" fillcolor="#a0a0a0" stroked="f"/>
        </w:pict>
      </w:r>
    </w:p>
    <w:p w14:paraId="544BE623"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 xml:space="preserve">13. Praxis Engine Integration </w:t>
      </w:r>
      <w:r w:rsidRPr="002B50C2">
        <w:rPr>
          <w:rFonts w:ascii="Segoe UI Emoji" w:eastAsia="Times New Roman" w:hAnsi="Segoe UI Emoji" w:cs="Segoe UI Emoji"/>
          <w:b/>
          <w:bCs/>
          <w:kern w:val="36"/>
          <w:sz w:val="48"/>
          <w:szCs w:val="48"/>
        </w:rPr>
        <w:t>⭐</w:t>
      </w:r>
    </w:p>
    <w:p w14:paraId="7EC8A042"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Consumes</w:t>
      </w:r>
    </w:p>
    <w:p w14:paraId="71B8F21E" w14:textId="77777777" w:rsidR="002B50C2" w:rsidRPr="002B50C2" w:rsidRDefault="002B50C2" w:rsidP="002B50C2">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User Configuration </w:t>
      </w:r>
    </w:p>
    <w:p w14:paraId="5F2D69B3" w14:textId="77777777" w:rsidR="002B50C2" w:rsidRPr="002B50C2" w:rsidRDefault="002B50C2" w:rsidP="002B50C2">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Default Configuration </w:t>
      </w:r>
    </w:p>
    <w:p w14:paraId="6C3CDB2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Controls</w:t>
      </w:r>
    </w:p>
    <w:p w14:paraId="75B07348" w14:textId="77777777" w:rsidR="002B50C2" w:rsidRPr="002B50C2" w:rsidRDefault="002B50C2" w:rsidP="002B50C2">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Fundamentals Score Engine </w:t>
      </w:r>
    </w:p>
    <w:p w14:paraId="0D4384C6" w14:textId="77777777" w:rsidR="002B50C2" w:rsidRPr="002B50C2" w:rsidRDefault="002B50C2" w:rsidP="002B50C2">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Dashboard Card </w:t>
      </w:r>
    </w:p>
    <w:p w14:paraId="72495DE5" w14:textId="77777777" w:rsidR="002B50C2" w:rsidRPr="002B50C2" w:rsidRDefault="002B50C2" w:rsidP="002B50C2">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AI Engine </w:t>
      </w:r>
    </w:p>
    <w:p w14:paraId="03A3FC5A"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b/>
          <w:bCs/>
          <w:sz w:val="24"/>
          <w:szCs w:val="24"/>
        </w:rPr>
        <w:t>Outputs</w:t>
      </w:r>
    </w:p>
    <w:p w14:paraId="4514BA5F" w14:textId="77777777" w:rsidR="002B50C2" w:rsidRPr="002B50C2" w:rsidRDefault="002B50C2" w:rsidP="002B50C2">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Updated Engine Configuration </w:t>
      </w:r>
    </w:p>
    <w:p w14:paraId="473EB8C3" w14:textId="77777777" w:rsidR="002B50C2" w:rsidRPr="002B50C2" w:rsidRDefault="002B50C2" w:rsidP="002B50C2">
      <w:pPr>
        <w:spacing w:after="0"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pict w14:anchorId="477C610D">
          <v:rect id="_x0000_i1776" style="width:0;height:1.5pt" o:hralign="center" o:hrstd="t" o:hr="t" fillcolor="#a0a0a0" stroked="f"/>
        </w:pict>
      </w:r>
    </w:p>
    <w:p w14:paraId="4C42DA0B" w14:textId="77777777" w:rsidR="002B50C2" w:rsidRPr="002B50C2" w:rsidRDefault="002B50C2" w:rsidP="002B50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50C2">
        <w:rPr>
          <w:rFonts w:ascii="Times New Roman" w:eastAsia="Times New Roman" w:hAnsi="Times New Roman" w:cs="Times New Roman"/>
          <w:b/>
          <w:bCs/>
          <w:kern w:val="36"/>
          <w:sz w:val="48"/>
          <w:szCs w:val="48"/>
        </w:rPr>
        <w:t>14. Praxis Recommendation</w:t>
      </w:r>
    </w:p>
    <w:p w14:paraId="3BB3C39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The Fundamentals Configuration module should act as the </w:t>
      </w:r>
      <w:r w:rsidRPr="002B50C2">
        <w:rPr>
          <w:rFonts w:ascii="Times New Roman" w:eastAsia="Times New Roman" w:hAnsi="Times New Roman" w:cs="Times New Roman"/>
          <w:b/>
          <w:bCs/>
          <w:sz w:val="24"/>
          <w:szCs w:val="24"/>
        </w:rPr>
        <w:t>central configuration layer</w:t>
      </w:r>
      <w:r w:rsidRPr="002B50C2">
        <w:rPr>
          <w:rFonts w:ascii="Times New Roman" w:eastAsia="Times New Roman" w:hAnsi="Times New Roman" w:cs="Times New Roman"/>
          <w:sz w:val="24"/>
          <w:szCs w:val="24"/>
        </w:rPr>
        <w:t xml:space="preserve"> for the Fundamentals system.</w:t>
      </w:r>
    </w:p>
    <w:p w14:paraId="7A6371C3"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Configuration Flow</w:t>
      </w:r>
    </w:p>
    <w:p w14:paraId="541033FC"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Segoe UI Emoji" w:eastAsia="Times New Roman" w:hAnsi="Segoe UI Emoji" w:cs="Segoe UI Emoji"/>
          <w:sz w:val="24"/>
          <w:szCs w:val="24"/>
        </w:rPr>
        <w:t>⭐⭐⭐⭐⭐</w:t>
      </w:r>
      <w:r w:rsidRPr="002B50C2">
        <w:rPr>
          <w:rFonts w:ascii="Times New Roman" w:eastAsia="Times New Roman" w:hAnsi="Times New Roman" w:cs="Times New Roman"/>
          <w:sz w:val="24"/>
          <w:szCs w:val="24"/>
        </w:rPr>
        <w:t xml:space="preserve"> Configuration</w:t>
      </w:r>
    </w:p>
    <w:p w14:paraId="0CA724FD"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0342BA9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Fundamentals Engine</w:t>
      </w:r>
    </w:p>
    <w:p w14:paraId="31FD84BB"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lastRenderedPageBreak/>
        <w:t>⬇</w:t>
      </w:r>
    </w:p>
    <w:p w14:paraId="65D9CB28"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Dashboard</w:t>
      </w:r>
    </w:p>
    <w:p w14:paraId="6F53AA79"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Cambria Math" w:eastAsia="Times New Roman" w:hAnsi="Cambria Math" w:cs="Cambria Math"/>
          <w:sz w:val="24"/>
          <w:szCs w:val="24"/>
        </w:rPr>
        <w:t>⬇</w:t>
      </w:r>
    </w:p>
    <w:p w14:paraId="77BFE834"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AI Engine</w:t>
      </w:r>
    </w:p>
    <w:p w14:paraId="183C03A9" w14:textId="77777777" w:rsidR="002B50C2" w:rsidRPr="002B50C2" w:rsidRDefault="002B50C2" w:rsidP="002B50C2">
      <w:pPr>
        <w:spacing w:before="100" w:beforeAutospacing="1" w:after="100" w:afterAutospacing="1" w:line="240" w:lineRule="auto"/>
        <w:outlineLvl w:val="2"/>
        <w:rPr>
          <w:rFonts w:ascii="Times New Roman" w:eastAsia="Times New Roman" w:hAnsi="Times New Roman" w:cs="Times New Roman"/>
          <w:b/>
          <w:bCs/>
          <w:sz w:val="27"/>
          <w:szCs w:val="27"/>
        </w:rPr>
      </w:pPr>
      <w:r w:rsidRPr="002B50C2">
        <w:rPr>
          <w:rFonts w:ascii="Times New Roman" w:eastAsia="Times New Roman" w:hAnsi="Times New Roman" w:cs="Times New Roman"/>
          <w:b/>
          <w:bCs/>
          <w:sz w:val="27"/>
          <w:szCs w:val="27"/>
        </w:rPr>
        <w:t>Configuration Rules</w:t>
      </w:r>
    </w:p>
    <w:p w14:paraId="51652C1B" w14:textId="77777777" w:rsidR="002B50C2" w:rsidRPr="002B50C2" w:rsidRDefault="002B50C2" w:rsidP="002B50C2">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Keep default settings aligned with industry standards. </w:t>
      </w:r>
    </w:p>
    <w:p w14:paraId="3159ED1D" w14:textId="77777777" w:rsidR="002B50C2" w:rsidRPr="002B50C2" w:rsidRDefault="002B50C2" w:rsidP="002B50C2">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Allow customization without modifying calculation formulas. </w:t>
      </w:r>
    </w:p>
    <w:p w14:paraId="61EA3B30" w14:textId="77777777" w:rsidR="002B50C2" w:rsidRPr="002B50C2" w:rsidRDefault="002B50C2" w:rsidP="002B50C2">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Validate every configuration before applying. </w:t>
      </w:r>
    </w:p>
    <w:p w14:paraId="71ED8F7A" w14:textId="77777777" w:rsidR="002B50C2" w:rsidRPr="002B50C2" w:rsidRDefault="002B50C2" w:rsidP="002B50C2">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 xml:space="preserve">Preserve previous settings to support rollback. </w:t>
      </w:r>
    </w:p>
    <w:p w14:paraId="41A642DE" w14:textId="77777777" w:rsidR="002B50C2" w:rsidRPr="002B50C2" w:rsidRDefault="002B50C2" w:rsidP="002B50C2">
      <w:pPr>
        <w:spacing w:before="100" w:beforeAutospacing="1" w:after="100" w:afterAutospacing="1" w:line="240" w:lineRule="auto"/>
        <w:rPr>
          <w:rFonts w:ascii="Times New Roman" w:eastAsia="Times New Roman" w:hAnsi="Times New Roman" w:cs="Times New Roman"/>
          <w:sz w:val="24"/>
          <w:szCs w:val="24"/>
        </w:rPr>
      </w:pPr>
      <w:r w:rsidRPr="002B50C2">
        <w:rPr>
          <w:rFonts w:ascii="Times New Roman" w:eastAsia="Times New Roman" w:hAnsi="Times New Roman" w:cs="Times New Roman"/>
          <w:sz w:val="24"/>
          <w:szCs w:val="24"/>
        </w:rPr>
        <w:t>The Fundamentals Configuration module should provide flexibility for future enhancements while ensuring the Fundamentals Engine remains consistent, reliable, and easy to maintain.</w:t>
      </w:r>
    </w:p>
    <w:p w14:paraId="226008C1" w14:textId="77777777" w:rsidR="002B50C2" w:rsidRPr="002B50C2" w:rsidRDefault="002B50C2" w:rsidP="002B50C2">
      <w:pPr>
        <w:pBdr>
          <w:bottom w:val="single" w:sz="6" w:space="1" w:color="auto"/>
        </w:pBdr>
        <w:spacing w:after="0" w:line="240" w:lineRule="auto"/>
        <w:jc w:val="center"/>
        <w:rPr>
          <w:rFonts w:ascii="Arial" w:eastAsia="Times New Roman" w:hAnsi="Arial" w:cs="Arial"/>
          <w:vanish/>
          <w:sz w:val="16"/>
          <w:szCs w:val="16"/>
        </w:rPr>
      </w:pPr>
      <w:r w:rsidRPr="002B50C2">
        <w:rPr>
          <w:rFonts w:ascii="Arial" w:eastAsia="Times New Roman" w:hAnsi="Arial" w:cs="Arial"/>
          <w:vanish/>
          <w:sz w:val="16"/>
          <w:szCs w:val="16"/>
        </w:rPr>
        <w:t>Top of Form</w:t>
      </w:r>
    </w:p>
    <w:p w14:paraId="05DC32FC" w14:textId="7E83A728" w:rsidR="002B50C2" w:rsidRPr="002B50C2" w:rsidRDefault="002B50C2" w:rsidP="002B50C2">
      <w:pPr>
        <w:spacing w:after="0" w:line="240" w:lineRule="auto"/>
        <w:rPr>
          <w:rFonts w:ascii="Times New Roman" w:eastAsia="Times New Roman" w:hAnsi="Times New Roman" w:cs="Times New Roman"/>
          <w:sz w:val="24"/>
          <w:szCs w:val="24"/>
        </w:rPr>
      </w:pPr>
    </w:p>
    <w:p w14:paraId="6B9C9375" w14:textId="09074EDA" w:rsidR="002B50C2" w:rsidRDefault="002B50C2" w:rsidP="002B50C2">
      <w:pPr>
        <w:pBdr>
          <w:top w:val="single" w:sz="6" w:space="1" w:color="auto"/>
        </w:pBdr>
        <w:spacing w:after="0" w:line="240" w:lineRule="auto"/>
        <w:jc w:val="center"/>
        <w:rPr>
          <w:rFonts w:ascii="Arial" w:eastAsia="Times New Roman" w:hAnsi="Arial" w:cs="Arial"/>
          <w:sz w:val="16"/>
          <w:szCs w:val="16"/>
        </w:rPr>
      </w:pPr>
      <w:r w:rsidRPr="002B50C2">
        <w:rPr>
          <w:rFonts w:ascii="Arial" w:eastAsia="Times New Roman" w:hAnsi="Arial" w:cs="Arial"/>
          <w:vanish/>
          <w:sz w:val="16"/>
          <w:szCs w:val="16"/>
        </w:rPr>
        <w:t>Bottom of Form</w:t>
      </w:r>
    </w:p>
    <w:p w14:paraId="7868A6BB" w14:textId="61D15436"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36987442" w14:textId="11B0DD40"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4924887C" w14:textId="1994EBA5"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0120D051" w14:textId="62E46FD1"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70A28E33" w14:textId="273627B3"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639DCA87" w14:textId="376F8857"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4CCE4FA4" w14:textId="21D21ED9"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14F61D43" w14:textId="40CD502F"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1F89E16F" w14:textId="079A284F"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40090F07" w14:textId="36925F74"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2864ABCD" w14:textId="391F95F7"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0BC8EAF1" w14:textId="35E9DA98"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6773D827" w14:textId="62382F53"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207C7738" w14:textId="61F660AE"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43E7DC09" w14:textId="30F12388"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2DECDF37" w14:textId="733C0D68"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61DB331C" w14:textId="31449B67"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300A9D47" w14:textId="224084FC"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203A895F" w14:textId="00B4C27B"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3195884E" w14:textId="509AE4D7"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6149DC8A" w14:textId="699E86C7"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01A568AC" w14:textId="41AD42EF"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2EEDAA5C" w14:textId="6EAD6110"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0C719442" w14:textId="7C515BC0"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5839C24B" w14:textId="3ADFA6AA"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3109A56B" w14:textId="5A1BD5A8"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78E07B6C" w14:textId="56EBE5EE"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32E0B381" w14:textId="71531FBF"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1CF5D1F5" w14:textId="1D846951"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7BC8FC93" w14:textId="688E7D6C"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3D6E9956" w14:textId="56FD50CE"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4F11E380" w14:textId="7C517838"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5C7DEA90" w14:textId="659C77A4"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3EA6CCE8" w14:textId="200FC390"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17CE38A4" w14:textId="5D5FB070"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3B008FC1" w14:textId="1F97BB81"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1B00F5EB" w14:textId="0EE6F8BD"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4DE11F42" w14:textId="50791472"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501241B7" w14:textId="676FDD53"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498A9CCF" w14:textId="65AE7B00" w:rsidR="00C673CD" w:rsidRDefault="00C673CD" w:rsidP="002B50C2">
      <w:pPr>
        <w:pBdr>
          <w:top w:val="single" w:sz="6" w:space="1" w:color="auto"/>
        </w:pBdr>
        <w:spacing w:after="0" w:line="240" w:lineRule="auto"/>
        <w:jc w:val="center"/>
        <w:rPr>
          <w:rFonts w:ascii="Arial" w:eastAsia="Times New Roman" w:hAnsi="Arial" w:cs="Arial"/>
          <w:sz w:val="16"/>
          <w:szCs w:val="16"/>
        </w:rPr>
      </w:pPr>
    </w:p>
    <w:p w14:paraId="520039FE" w14:textId="65BAAF46" w:rsidR="00C673CD" w:rsidRPr="00C673CD" w:rsidRDefault="00C673CD" w:rsidP="00C673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73CD">
        <w:rPr>
          <w:rFonts w:ascii="Times New Roman" w:eastAsia="Times New Roman" w:hAnsi="Times New Roman" w:cs="Times New Roman"/>
          <w:b/>
          <w:bCs/>
          <w:kern w:val="36"/>
          <w:sz w:val="48"/>
          <w:szCs w:val="48"/>
        </w:rPr>
        <w:lastRenderedPageBreak/>
        <w:t xml:space="preserve">Fundamentals Engine Weight Configuration </w:t>
      </w:r>
    </w:p>
    <w:p w14:paraId="6DBDA913" w14:textId="77777777" w:rsidR="00C673CD" w:rsidRPr="00C673CD" w:rsidRDefault="00C673CD" w:rsidP="00C673CD">
      <w:p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This document defines the contribution of each Fundamental indicator to the overall Fundamentals Score and how much each indicator can influence the Decision Engine's confidence.</w:t>
      </w:r>
    </w:p>
    <w:p w14:paraId="200C3C0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pict w14:anchorId="37FEB746">
          <v:rect id="_x0000_i1797" style="width:0;height:1.5pt" o:hralign="center" o:hrstd="t" o:hr="t" fillcolor="#a0a0a0" stroked="f"/>
        </w:pict>
      </w:r>
    </w:p>
    <w:p w14:paraId="1066E72E" w14:textId="77777777" w:rsidR="00C673CD" w:rsidRPr="00C673CD" w:rsidRDefault="00C673CD" w:rsidP="00C673C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C673CD">
        <w:rPr>
          <w:rFonts w:ascii="Times New Roman" w:eastAsia="Times New Roman" w:hAnsi="Times New Roman" w:cs="Times New Roman"/>
          <w:b/>
          <w:bCs/>
          <w:color w:val="FF0000"/>
          <w:sz w:val="36"/>
          <w:szCs w:val="36"/>
        </w:rPr>
        <w:t>Valuation Indicators (Module Weight: 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587"/>
        <w:gridCol w:w="2202"/>
      </w:tblGrid>
      <w:tr w:rsidR="00C673CD" w:rsidRPr="00C673CD" w14:paraId="3318CDFE" w14:textId="77777777" w:rsidTr="00C673CD">
        <w:trPr>
          <w:tblHeader/>
          <w:tblCellSpacing w:w="15" w:type="dxa"/>
        </w:trPr>
        <w:tc>
          <w:tcPr>
            <w:tcW w:w="0" w:type="auto"/>
            <w:vAlign w:val="center"/>
            <w:hideMark/>
          </w:tcPr>
          <w:p w14:paraId="56BF8A01"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Indicator</w:t>
            </w:r>
          </w:p>
        </w:tc>
        <w:tc>
          <w:tcPr>
            <w:tcW w:w="0" w:type="auto"/>
            <w:vAlign w:val="center"/>
            <w:hideMark/>
          </w:tcPr>
          <w:p w14:paraId="0D1E2E58"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Engine Weight</w:t>
            </w:r>
          </w:p>
        </w:tc>
        <w:tc>
          <w:tcPr>
            <w:tcW w:w="0" w:type="auto"/>
            <w:vAlign w:val="center"/>
            <w:hideMark/>
          </w:tcPr>
          <w:p w14:paraId="59E4A19C"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Confidence Modifier</w:t>
            </w:r>
          </w:p>
        </w:tc>
      </w:tr>
      <w:tr w:rsidR="00C673CD" w:rsidRPr="00C673CD" w14:paraId="07B43859" w14:textId="77777777" w:rsidTr="00C673CD">
        <w:trPr>
          <w:tblCellSpacing w:w="15" w:type="dxa"/>
        </w:trPr>
        <w:tc>
          <w:tcPr>
            <w:tcW w:w="0" w:type="auto"/>
            <w:vAlign w:val="center"/>
            <w:hideMark/>
          </w:tcPr>
          <w:p w14:paraId="59A34776"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PE Ratio</w:t>
            </w:r>
          </w:p>
        </w:tc>
        <w:tc>
          <w:tcPr>
            <w:tcW w:w="0" w:type="auto"/>
            <w:vAlign w:val="center"/>
            <w:hideMark/>
          </w:tcPr>
          <w:p w14:paraId="67F970ED"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8.0%</w:t>
            </w:r>
          </w:p>
        </w:tc>
        <w:tc>
          <w:tcPr>
            <w:tcW w:w="0" w:type="auto"/>
            <w:vAlign w:val="center"/>
            <w:hideMark/>
          </w:tcPr>
          <w:p w14:paraId="676E25FD"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±8%</w:t>
            </w:r>
          </w:p>
        </w:tc>
      </w:tr>
      <w:tr w:rsidR="00C673CD" w:rsidRPr="00C673CD" w14:paraId="21D50129" w14:textId="77777777" w:rsidTr="00C673CD">
        <w:trPr>
          <w:tblCellSpacing w:w="15" w:type="dxa"/>
        </w:trPr>
        <w:tc>
          <w:tcPr>
            <w:tcW w:w="0" w:type="auto"/>
            <w:vAlign w:val="center"/>
            <w:hideMark/>
          </w:tcPr>
          <w:p w14:paraId="27E27537"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Forward PE</w:t>
            </w:r>
          </w:p>
        </w:tc>
        <w:tc>
          <w:tcPr>
            <w:tcW w:w="0" w:type="auto"/>
            <w:vAlign w:val="center"/>
            <w:hideMark/>
          </w:tcPr>
          <w:p w14:paraId="35B79260"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7.0%</w:t>
            </w:r>
          </w:p>
        </w:tc>
        <w:tc>
          <w:tcPr>
            <w:tcW w:w="0" w:type="auto"/>
            <w:vAlign w:val="center"/>
            <w:hideMark/>
          </w:tcPr>
          <w:p w14:paraId="5E774D15"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±7%</w:t>
            </w:r>
          </w:p>
        </w:tc>
      </w:tr>
      <w:tr w:rsidR="00C673CD" w:rsidRPr="00C673CD" w14:paraId="7B0D0777" w14:textId="77777777" w:rsidTr="00C673CD">
        <w:trPr>
          <w:tblCellSpacing w:w="15" w:type="dxa"/>
        </w:trPr>
        <w:tc>
          <w:tcPr>
            <w:tcW w:w="0" w:type="auto"/>
            <w:vAlign w:val="center"/>
            <w:hideMark/>
          </w:tcPr>
          <w:p w14:paraId="039A5645"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PB Ratio</w:t>
            </w:r>
          </w:p>
        </w:tc>
        <w:tc>
          <w:tcPr>
            <w:tcW w:w="0" w:type="auto"/>
            <w:vAlign w:val="center"/>
            <w:hideMark/>
          </w:tcPr>
          <w:p w14:paraId="52EC366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4.0%</w:t>
            </w:r>
          </w:p>
        </w:tc>
        <w:tc>
          <w:tcPr>
            <w:tcW w:w="0" w:type="auto"/>
            <w:vAlign w:val="center"/>
            <w:hideMark/>
          </w:tcPr>
          <w:p w14:paraId="4AF02D77"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w:t>
            </w:r>
          </w:p>
        </w:tc>
      </w:tr>
      <w:tr w:rsidR="00C673CD" w:rsidRPr="00C673CD" w14:paraId="36FD3C60" w14:textId="77777777" w:rsidTr="00C673CD">
        <w:trPr>
          <w:tblCellSpacing w:w="15" w:type="dxa"/>
        </w:trPr>
        <w:tc>
          <w:tcPr>
            <w:tcW w:w="0" w:type="auto"/>
            <w:vAlign w:val="center"/>
            <w:hideMark/>
          </w:tcPr>
          <w:p w14:paraId="3DE46D3F"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Earnings Yield</w:t>
            </w:r>
          </w:p>
        </w:tc>
        <w:tc>
          <w:tcPr>
            <w:tcW w:w="0" w:type="auto"/>
            <w:vAlign w:val="center"/>
            <w:hideMark/>
          </w:tcPr>
          <w:p w14:paraId="7F3FDE07"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6.0%</w:t>
            </w:r>
          </w:p>
        </w:tc>
        <w:tc>
          <w:tcPr>
            <w:tcW w:w="0" w:type="auto"/>
            <w:vAlign w:val="center"/>
            <w:hideMark/>
          </w:tcPr>
          <w:p w14:paraId="5035B21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±5%</w:t>
            </w:r>
          </w:p>
        </w:tc>
      </w:tr>
    </w:tbl>
    <w:p w14:paraId="2C01EE91" w14:textId="77777777" w:rsidR="00C673CD" w:rsidRPr="00C673CD" w:rsidRDefault="00C673CD" w:rsidP="00C673CD">
      <w:p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t>Module Total: 25%</w:t>
      </w:r>
    </w:p>
    <w:p w14:paraId="6129F34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pict w14:anchorId="41C9BBB7">
          <v:rect id="_x0000_i1798" style="width:0;height:1.5pt" o:hralign="center" o:hrstd="t" o:hr="t" fillcolor="#a0a0a0" stroked="f"/>
        </w:pict>
      </w:r>
    </w:p>
    <w:p w14:paraId="216723B8" w14:textId="77777777" w:rsidR="00C673CD" w:rsidRPr="00C673CD" w:rsidRDefault="00C673CD" w:rsidP="00C673C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C673CD">
        <w:rPr>
          <w:rFonts w:ascii="Times New Roman" w:eastAsia="Times New Roman" w:hAnsi="Times New Roman" w:cs="Times New Roman"/>
          <w:b/>
          <w:bCs/>
          <w:color w:val="FF0000"/>
          <w:sz w:val="36"/>
          <w:szCs w:val="36"/>
        </w:rPr>
        <w:t>Growth Indicators (Module Weight: 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587"/>
        <w:gridCol w:w="2202"/>
      </w:tblGrid>
      <w:tr w:rsidR="00C673CD" w:rsidRPr="00C673CD" w14:paraId="2EE39C4A" w14:textId="77777777" w:rsidTr="00C673CD">
        <w:trPr>
          <w:tblHeader/>
          <w:tblCellSpacing w:w="15" w:type="dxa"/>
        </w:trPr>
        <w:tc>
          <w:tcPr>
            <w:tcW w:w="0" w:type="auto"/>
            <w:vAlign w:val="center"/>
            <w:hideMark/>
          </w:tcPr>
          <w:p w14:paraId="0CD2086A"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Indicator</w:t>
            </w:r>
          </w:p>
        </w:tc>
        <w:tc>
          <w:tcPr>
            <w:tcW w:w="0" w:type="auto"/>
            <w:vAlign w:val="center"/>
            <w:hideMark/>
          </w:tcPr>
          <w:p w14:paraId="70997151"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Engine Weight</w:t>
            </w:r>
          </w:p>
        </w:tc>
        <w:tc>
          <w:tcPr>
            <w:tcW w:w="0" w:type="auto"/>
            <w:vAlign w:val="center"/>
            <w:hideMark/>
          </w:tcPr>
          <w:p w14:paraId="499D3413"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Confidence Modifier</w:t>
            </w:r>
          </w:p>
        </w:tc>
      </w:tr>
      <w:tr w:rsidR="00C673CD" w:rsidRPr="00C673CD" w14:paraId="6B09F2FD" w14:textId="77777777" w:rsidTr="00C673CD">
        <w:trPr>
          <w:tblCellSpacing w:w="15" w:type="dxa"/>
        </w:trPr>
        <w:tc>
          <w:tcPr>
            <w:tcW w:w="0" w:type="auto"/>
            <w:vAlign w:val="center"/>
            <w:hideMark/>
          </w:tcPr>
          <w:p w14:paraId="6CEF7F1F"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EPS Growth</w:t>
            </w:r>
          </w:p>
        </w:tc>
        <w:tc>
          <w:tcPr>
            <w:tcW w:w="0" w:type="auto"/>
            <w:vAlign w:val="center"/>
            <w:hideMark/>
          </w:tcPr>
          <w:p w14:paraId="3AECC9F7"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8.0%</w:t>
            </w:r>
          </w:p>
        </w:tc>
        <w:tc>
          <w:tcPr>
            <w:tcW w:w="0" w:type="auto"/>
            <w:vAlign w:val="center"/>
            <w:hideMark/>
          </w:tcPr>
          <w:p w14:paraId="290CCC64"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±8%</w:t>
            </w:r>
          </w:p>
        </w:tc>
      </w:tr>
      <w:tr w:rsidR="00C673CD" w:rsidRPr="00C673CD" w14:paraId="1DF4DBB3" w14:textId="77777777" w:rsidTr="00C673CD">
        <w:trPr>
          <w:tblCellSpacing w:w="15" w:type="dxa"/>
        </w:trPr>
        <w:tc>
          <w:tcPr>
            <w:tcW w:w="0" w:type="auto"/>
            <w:vAlign w:val="center"/>
            <w:hideMark/>
          </w:tcPr>
          <w:p w14:paraId="77BBCBDE"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Revenue Growth</w:t>
            </w:r>
          </w:p>
        </w:tc>
        <w:tc>
          <w:tcPr>
            <w:tcW w:w="0" w:type="auto"/>
            <w:vAlign w:val="center"/>
            <w:hideMark/>
          </w:tcPr>
          <w:p w14:paraId="7A88FC81"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7.0%</w:t>
            </w:r>
          </w:p>
        </w:tc>
        <w:tc>
          <w:tcPr>
            <w:tcW w:w="0" w:type="auto"/>
            <w:vAlign w:val="center"/>
            <w:hideMark/>
          </w:tcPr>
          <w:p w14:paraId="744BE09D"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±7%</w:t>
            </w:r>
          </w:p>
        </w:tc>
      </w:tr>
      <w:tr w:rsidR="00C673CD" w:rsidRPr="00C673CD" w14:paraId="62F963E0" w14:textId="77777777" w:rsidTr="00C673CD">
        <w:trPr>
          <w:tblCellSpacing w:w="15" w:type="dxa"/>
        </w:trPr>
        <w:tc>
          <w:tcPr>
            <w:tcW w:w="0" w:type="auto"/>
            <w:vAlign w:val="center"/>
            <w:hideMark/>
          </w:tcPr>
          <w:p w14:paraId="559D34D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Profit Growth</w:t>
            </w:r>
          </w:p>
        </w:tc>
        <w:tc>
          <w:tcPr>
            <w:tcW w:w="0" w:type="auto"/>
            <w:vAlign w:val="center"/>
            <w:hideMark/>
          </w:tcPr>
          <w:p w14:paraId="0B00517B"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6.0%</w:t>
            </w:r>
          </w:p>
        </w:tc>
        <w:tc>
          <w:tcPr>
            <w:tcW w:w="0" w:type="auto"/>
            <w:vAlign w:val="center"/>
            <w:hideMark/>
          </w:tcPr>
          <w:p w14:paraId="26429275"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±6%</w:t>
            </w:r>
          </w:p>
        </w:tc>
      </w:tr>
      <w:tr w:rsidR="00C673CD" w:rsidRPr="00C673CD" w14:paraId="528E19D8" w14:textId="77777777" w:rsidTr="00C673CD">
        <w:trPr>
          <w:tblCellSpacing w:w="15" w:type="dxa"/>
        </w:trPr>
        <w:tc>
          <w:tcPr>
            <w:tcW w:w="0" w:type="auto"/>
            <w:vAlign w:val="center"/>
            <w:hideMark/>
          </w:tcPr>
          <w:p w14:paraId="14796C4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GDP Growth</w:t>
            </w:r>
          </w:p>
        </w:tc>
        <w:tc>
          <w:tcPr>
            <w:tcW w:w="0" w:type="auto"/>
            <w:vAlign w:val="center"/>
            <w:hideMark/>
          </w:tcPr>
          <w:p w14:paraId="113AD853"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4.0%</w:t>
            </w:r>
          </w:p>
        </w:tc>
        <w:tc>
          <w:tcPr>
            <w:tcW w:w="0" w:type="auto"/>
            <w:vAlign w:val="center"/>
            <w:hideMark/>
          </w:tcPr>
          <w:p w14:paraId="1989B26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w:t>
            </w:r>
          </w:p>
        </w:tc>
      </w:tr>
    </w:tbl>
    <w:p w14:paraId="30825A0C" w14:textId="77777777" w:rsidR="00C673CD" w:rsidRPr="00C673CD" w:rsidRDefault="00C673CD" w:rsidP="00C673CD">
      <w:p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t>Module Total: 25%</w:t>
      </w:r>
    </w:p>
    <w:p w14:paraId="13C54B64"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pict w14:anchorId="733339AA">
          <v:rect id="_x0000_i1799" style="width:0;height:1.5pt" o:hralign="center" o:hrstd="t" o:hr="t" fillcolor="#a0a0a0" stroked="f"/>
        </w:pict>
      </w:r>
    </w:p>
    <w:p w14:paraId="12E9E451" w14:textId="77777777" w:rsidR="00C673CD" w:rsidRPr="00C673CD" w:rsidRDefault="00C673CD" w:rsidP="00C673C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C673CD">
        <w:rPr>
          <w:rFonts w:ascii="Times New Roman" w:eastAsia="Times New Roman" w:hAnsi="Times New Roman" w:cs="Times New Roman"/>
          <w:b/>
          <w:bCs/>
          <w:color w:val="FF0000"/>
          <w:sz w:val="36"/>
          <w:szCs w:val="36"/>
        </w:rPr>
        <w:t>Profitability Indicators (Module Weight: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8"/>
        <w:gridCol w:w="1587"/>
        <w:gridCol w:w="2202"/>
      </w:tblGrid>
      <w:tr w:rsidR="00C673CD" w:rsidRPr="00C673CD" w14:paraId="212F5F38" w14:textId="77777777" w:rsidTr="00C673CD">
        <w:trPr>
          <w:tblHeader/>
          <w:tblCellSpacing w:w="15" w:type="dxa"/>
        </w:trPr>
        <w:tc>
          <w:tcPr>
            <w:tcW w:w="0" w:type="auto"/>
            <w:vAlign w:val="center"/>
            <w:hideMark/>
          </w:tcPr>
          <w:p w14:paraId="31E8B89D"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Indicator</w:t>
            </w:r>
          </w:p>
        </w:tc>
        <w:tc>
          <w:tcPr>
            <w:tcW w:w="0" w:type="auto"/>
            <w:vAlign w:val="center"/>
            <w:hideMark/>
          </w:tcPr>
          <w:p w14:paraId="47FF39EC"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Engine Weight</w:t>
            </w:r>
          </w:p>
        </w:tc>
        <w:tc>
          <w:tcPr>
            <w:tcW w:w="0" w:type="auto"/>
            <w:vAlign w:val="center"/>
            <w:hideMark/>
          </w:tcPr>
          <w:p w14:paraId="255DF93D"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Confidence Modifier</w:t>
            </w:r>
          </w:p>
        </w:tc>
      </w:tr>
      <w:tr w:rsidR="00C673CD" w:rsidRPr="00C673CD" w14:paraId="59781849" w14:textId="77777777" w:rsidTr="00C673CD">
        <w:trPr>
          <w:tblCellSpacing w:w="15" w:type="dxa"/>
        </w:trPr>
        <w:tc>
          <w:tcPr>
            <w:tcW w:w="0" w:type="auto"/>
            <w:vAlign w:val="center"/>
            <w:hideMark/>
          </w:tcPr>
          <w:p w14:paraId="3164BAD1"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Return on Equity (ROE)</w:t>
            </w:r>
          </w:p>
        </w:tc>
        <w:tc>
          <w:tcPr>
            <w:tcW w:w="0" w:type="auto"/>
            <w:vAlign w:val="center"/>
            <w:hideMark/>
          </w:tcPr>
          <w:p w14:paraId="005FA4BE"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6.0%</w:t>
            </w:r>
          </w:p>
        </w:tc>
        <w:tc>
          <w:tcPr>
            <w:tcW w:w="0" w:type="auto"/>
            <w:vAlign w:val="center"/>
            <w:hideMark/>
          </w:tcPr>
          <w:p w14:paraId="703FC511"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±7%</w:t>
            </w:r>
          </w:p>
        </w:tc>
      </w:tr>
      <w:tr w:rsidR="00C673CD" w:rsidRPr="00C673CD" w14:paraId="2DAB53AD" w14:textId="77777777" w:rsidTr="00C673CD">
        <w:trPr>
          <w:tblCellSpacing w:w="15" w:type="dxa"/>
        </w:trPr>
        <w:tc>
          <w:tcPr>
            <w:tcW w:w="0" w:type="auto"/>
            <w:vAlign w:val="center"/>
            <w:hideMark/>
          </w:tcPr>
          <w:p w14:paraId="6F487B2A"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Return on Capital Employed (ROCE)</w:t>
            </w:r>
          </w:p>
        </w:tc>
        <w:tc>
          <w:tcPr>
            <w:tcW w:w="0" w:type="auto"/>
            <w:vAlign w:val="center"/>
            <w:hideMark/>
          </w:tcPr>
          <w:p w14:paraId="4AA9E18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6.0%</w:t>
            </w:r>
          </w:p>
        </w:tc>
        <w:tc>
          <w:tcPr>
            <w:tcW w:w="0" w:type="auto"/>
            <w:vAlign w:val="center"/>
            <w:hideMark/>
          </w:tcPr>
          <w:p w14:paraId="723D1DC0"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±7%</w:t>
            </w:r>
          </w:p>
        </w:tc>
      </w:tr>
      <w:tr w:rsidR="00C673CD" w:rsidRPr="00C673CD" w14:paraId="36A190A1" w14:textId="77777777" w:rsidTr="00C673CD">
        <w:trPr>
          <w:tblCellSpacing w:w="15" w:type="dxa"/>
        </w:trPr>
        <w:tc>
          <w:tcPr>
            <w:tcW w:w="0" w:type="auto"/>
            <w:vAlign w:val="center"/>
            <w:hideMark/>
          </w:tcPr>
          <w:p w14:paraId="20B5D051"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Net Margin</w:t>
            </w:r>
          </w:p>
        </w:tc>
        <w:tc>
          <w:tcPr>
            <w:tcW w:w="0" w:type="auto"/>
            <w:vAlign w:val="center"/>
            <w:hideMark/>
          </w:tcPr>
          <w:p w14:paraId="7A057D4D"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4.0%</w:t>
            </w:r>
          </w:p>
        </w:tc>
        <w:tc>
          <w:tcPr>
            <w:tcW w:w="0" w:type="auto"/>
            <w:vAlign w:val="center"/>
            <w:hideMark/>
          </w:tcPr>
          <w:p w14:paraId="3FA4F6EC"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w:t>
            </w:r>
          </w:p>
        </w:tc>
      </w:tr>
      <w:tr w:rsidR="00C673CD" w:rsidRPr="00C673CD" w14:paraId="4BD8EA3A" w14:textId="77777777" w:rsidTr="00C673CD">
        <w:trPr>
          <w:tblCellSpacing w:w="15" w:type="dxa"/>
        </w:trPr>
        <w:tc>
          <w:tcPr>
            <w:tcW w:w="0" w:type="auto"/>
            <w:vAlign w:val="center"/>
            <w:hideMark/>
          </w:tcPr>
          <w:p w14:paraId="6F36429B"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Operating Margin</w:t>
            </w:r>
          </w:p>
        </w:tc>
        <w:tc>
          <w:tcPr>
            <w:tcW w:w="0" w:type="auto"/>
            <w:vAlign w:val="center"/>
            <w:hideMark/>
          </w:tcPr>
          <w:p w14:paraId="0FA63783"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4.0%</w:t>
            </w:r>
          </w:p>
        </w:tc>
        <w:tc>
          <w:tcPr>
            <w:tcW w:w="0" w:type="auto"/>
            <w:vAlign w:val="center"/>
            <w:hideMark/>
          </w:tcPr>
          <w:p w14:paraId="76AC522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w:t>
            </w:r>
          </w:p>
        </w:tc>
      </w:tr>
    </w:tbl>
    <w:p w14:paraId="5B9E8C4F" w14:textId="77777777" w:rsidR="00C673CD" w:rsidRPr="00C673CD" w:rsidRDefault="00C673CD" w:rsidP="00C673CD">
      <w:p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lastRenderedPageBreak/>
        <w:t>Module Total: 20%</w:t>
      </w:r>
    </w:p>
    <w:p w14:paraId="6C79995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pict w14:anchorId="0F3814F7">
          <v:rect id="_x0000_i1800" style="width:0;height:1.5pt" o:hralign="center" o:hrstd="t" o:hr="t" fillcolor="#a0a0a0" stroked="f"/>
        </w:pict>
      </w:r>
    </w:p>
    <w:p w14:paraId="0FFCE5B1" w14:textId="77777777" w:rsidR="00C673CD" w:rsidRPr="00C673CD" w:rsidRDefault="00C673CD" w:rsidP="00C673C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C673CD">
        <w:rPr>
          <w:rFonts w:ascii="Times New Roman" w:eastAsia="Times New Roman" w:hAnsi="Times New Roman" w:cs="Times New Roman"/>
          <w:b/>
          <w:bCs/>
          <w:color w:val="FF0000"/>
          <w:sz w:val="36"/>
          <w:szCs w:val="36"/>
        </w:rPr>
        <w:t>Financial Health Indicators (Module Weight: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587"/>
        <w:gridCol w:w="2202"/>
      </w:tblGrid>
      <w:tr w:rsidR="00C673CD" w:rsidRPr="00C673CD" w14:paraId="7C7F6A0A" w14:textId="77777777" w:rsidTr="00C673CD">
        <w:trPr>
          <w:tblHeader/>
          <w:tblCellSpacing w:w="15" w:type="dxa"/>
        </w:trPr>
        <w:tc>
          <w:tcPr>
            <w:tcW w:w="0" w:type="auto"/>
            <w:vAlign w:val="center"/>
            <w:hideMark/>
          </w:tcPr>
          <w:p w14:paraId="7404829A"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Indicator</w:t>
            </w:r>
          </w:p>
        </w:tc>
        <w:tc>
          <w:tcPr>
            <w:tcW w:w="0" w:type="auto"/>
            <w:vAlign w:val="center"/>
            <w:hideMark/>
          </w:tcPr>
          <w:p w14:paraId="6C133CD6"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Engine Weight</w:t>
            </w:r>
          </w:p>
        </w:tc>
        <w:tc>
          <w:tcPr>
            <w:tcW w:w="0" w:type="auto"/>
            <w:vAlign w:val="center"/>
            <w:hideMark/>
          </w:tcPr>
          <w:p w14:paraId="3911D75A"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Confidence Modifier</w:t>
            </w:r>
          </w:p>
        </w:tc>
      </w:tr>
      <w:tr w:rsidR="00C673CD" w:rsidRPr="00C673CD" w14:paraId="1E66D194" w14:textId="77777777" w:rsidTr="00C673CD">
        <w:trPr>
          <w:tblCellSpacing w:w="15" w:type="dxa"/>
        </w:trPr>
        <w:tc>
          <w:tcPr>
            <w:tcW w:w="0" w:type="auto"/>
            <w:vAlign w:val="center"/>
            <w:hideMark/>
          </w:tcPr>
          <w:p w14:paraId="3F13F360"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Debt to Equity</w:t>
            </w:r>
          </w:p>
        </w:tc>
        <w:tc>
          <w:tcPr>
            <w:tcW w:w="0" w:type="auto"/>
            <w:vAlign w:val="center"/>
            <w:hideMark/>
          </w:tcPr>
          <w:p w14:paraId="7B6C7985"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5.0%</w:t>
            </w:r>
          </w:p>
        </w:tc>
        <w:tc>
          <w:tcPr>
            <w:tcW w:w="0" w:type="auto"/>
            <w:vAlign w:val="center"/>
            <w:hideMark/>
          </w:tcPr>
          <w:p w14:paraId="0B7EE6BF"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±6%</w:t>
            </w:r>
          </w:p>
        </w:tc>
      </w:tr>
      <w:tr w:rsidR="00C673CD" w:rsidRPr="00C673CD" w14:paraId="50BF2ED9" w14:textId="77777777" w:rsidTr="00C673CD">
        <w:trPr>
          <w:tblCellSpacing w:w="15" w:type="dxa"/>
        </w:trPr>
        <w:tc>
          <w:tcPr>
            <w:tcW w:w="0" w:type="auto"/>
            <w:vAlign w:val="center"/>
            <w:hideMark/>
          </w:tcPr>
          <w:p w14:paraId="6982EA56"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Interest Coverage</w:t>
            </w:r>
          </w:p>
        </w:tc>
        <w:tc>
          <w:tcPr>
            <w:tcW w:w="0" w:type="auto"/>
            <w:vAlign w:val="center"/>
            <w:hideMark/>
          </w:tcPr>
          <w:p w14:paraId="5E64E1B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4.0%</w:t>
            </w:r>
          </w:p>
        </w:tc>
        <w:tc>
          <w:tcPr>
            <w:tcW w:w="0" w:type="auto"/>
            <w:vAlign w:val="center"/>
            <w:hideMark/>
          </w:tcPr>
          <w:p w14:paraId="5F335E8D"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±5%</w:t>
            </w:r>
          </w:p>
        </w:tc>
      </w:tr>
      <w:tr w:rsidR="00C673CD" w:rsidRPr="00C673CD" w14:paraId="604688A7" w14:textId="77777777" w:rsidTr="00C673CD">
        <w:trPr>
          <w:tblCellSpacing w:w="15" w:type="dxa"/>
        </w:trPr>
        <w:tc>
          <w:tcPr>
            <w:tcW w:w="0" w:type="auto"/>
            <w:vAlign w:val="center"/>
            <w:hideMark/>
          </w:tcPr>
          <w:p w14:paraId="51751CB0"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Free Cash Flow</w:t>
            </w:r>
          </w:p>
        </w:tc>
        <w:tc>
          <w:tcPr>
            <w:tcW w:w="0" w:type="auto"/>
            <w:vAlign w:val="center"/>
            <w:hideMark/>
          </w:tcPr>
          <w:p w14:paraId="14DA6E5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4.0%</w:t>
            </w:r>
          </w:p>
        </w:tc>
        <w:tc>
          <w:tcPr>
            <w:tcW w:w="0" w:type="auto"/>
            <w:vAlign w:val="center"/>
            <w:hideMark/>
          </w:tcPr>
          <w:p w14:paraId="1AC7063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±5%</w:t>
            </w:r>
          </w:p>
        </w:tc>
      </w:tr>
      <w:tr w:rsidR="00C673CD" w:rsidRPr="00C673CD" w14:paraId="6B793A49" w14:textId="77777777" w:rsidTr="00C673CD">
        <w:trPr>
          <w:tblCellSpacing w:w="15" w:type="dxa"/>
        </w:trPr>
        <w:tc>
          <w:tcPr>
            <w:tcW w:w="0" w:type="auto"/>
            <w:vAlign w:val="center"/>
            <w:hideMark/>
          </w:tcPr>
          <w:p w14:paraId="0CF5679B"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Current Ratio</w:t>
            </w:r>
          </w:p>
        </w:tc>
        <w:tc>
          <w:tcPr>
            <w:tcW w:w="0" w:type="auto"/>
            <w:vAlign w:val="center"/>
            <w:hideMark/>
          </w:tcPr>
          <w:p w14:paraId="3D945F3B"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2.0%</w:t>
            </w:r>
          </w:p>
        </w:tc>
        <w:tc>
          <w:tcPr>
            <w:tcW w:w="0" w:type="auto"/>
            <w:vAlign w:val="center"/>
            <w:hideMark/>
          </w:tcPr>
          <w:p w14:paraId="00161D93"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±3%</w:t>
            </w:r>
          </w:p>
        </w:tc>
      </w:tr>
    </w:tbl>
    <w:p w14:paraId="24BDF0F8" w14:textId="77777777" w:rsidR="00C673CD" w:rsidRPr="00C673CD" w:rsidRDefault="00C673CD" w:rsidP="00C673CD">
      <w:p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t>Module Total: 15%</w:t>
      </w:r>
    </w:p>
    <w:p w14:paraId="25D21151"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pict w14:anchorId="7588F1EA">
          <v:rect id="_x0000_i1801" style="width:0;height:1.5pt" o:hralign="center" o:hrstd="t" o:hr="t" fillcolor="#a0a0a0" stroked="f"/>
        </w:pict>
      </w:r>
    </w:p>
    <w:p w14:paraId="06EF2540" w14:textId="77777777" w:rsidR="00C673CD" w:rsidRPr="00C673CD" w:rsidRDefault="00C673CD" w:rsidP="00C673CD">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C673CD">
        <w:rPr>
          <w:rFonts w:ascii="Times New Roman" w:eastAsia="Times New Roman" w:hAnsi="Times New Roman" w:cs="Times New Roman"/>
          <w:b/>
          <w:bCs/>
          <w:color w:val="FF0000"/>
          <w:sz w:val="36"/>
          <w:szCs w:val="36"/>
        </w:rPr>
        <w:t>Market Health Indicators (Module Weight: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587"/>
        <w:gridCol w:w="2202"/>
      </w:tblGrid>
      <w:tr w:rsidR="00C673CD" w:rsidRPr="00C673CD" w14:paraId="11FECE7E" w14:textId="77777777" w:rsidTr="00C673CD">
        <w:trPr>
          <w:tblHeader/>
          <w:tblCellSpacing w:w="15" w:type="dxa"/>
        </w:trPr>
        <w:tc>
          <w:tcPr>
            <w:tcW w:w="0" w:type="auto"/>
            <w:vAlign w:val="center"/>
            <w:hideMark/>
          </w:tcPr>
          <w:p w14:paraId="1F74AD0B"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Indicator</w:t>
            </w:r>
          </w:p>
        </w:tc>
        <w:tc>
          <w:tcPr>
            <w:tcW w:w="0" w:type="auto"/>
            <w:vAlign w:val="center"/>
            <w:hideMark/>
          </w:tcPr>
          <w:p w14:paraId="5A1F3997"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Engine Weight</w:t>
            </w:r>
          </w:p>
        </w:tc>
        <w:tc>
          <w:tcPr>
            <w:tcW w:w="0" w:type="auto"/>
            <w:vAlign w:val="center"/>
            <w:hideMark/>
          </w:tcPr>
          <w:p w14:paraId="7AF13157"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Confidence Modifier</w:t>
            </w:r>
          </w:p>
        </w:tc>
      </w:tr>
      <w:tr w:rsidR="00C673CD" w:rsidRPr="00C673CD" w14:paraId="2377547B" w14:textId="77777777" w:rsidTr="00C673CD">
        <w:trPr>
          <w:tblCellSpacing w:w="15" w:type="dxa"/>
        </w:trPr>
        <w:tc>
          <w:tcPr>
            <w:tcW w:w="0" w:type="auto"/>
            <w:vAlign w:val="center"/>
            <w:hideMark/>
          </w:tcPr>
          <w:p w14:paraId="7744833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Market Cap to GDP</w:t>
            </w:r>
          </w:p>
        </w:tc>
        <w:tc>
          <w:tcPr>
            <w:tcW w:w="0" w:type="auto"/>
            <w:vAlign w:val="center"/>
            <w:hideMark/>
          </w:tcPr>
          <w:p w14:paraId="1A6B1E8A"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5.0%</w:t>
            </w:r>
          </w:p>
        </w:tc>
        <w:tc>
          <w:tcPr>
            <w:tcW w:w="0" w:type="auto"/>
            <w:vAlign w:val="center"/>
            <w:hideMark/>
          </w:tcPr>
          <w:p w14:paraId="1A7F5F4A"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±6%</w:t>
            </w:r>
          </w:p>
        </w:tc>
      </w:tr>
      <w:tr w:rsidR="00C673CD" w:rsidRPr="00C673CD" w14:paraId="040A66DE" w14:textId="77777777" w:rsidTr="00C673CD">
        <w:trPr>
          <w:tblCellSpacing w:w="15" w:type="dxa"/>
        </w:trPr>
        <w:tc>
          <w:tcPr>
            <w:tcW w:w="0" w:type="auto"/>
            <w:vAlign w:val="center"/>
            <w:hideMark/>
          </w:tcPr>
          <w:p w14:paraId="33F0A7CF"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Dividend Yield</w:t>
            </w:r>
          </w:p>
        </w:tc>
        <w:tc>
          <w:tcPr>
            <w:tcW w:w="0" w:type="auto"/>
            <w:vAlign w:val="center"/>
            <w:hideMark/>
          </w:tcPr>
          <w:p w14:paraId="326281B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2.0%</w:t>
            </w:r>
          </w:p>
        </w:tc>
        <w:tc>
          <w:tcPr>
            <w:tcW w:w="0" w:type="auto"/>
            <w:vAlign w:val="center"/>
            <w:hideMark/>
          </w:tcPr>
          <w:p w14:paraId="081761AA"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±2%</w:t>
            </w:r>
          </w:p>
        </w:tc>
      </w:tr>
      <w:tr w:rsidR="00C673CD" w:rsidRPr="00C673CD" w14:paraId="78CD5213" w14:textId="77777777" w:rsidTr="00C673CD">
        <w:trPr>
          <w:tblCellSpacing w:w="15" w:type="dxa"/>
        </w:trPr>
        <w:tc>
          <w:tcPr>
            <w:tcW w:w="0" w:type="auto"/>
            <w:vAlign w:val="center"/>
            <w:hideMark/>
          </w:tcPr>
          <w:p w14:paraId="1E18F74A"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Earnings Trend</w:t>
            </w:r>
          </w:p>
        </w:tc>
        <w:tc>
          <w:tcPr>
            <w:tcW w:w="0" w:type="auto"/>
            <w:vAlign w:val="center"/>
            <w:hideMark/>
          </w:tcPr>
          <w:p w14:paraId="3ED3A4E7"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4.0%</w:t>
            </w:r>
          </w:p>
        </w:tc>
        <w:tc>
          <w:tcPr>
            <w:tcW w:w="0" w:type="auto"/>
            <w:vAlign w:val="center"/>
            <w:hideMark/>
          </w:tcPr>
          <w:p w14:paraId="586A15A5"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±5%</w:t>
            </w:r>
          </w:p>
        </w:tc>
      </w:tr>
      <w:tr w:rsidR="00C673CD" w:rsidRPr="00C673CD" w14:paraId="1B0B1905" w14:textId="77777777" w:rsidTr="00C673CD">
        <w:trPr>
          <w:tblCellSpacing w:w="15" w:type="dxa"/>
        </w:trPr>
        <w:tc>
          <w:tcPr>
            <w:tcW w:w="0" w:type="auto"/>
            <w:vAlign w:val="center"/>
            <w:hideMark/>
          </w:tcPr>
          <w:p w14:paraId="77D29BC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FII / DII Flow</w:t>
            </w:r>
          </w:p>
        </w:tc>
        <w:tc>
          <w:tcPr>
            <w:tcW w:w="0" w:type="auto"/>
            <w:vAlign w:val="center"/>
            <w:hideMark/>
          </w:tcPr>
          <w:p w14:paraId="65AE613A"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4.0%</w:t>
            </w:r>
          </w:p>
        </w:tc>
        <w:tc>
          <w:tcPr>
            <w:tcW w:w="0" w:type="auto"/>
            <w:vAlign w:val="center"/>
            <w:hideMark/>
          </w:tcPr>
          <w:p w14:paraId="6DD4E2BB"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±6%</w:t>
            </w:r>
          </w:p>
        </w:tc>
      </w:tr>
    </w:tbl>
    <w:p w14:paraId="13CB9CAD" w14:textId="77777777" w:rsidR="00C673CD" w:rsidRPr="00C673CD" w:rsidRDefault="00C673CD" w:rsidP="00C673CD">
      <w:p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t>Module Total: 15%</w:t>
      </w:r>
    </w:p>
    <w:p w14:paraId="054653BF"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pict w14:anchorId="21B581F7">
          <v:rect id="_x0000_i1802" style="width:0;height:1.5pt" o:hralign="center" o:hrstd="t" o:hr="t" fillcolor="#a0a0a0" stroked="f"/>
        </w:pict>
      </w:r>
    </w:p>
    <w:p w14:paraId="76077105" w14:textId="77777777" w:rsidR="00C673CD" w:rsidRPr="00C673CD" w:rsidRDefault="00C673CD" w:rsidP="00C673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73CD">
        <w:rPr>
          <w:rFonts w:ascii="Times New Roman" w:eastAsia="Times New Roman" w:hAnsi="Times New Roman" w:cs="Times New Roman"/>
          <w:b/>
          <w:bCs/>
          <w:kern w:val="36"/>
          <w:sz w:val="48"/>
          <w:szCs w:val="48"/>
        </w:rPr>
        <w:t>Module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822"/>
      </w:tblGrid>
      <w:tr w:rsidR="00C673CD" w:rsidRPr="00C673CD" w14:paraId="43814CFD" w14:textId="77777777" w:rsidTr="00C673CD">
        <w:trPr>
          <w:tblHeader/>
          <w:tblCellSpacing w:w="15" w:type="dxa"/>
        </w:trPr>
        <w:tc>
          <w:tcPr>
            <w:tcW w:w="0" w:type="auto"/>
            <w:vAlign w:val="center"/>
            <w:hideMark/>
          </w:tcPr>
          <w:p w14:paraId="1687B438"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Module</w:t>
            </w:r>
          </w:p>
        </w:tc>
        <w:tc>
          <w:tcPr>
            <w:tcW w:w="0" w:type="auto"/>
            <w:vAlign w:val="center"/>
            <w:hideMark/>
          </w:tcPr>
          <w:p w14:paraId="6F19954B"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Weight</w:t>
            </w:r>
          </w:p>
        </w:tc>
      </w:tr>
      <w:tr w:rsidR="00C673CD" w:rsidRPr="00C673CD" w14:paraId="525EC062" w14:textId="77777777" w:rsidTr="00C673CD">
        <w:trPr>
          <w:tblCellSpacing w:w="15" w:type="dxa"/>
        </w:trPr>
        <w:tc>
          <w:tcPr>
            <w:tcW w:w="0" w:type="auto"/>
            <w:vAlign w:val="center"/>
            <w:hideMark/>
          </w:tcPr>
          <w:p w14:paraId="527371BB"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Valuation</w:t>
            </w:r>
          </w:p>
        </w:tc>
        <w:tc>
          <w:tcPr>
            <w:tcW w:w="0" w:type="auto"/>
            <w:vAlign w:val="center"/>
            <w:hideMark/>
          </w:tcPr>
          <w:p w14:paraId="31DEFB63"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25%</w:t>
            </w:r>
          </w:p>
        </w:tc>
      </w:tr>
      <w:tr w:rsidR="00C673CD" w:rsidRPr="00C673CD" w14:paraId="20DB534D" w14:textId="77777777" w:rsidTr="00C673CD">
        <w:trPr>
          <w:tblCellSpacing w:w="15" w:type="dxa"/>
        </w:trPr>
        <w:tc>
          <w:tcPr>
            <w:tcW w:w="0" w:type="auto"/>
            <w:vAlign w:val="center"/>
            <w:hideMark/>
          </w:tcPr>
          <w:p w14:paraId="18074B04"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Growth</w:t>
            </w:r>
          </w:p>
        </w:tc>
        <w:tc>
          <w:tcPr>
            <w:tcW w:w="0" w:type="auto"/>
            <w:vAlign w:val="center"/>
            <w:hideMark/>
          </w:tcPr>
          <w:p w14:paraId="6AD5A301"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25%</w:t>
            </w:r>
          </w:p>
        </w:tc>
      </w:tr>
      <w:tr w:rsidR="00C673CD" w:rsidRPr="00C673CD" w14:paraId="5EC83F6F" w14:textId="77777777" w:rsidTr="00C673CD">
        <w:trPr>
          <w:tblCellSpacing w:w="15" w:type="dxa"/>
        </w:trPr>
        <w:tc>
          <w:tcPr>
            <w:tcW w:w="0" w:type="auto"/>
            <w:vAlign w:val="center"/>
            <w:hideMark/>
          </w:tcPr>
          <w:p w14:paraId="19178738"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Profitability</w:t>
            </w:r>
          </w:p>
        </w:tc>
        <w:tc>
          <w:tcPr>
            <w:tcW w:w="0" w:type="auto"/>
            <w:vAlign w:val="center"/>
            <w:hideMark/>
          </w:tcPr>
          <w:p w14:paraId="36AB2571"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20%</w:t>
            </w:r>
          </w:p>
        </w:tc>
      </w:tr>
      <w:tr w:rsidR="00C673CD" w:rsidRPr="00C673CD" w14:paraId="784BAC0E" w14:textId="77777777" w:rsidTr="00C673CD">
        <w:trPr>
          <w:tblCellSpacing w:w="15" w:type="dxa"/>
        </w:trPr>
        <w:tc>
          <w:tcPr>
            <w:tcW w:w="0" w:type="auto"/>
            <w:vAlign w:val="center"/>
            <w:hideMark/>
          </w:tcPr>
          <w:p w14:paraId="433667EE"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Financial Health</w:t>
            </w:r>
          </w:p>
        </w:tc>
        <w:tc>
          <w:tcPr>
            <w:tcW w:w="0" w:type="auto"/>
            <w:vAlign w:val="center"/>
            <w:hideMark/>
          </w:tcPr>
          <w:p w14:paraId="193DF0CD"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15%</w:t>
            </w:r>
          </w:p>
        </w:tc>
      </w:tr>
      <w:tr w:rsidR="00C673CD" w:rsidRPr="00C673CD" w14:paraId="73E05ACF" w14:textId="77777777" w:rsidTr="00C673CD">
        <w:trPr>
          <w:tblCellSpacing w:w="15" w:type="dxa"/>
        </w:trPr>
        <w:tc>
          <w:tcPr>
            <w:tcW w:w="0" w:type="auto"/>
            <w:vAlign w:val="center"/>
            <w:hideMark/>
          </w:tcPr>
          <w:p w14:paraId="0A148F26"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Market Health</w:t>
            </w:r>
          </w:p>
        </w:tc>
        <w:tc>
          <w:tcPr>
            <w:tcW w:w="0" w:type="auto"/>
            <w:vAlign w:val="center"/>
            <w:hideMark/>
          </w:tcPr>
          <w:p w14:paraId="51C4543C"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15%</w:t>
            </w:r>
          </w:p>
        </w:tc>
      </w:tr>
    </w:tbl>
    <w:p w14:paraId="0108AF50" w14:textId="77777777" w:rsidR="00C673CD" w:rsidRPr="00C673CD" w:rsidRDefault="00C673CD" w:rsidP="00C673CD">
      <w:p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t>Grand Total: 100%</w:t>
      </w:r>
    </w:p>
    <w:p w14:paraId="453A4A2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pict w14:anchorId="4B47A032">
          <v:rect id="_x0000_i1803" style="width:0;height:1.5pt" o:hralign="center" o:hrstd="t" o:hr="t" fillcolor="#a0a0a0" stroked="f"/>
        </w:pict>
      </w:r>
    </w:p>
    <w:p w14:paraId="683ACB6C" w14:textId="77777777" w:rsidR="00C673CD" w:rsidRPr="00C673CD" w:rsidRDefault="00C673CD" w:rsidP="00C673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73CD">
        <w:rPr>
          <w:rFonts w:ascii="Times New Roman" w:eastAsia="Times New Roman" w:hAnsi="Times New Roman" w:cs="Times New Roman"/>
          <w:b/>
          <w:bCs/>
          <w:kern w:val="36"/>
          <w:sz w:val="48"/>
          <w:szCs w:val="48"/>
        </w:rPr>
        <w:lastRenderedPageBreak/>
        <w:t>Confidence Modifier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515"/>
      </w:tblGrid>
      <w:tr w:rsidR="00C673CD" w:rsidRPr="00C673CD" w14:paraId="6BB14A1A" w14:textId="77777777" w:rsidTr="00C673CD">
        <w:trPr>
          <w:tblHeader/>
          <w:tblCellSpacing w:w="15" w:type="dxa"/>
        </w:trPr>
        <w:tc>
          <w:tcPr>
            <w:tcW w:w="0" w:type="auto"/>
            <w:vAlign w:val="center"/>
            <w:hideMark/>
          </w:tcPr>
          <w:p w14:paraId="329AE812"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Modifier</w:t>
            </w:r>
          </w:p>
        </w:tc>
        <w:tc>
          <w:tcPr>
            <w:tcW w:w="0" w:type="auto"/>
            <w:vAlign w:val="center"/>
            <w:hideMark/>
          </w:tcPr>
          <w:p w14:paraId="7BC5BB59" w14:textId="77777777" w:rsidR="00C673CD" w:rsidRPr="00C673CD" w:rsidRDefault="00C673CD" w:rsidP="00C673CD">
            <w:pPr>
              <w:spacing w:after="0" w:line="240" w:lineRule="auto"/>
              <w:jc w:val="center"/>
              <w:rPr>
                <w:rFonts w:ascii="Times New Roman" w:eastAsia="Times New Roman" w:hAnsi="Times New Roman" w:cs="Times New Roman"/>
                <w:b/>
                <w:bCs/>
                <w:sz w:val="24"/>
                <w:szCs w:val="24"/>
              </w:rPr>
            </w:pPr>
            <w:r w:rsidRPr="00C673CD">
              <w:rPr>
                <w:rFonts w:ascii="Times New Roman" w:eastAsia="Times New Roman" w:hAnsi="Times New Roman" w:cs="Times New Roman"/>
                <w:b/>
                <w:bCs/>
                <w:sz w:val="24"/>
                <w:szCs w:val="24"/>
              </w:rPr>
              <w:t>Interpretation</w:t>
            </w:r>
          </w:p>
        </w:tc>
      </w:tr>
      <w:tr w:rsidR="00C673CD" w:rsidRPr="00C673CD" w14:paraId="74139B83" w14:textId="77777777" w:rsidTr="00C673CD">
        <w:trPr>
          <w:tblCellSpacing w:w="15" w:type="dxa"/>
        </w:trPr>
        <w:tc>
          <w:tcPr>
            <w:tcW w:w="0" w:type="auto"/>
            <w:vAlign w:val="center"/>
            <w:hideMark/>
          </w:tcPr>
          <w:p w14:paraId="0B74C28E"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±2%</w:t>
            </w:r>
          </w:p>
        </w:tc>
        <w:tc>
          <w:tcPr>
            <w:tcW w:w="0" w:type="auto"/>
            <w:vAlign w:val="center"/>
            <w:hideMark/>
          </w:tcPr>
          <w:p w14:paraId="195885D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Minor confirmation</w:t>
            </w:r>
          </w:p>
        </w:tc>
      </w:tr>
      <w:tr w:rsidR="00C673CD" w:rsidRPr="00C673CD" w14:paraId="5F64A349" w14:textId="77777777" w:rsidTr="00C673CD">
        <w:trPr>
          <w:tblCellSpacing w:w="15" w:type="dxa"/>
        </w:trPr>
        <w:tc>
          <w:tcPr>
            <w:tcW w:w="0" w:type="auto"/>
            <w:vAlign w:val="center"/>
            <w:hideMark/>
          </w:tcPr>
          <w:p w14:paraId="2F41EDF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±3–4%</w:t>
            </w:r>
          </w:p>
        </w:tc>
        <w:tc>
          <w:tcPr>
            <w:tcW w:w="0" w:type="auto"/>
            <w:vAlign w:val="center"/>
            <w:hideMark/>
          </w:tcPr>
          <w:p w14:paraId="0F523269"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Moderate confirmation</w:t>
            </w:r>
          </w:p>
        </w:tc>
      </w:tr>
      <w:tr w:rsidR="00C673CD" w:rsidRPr="00C673CD" w14:paraId="06A9DDDE" w14:textId="77777777" w:rsidTr="00C673CD">
        <w:trPr>
          <w:tblCellSpacing w:w="15" w:type="dxa"/>
        </w:trPr>
        <w:tc>
          <w:tcPr>
            <w:tcW w:w="0" w:type="auto"/>
            <w:vAlign w:val="center"/>
            <w:hideMark/>
          </w:tcPr>
          <w:p w14:paraId="32D909C0"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±5–6%</w:t>
            </w:r>
          </w:p>
        </w:tc>
        <w:tc>
          <w:tcPr>
            <w:tcW w:w="0" w:type="auto"/>
            <w:vAlign w:val="center"/>
            <w:hideMark/>
          </w:tcPr>
          <w:p w14:paraId="4B57E99C"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Strong confirmation</w:t>
            </w:r>
          </w:p>
        </w:tc>
      </w:tr>
      <w:tr w:rsidR="00C673CD" w:rsidRPr="00C673CD" w14:paraId="42870CB3" w14:textId="77777777" w:rsidTr="00C673CD">
        <w:trPr>
          <w:tblCellSpacing w:w="15" w:type="dxa"/>
        </w:trPr>
        <w:tc>
          <w:tcPr>
            <w:tcW w:w="0" w:type="auto"/>
            <w:vAlign w:val="center"/>
            <w:hideMark/>
          </w:tcPr>
          <w:p w14:paraId="3DB1391B"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±7–8%</w:t>
            </w:r>
          </w:p>
        </w:tc>
        <w:tc>
          <w:tcPr>
            <w:tcW w:w="0" w:type="auto"/>
            <w:vAlign w:val="center"/>
            <w:hideMark/>
          </w:tcPr>
          <w:p w14:paraId="52E8A822"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Very strong confirmation</w:t>
            </w:r>
          </w:p>
        </w:tc>
      </w:tr>
    </w:tbl>
    <w:p w14:paraId="51FEFB87" w14:textId="77777777" w:rsidR="00C673CD" w:rsidRPr="00C673CD" w:rsidRDefault="00C673CD" w:rsidP="00C673CD">
      <w:pPr>
        <w:spacing w:after="0"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pict w14:anchorId="15D9723D">
          <v:rect id="_x0000_i1804" style="width:0;height:1.5pt" o:hralign="center" o:hrstd="t" o:hr="t" fillcolor="#a0a0a0" stroked="f"/>
        </w:pict>
      </w:r>
    </w:p>
    <w:p w14:paraId="3E045557" w14:textId="77777777" w:rsidR="00C673CD" w:rsidRPr="00C673CD" w:rsidRDefault="00C673CD" w:rsidP="00C673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73CD">
        <w:rPr>
          <w:rFonts w:ascii="Times New Roman" w:eastAsia="Times New Roman" w:hAnsi="Times New Roman" w:cs="Times New Roman"/>
          <w:b/>
          <w:bCs/>
          <w:kern w:val="36"/>
          <w:sz w:val="48"/>
          <w:szCs w:val="48"/>
        </w:rPr>
        <w:t>Engine Formula</w:t>
      </w:r>
    </w:p>
    <w:p w14:paraId="474AC8A4" w14:textId="77777777" w:rsidR="00C673CD" w:rsidRPr="00C673CD" w:rsidRDefault="00C673CD" w:rsidP="00C673CD">
      <w:pPr>
        <w:spacing w:before="100" w:beforeAutospacing="1" w:after="100" w:afterAutospacing="1" w:line="240" w:lineRule="auto"/>
        <w:outlineLvl w:val="2"/>
        <w:rPr>
          <w:rFonts w:ascii="Times New Roman" w:eastAsia="Times New Roman" w:hAnsi="Times New Roman" w:cs="Times New Roman"/>
          <w:b/>
          <w:bCs/>
          <w:sz w:val="27"/>
          <w:szCs w:val="27"/>
        </w:rPr>
      </w:pPr>
      <w:r w:rsidRPr="00C673CD">
        <w:rPr>
          <w:rFonts w:ascii="Times New Roman" w:eastAsia="Times New Roman" w:hAnsi="Times New Roman" w:cs="Times New Roman"/>
          <w:b/>
          <w:bCs/>
          <w:sz w:val="27"/>
          <w:szCs w:val="27"/>
        </w:rPr>
        <w:t>Fundamentals Score</w:t>
      </w:r>
    </w:p>
    <w:p w14:paraId="1B0013D9"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Fundamentals Score</w:t>
      </w:r>
    </w:p>
    <w:p w14:paraId="6D061E42"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C3AD2F"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w:t>
      </w:r>
    </w:p>
    <w:p w14:paraId="53D7AA6E"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B22D4F"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Σ (Indicator Score × Engine Weight)</w:t>
      </w:r>
    </w:p>
    <w:p w14:paraId="3580E007"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1F4C74"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w:t>
      </w:r>
    </w:p>
    <w:p w14:paraId="47C4C4CC"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BEAAF6"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Σ (Engine Weight)</w:t>
      </w:r>
    </w:p>
    <w:p w14:paraId="47B18BF0" w14:textId="77777777" w:rsidR="00C673CD" w:rsidRPr="00C673CD" w:rsidRDefault="00C673CD" w:rsidP="00C673CD">
      <w:pPr>
        <w:spacing w:before="100" w:beforeAutospacing="1" w:after="100" w:afterAutospacing="1" w:line="240" w:lineRule="auto"/>
        <w:outlineLvl w:val="2"/>
        <w:rPr>
          <w:rFonts w:ascii="Times New Roman" w:eastAsia="Times New Roman" w:hAnsi="Times New Roman" w:cs="Times New Roman"/>
          <w:b/>
          <w:bCs/>
          <w:sz w:val="27"/>
          <w:szCs w:val="27"/>
        </w:rPr>
      </w:pPr>
      <w:r w:rsidRPr="00C673CD">
        <w:rPr>
          <w:rFonts w:ascii="Times New Roman" w:eastAsia="Times New Roman" w:hAnsi="Times New Roman" w:cs="Times New Roman"/>
          <w:b/>
          <w:bCs/>
          <w:sz w:val="27"/>
          <w:szCs w:val="27"/>
        </w:rPr>
        <w:t>Confidence</w:t>
      </w:r>
    </w:p>
    <w:p w14:paraId="01525799"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Confidence</w:t>
      </w:r>
    </w:p>
    <w:p w14:paraId="4EF74127"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8B5453"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w:t>
      </w:r>
    </w:p>
    <w:p w14:paraId="422EF3AE"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473A0C"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Base Confidence</w:t>
      </w:r>
    </w:p>
    <w:p w14:paraId="2D8A9E0D"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DE1B56"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w:t>
      </w:r>
    </w:p>
    <w:p w14:paraId="18CB7814"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CA55D4"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Positive Modifiers</w:t>
      </w:r>
    </w:p>
    <w:p w14:paraId="7D4B998D"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4EB9DF"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w:t>
      </w:r>
    </w:p>
    <w:p w14:paraId="5F3D7F65"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4D284C"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Negative Modifiers</w:t>
      </w:r>
    </w:p>
    <w:p w14:paraId="0C0FC6F3" w14:textId="77777777" w:rsidR="00C673CD" w:rsidRPr="00C673CD" w:rsidRDefault="00C673CD" w:rsidP="00C673CD">
      <w:pPr>
        <w:spacing w:before="100" w:beforeAutospacing="1" w:after="100" w:afterAutospacing="1" w:line="240" w:lineRule="auto"/>
        <w:outlineLvl w:val="2"/>
        <w:rPr>
          <w:rFonts w:ascii="Times New Roman" w:eastAsia="Times New Roman" w:hAnsi="Times New Roman" w:cs="Times New Roman"/>
          <w:b/>
          <w:bCs/>
          <w:sz w:val="27"/>
          <w:szCs w:val="27"/>
        </w:rPr>
      </w:pPr>
      <w:r w:rsidRPr="00C673CD">
        <w:rPr>
          <w:rFonts w:ascii="Times New Roman" w:eastAsia="Times New Roman" w:hAnsi="Times New Roman" w:cs="Times New Roman"/>
          <w:b/>
          <w:bCs/>
          <w:sz w:val="27"/>
          <w:szCs w:val="27"/>
        </w:rPr>
        <w:t>Final Score Range</w:t>
      </w:r>
    </w:p>
    <w:p w14:paraId="54501BDD"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0 – 100</w:t>
      </w:r>
    </w:p>
    <w:p w14:paraId="2049C0FB" w14:textId="77777777" w:rsidR="00C673CD" w:rsidRPr="00C673CD" w:rsidRDefault="00C673CD" w:rsidP="00C673CD">
      <w:pPr>
        <w:spacing w:before="100" w:beforeAutospacing="1" w:after="100" w:afterAutospacing="1" w:line="240" w:lineRule="auto"/>
        <w:outlineLvl w:val="2"/>
        <w:rPr>
          <w:rFonts w:ascii="Times New Roman" w:eastAsia="Times New Roman" w:hAnsi="Times New Roman" w:cs="Times New Roman"/>
          <w:b/>
          <w:bCs/>
          <w:sz w:val="27"/>
          <w:szCs w:val="27"/>
        </w:rPr>
      </w:pPr>
      <w:r w:rsidRPr="00C673CD">
        <w:rPr>
          <w:rFonts w:ascii="Times New Roman" w:eastAsia="Times New Roman" w:hAnsi="Times New Roman" w:cs="Times New Roman"/>
          <w:b/>
          <w:bCs/>
          <w:sz w:val="27"/>
          <w:szCs w:val="27"/>
        </w:rPr>
        <w:t>Final Confidence Range</w:t>
      </w:r>
    </w:p>
    <w:p w14:paraId="487D32E7" w14:textId="77777777" w:rsidR="00C673CD" w:rsidRPr="00C673CD" w:rsidRDefault="00C673CD" w:rsidP="00C67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73CD">
        <w:rPr>
          <w:rFonts w:ascii="Courier New" w:eastAsia="Times New Roman" w:hAnsi="Courier New" w:cs="Courier New"/>
          <w:sz w:val="20"/>
          <w:szCs w:val="20"/>
        </w:rPr>
        <w:t>0 – 100</w:t>
      </w:r>
    </w:p>
    <w:p w14:paraId="061699F8" w14:textId="77777777" w:rsidR="00C673CD" w:rsidRPr="00C673CD" w:rsidRDefault="00C673CD" w:rsidP="00C673CD">
      <w:pPr>
        <w:spacing w:before="100" w:beforeAutospacing="1" w:after="100" w:afterAutospacing="1" w:line="240" w:lineRule="auto"/>
        <w:outlineLvl w:val="1"/>
        <w:rPr>
          <w:rFonts w:ascii="Times New Roman" w:eastAsia="Times New Roman" w:hAnsi="Times New Roman" w:cs="Times New Roman"/>
          <w:b/>
          <w:bCs/>
          <w:sz w:val="36"/>
          <w:szCs w:val="36"/>
        </w:rPr>
      </w:pPr>
      <w:r w:rsidRPr="00C673CD">
        <w:rPr>
          <w:rFonts w:ascii="Times New Roman" w:eastAsia="Times New Roman" w:hAnsi="Times New Roman" w:cs="Times New Roman"/>
          <w:b/>
          <w:bCs/>
          <w:sz w:val="36"/>
          <w:szCs w:val="36"/>
        </w:rPr>
        <w:lastRenderedPageBreak/>
        <w:t>Why these weights?</w:t>
      </w:r>
    </w:p>
    <w:p w14:paraId="2C1D6E9A" w14:textId="77777777" w:rsidR="00C673CD" w:rsidRPr="00C673CD" w:rsidRDefault="00C673CD" w:rsidP="00C673CD">
      <w:p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sz w:val="24"/>
          <w:szCs w:val="24"/>
        </w:rPr>
        <w:t>These weights are based on how institutional investors typically evaluate companies and markets:</w:t>
      </w:r>
    </w:p>
    <w:p w14:paraId="0028C392" w14:textId="77777777" w:rsidR="00C673CD" w:rsidRPr="00C673CD" w:rsidRDefault="00C673CD" w:rsidP="00C673CD">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t>PE Ratio, Forward PE, EPS Growth, ROE, and ROCE</w:t>
      </w:r>
      <w:r w:rsidRPr="00C673CD">
        <w:rPr>
          <w:rFonts w:ascii="Times New Roman" w:eastAsia="Times New Roman" w:hAnsi="Times New Roman" w:cs="Times New Roman"/>
          <w:sz w:val="24"/>
          <w:szCs w:val="24"/>
        </w:rPr>
        <w:t xml:space="preserve"> receive the highest weights because they are the most influential valuation and quality metrics. </w:t>
      </w:r>
    </w:p>
    <w:p w14:paraId="36E35F4D" w14:textId="77777777" w:rsidR="00C673CD" w:rsidRPr="00C673CD" w:rsidRDefault="00C673CD" w:rsidP="00C673CD">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t>Debt to Equity</w:t>
      </w:r>
      <w:r w:rsidRPr="00C673CD">
        <w:rPr>
          <w:rFonts w:ascii="Times New Roman" w:eastAsia="Times New Roman" w:hAnsi="Times New Roman" w:cs="Times New Roman"/>
          <w:sz w:val="24"/>
          <w:szCs w:val="24"/>
        </w:rPr>
        <w:t xml:space="preserve"> is the most important financial risk metric, so it receives the highest weight within Financial Health. </w:t>
      </w:r>
    </w:p>
    <w:p w14:paraId="4BCBEDB5" w14:textId="77777777" w:rsidR="00C673CD" w:rsidRPr="00C673CD" w:rsidRDefault="00C673CD" w:rsidP="00C673CD">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t>Market Cap to GDP</w:t>
      </w:r>
      <w:r w:rsidRPr="00C673CD">
        <w:rPr>
          <w:rFonts w:ascii="Times New Roman" w:eastAsia="Times New Roman" w:hAnsi="Times New Roman" w:cs="Times New Roman"/>
          <w:sz w:val="24"/>
          <w:szCs w:val="24"/>
        </w:rPr>
        <w:t xml:space="preserve"> is the strongest macro valuation indicator, while </w:t>
      </w:r>
      <w:r w:rsidRPr="00C673CD">
        <w:rPr>
          <w:rFonts w:ascii="Times New Roman" w:eastAsia="Times New Roman" w:hAnsi="Times New Roman" w:cs="Times New Roman"/>
          <w:b/>
          <w:bCs/>
          <w:sz w:val="24"/>
          <w:szCs w:val="24"/>
        </w:rPr>
        <w:t>FII/DII Flow</w:t>
      </w:r>
      <w:r w:rsidRPr="00C673CD">
        <w:rPr>
          <w:rFonts w:ascii="Times New Roman" w:eastAsia="Times New Roman" w:hAnsi="Times New Roman" w:cs="Times New Roman"/>
          <w:sz w:val="24"/>
          <w:szCs w:val="24"/>
        </w:rPr>
        <w:t xml:space="preserve"> is the strongest sentiment indicator within Market Health. </w:t>
      </w:r>
    </w:p>
    <w:p w14:paraId="696B0DB8" w14:textId="77777777" w:rsidR="00C673CD" w:rsidRPr="00C673CD" w:rsidRDefault="00C673CD" w:rsidP="00C673CD">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673CD">
        <w:rPr>
          <w:rFonts w:ascii="Times New Roman" w:eastAsia="Times New Roman" w:hAnsi="Times New Roman" w:cs="Times New Roman"/>
          <w:b/>
          <w:bCs/>
          <w:sz w:val="24"/>
          <w:szCs w:val="24"/>
        </w:rPr>
        <w:t>Current Ratio</w:t>
      </w:r>
      <w:r w:rsidRPr="00C673CD">
        <w:rPr>
          <w:rFonts w:ascii="Times New Roman" w:eastAsia="Times New Roman" w:hAnsi="Times New Roman" w:cs="Times New Roman"/>
          <w:sz w:val="24"/>
          <w:szCs w:val="24"/>
        </w:rPr>
        <w:t xml:space="preserve"> and </w:t>
      </w:r>
      <w:r w:rsidRPr="00C673CD">
        <w:rPr>
          <w:rFonts w:ascii="Times New Roman" w:eastAsia="Times New Roman" w:hAnsi="Times New Roman" w:cs="Times New Roman"/>
          <w:b/>
          <w:bCs/>
          <w:sz w:val="24"/>
          <w:szCs w:val="24"/>
        </w:rPr>
        <w:t>Dividend Yield</w:t>
      </w:r>
      <w:r w:rsidRPr="00C673CD">
        <w:rPr>
          <w:rFonts w:ascii="Times New Roman" w:eastAsia="Times New Roman" w:hAnsi="Times New Roman" w:cs="Times New Roman"/>
          <w:sz w:val="24"/>
          <w:szCs w:val="24"/>
        </w:rPr>
        <w:t xml:space="preserve"> receive lower weights because, although useful, they are generally supporting indicators rather than primary drivers of long-term investment decisions.</w:t>
      </w:r>
    </w:p>
    <w:p w14:paraId="21A48154" w14:textId="77777777" w:rsidR="00C673CD" w:rsidRPr="002B50C2" w:rsidRDefault="00C673CD" w:rsidP="002B50C2">
      <w:pPr>
        <w:pBdr>
          <w:top w:val="single" w:sz="6" w:space="1" w:color="auto"/>
        </w:pBdr>
        <w:spacing w:after="0" w:line="240" w:lineRule="auto"/>
        <w:jc w:val="center"/>
        <w:rPr>
          <w:rFonts w:ascii="Arial" w:eastAsia="Times New Roman" w:hAnsi="Arial" w:cs="Arial"/>
          <w:vanish/>
          <w:sz w:val="16"/>
          <w:szCs w:val="16"/>
        </w:rPr>
      </w:pPr>
    </w:p>
    <w:p w14:paraId="2A957A5D" w14:textId="24BDA978" w:rsidR="002B50C2" w:rsidRDefault="002B50C2"/>
    <w:sectPr w:rsidR="002B5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BA2"/>
    <w:multiLevelType w:val="multilevel"/>
    <w:tmpl w:val="8694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ED0"/>
    <w:multiLevelType w:val="multilevel"/>
    <w:tmpl w:val="DCF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660B9"/>
    <w:multiLevelType w:val="multilevel"/>
    <w:tmpl w:val="EC6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82B9B"/>
    <w:multiLevelType w:val="multilevel"/>
    <w:tmpl w:val="118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32979"/>
    <w:multiLevelType w:val="multilevel"/>
    <w:tmpl w:val="933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15B49"/>
    <w:multiLevelType w:val="multilevel"/>
    <w:tmpl w:val="70B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177B8"/>
    <w:multiLevelType w:val="multilevel"/>
    <w:tmpl w:val="3E4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350E8"/>
    <w:multiLevelType w:val="multilevel"/>
    <w:tmpl w:val="40D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21E29"/>
    <w:multiLevelType w:val="multilevel"/>
    <w:tmpl w:val="A70A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EE663A"/>
    <w:multiLevelType w:val="multilevel"/>
    <w:tmpl w:val="334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90F87"/>
    <w:multiLevelType w:val="multilevel"/>
    <w:tmpl w:val="CEF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B6B41"/>
    <w:multiLevelType w:val="multilevel"/>
    <w:tmpl w:val="F692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43AC4"/>
    <w:multiLevelType w:val="multilevel"/>
    <w:tmpl w:val="7E62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4C580A"/>
    <w:multiLevelType w:val="multilevel"/>
    <w:tmpl w:val="A528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F1B10"/>
    <w:multiLevelType w:val="multilevel"/>
    <w:tmpl w:val="FA8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3398E"/>
    <w:multiLevelType w:val="multilevel"/>
    <w:tmpl w:val="9712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9A0D2D"/>
    <w:multiLevelType w:val="multilevel"/>
    <w:tmpl w:val="4D3C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CC1DCD"/>
    <w:multiLevelType w:val="multilevel"/>
    <w:tmpl w:val="DC42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148DC"/>
    <w:multiLevelType w:val="multilevel"/>
    <w:tmpl w:val="B510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481644"/>
    <w:multiLevelType w:val="multilevel"/>
    <w:tmpl w:val="E5A2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90EA1"/>
    <w:multiLevelType w:val="multilevel"/>
    <w:tmpl w:val="F2B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AF4758"/>
    <w:multiLevelType w:val="multilevel"/>
    <w:tmpl w:val="9AEE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143428"/>
    <w:multiLevelType w:val="multilevel"/>
    <w:tmpl w:val="4C22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352C0B"/>
    <w:multiLevelType w:val="multilevel"/>
    <w:tmpl w:val="D66E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A5831"/>
    <w:multiLevelType w:val="multilevel"/>
    <w:tmpl w:val="549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614B9E"/>
    <w:multiLevelType w:val="multilevel"/>
    <w:tmpl w:val="4A6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6D09BB"/>
    <w:multiLevelType w:val="multilevel"/>
    <w:tmpl w:val="073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A146B5"/>
    <w:multiLevelType w:val="multilevel"/>
    <w:tmpl w:val="7BFE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930755"/>
    <w:multiLevelType w:val="multilevel"/>
    <w:tmpl w:val="FDC4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5C2509"/>
    <w:multiLevelType w:val="multilevel"/>
    <w:tmpl w:val="EC80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5569FC"/>
    <w:multiLevelType w:val="multilevel"/>
    <w:tmpl w:val="9214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69686D"/>
    <w:multiLevelType w:val="multilevel"/>
    <w:tmpl w:val="D2C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74186D"/>
    <w:multiLevelType w:val="multilevel"/>
    <w:tmpl w:val="639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9C1770"/>
    <w:multiLevelType w:val="multilevel"/>
    <w:tmpl w:val="AF8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A729A6"/>
    <w:multiLevelType w:val="multilevel"/>
    <w:tmpl w:val="F848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427BA"/>
    <w:multiLevelType w:val="multilevel"/>
    <w:tmpl w:val="9F6C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CE7E9A"/>
    <w:multiLevelType w:val="multilevel"/>
    <w:tmpl w:val="807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475BA"/>
    <w:multiLevelType w:val="multilevel"/>
    <w:tmpl w:val="89A6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2504F3"/>
    <w:multiLevelType w:val="multilevel"/>
    <w:tmpl w:val="14C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5F4A93"/>
    <w:multiLevelType w:val="multilevel"/>
    <w:tmpl w:val="80FE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B657D2"/>
    <w:multiLevelType w:val="multilevel"/>
    <w:tmpl w:val="9CB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021CFC"/>
    <w:multiLevelType w:val="multilevel"/>
    <w:tmpl w:val="2DB2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371525"/>
    <w:multiLevelType w:val="multilevel"/>
    <w:tmpl w:val="E6B0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8175AF"/>
    <w:multiLevelType w:val="multilevel"/>
    <w:tmpl w:val="F1E20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3DE56E6"/>
    <w:multiLevelType w:val="multilevel"/>
    <w:tmpl w:val="DF1E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E61607"/>
    <w:multiLevelType w:val="multilevel"/>
    <w:tmpl w:val="8298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8B5CF2"/>
    <w:multiLevelType w:val="multilevel"/>
    <w:tmpl w:val="CE3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8F734F"/>
    <w:multiLevelType w:val="multilevel"/>
    <w:tmpl w:val="D45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982F9C"/>
    <w:multiLevelType w:val="multilevel"/>
    <w:tmpl w:val="564E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C4474B"/>
    <w:multiLevelType w:val="multilevel"/>
    <w:tmpl w:val="B6B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52753E"/>
    <w:multiLevelType w:val="multilevel"/>
    <w:tmpl w:val="5BD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A73D62"/>
    <w:multiLevelType w:val="multilevel"/>
    <w:tmpl w:val="14125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C40489"/>
    <w:multiLevelType w:val="multilevel"/>
    <w:tmpl w:val="730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E73F48"/>
    <w:multiLevelType w:val="multilevel"/>
    <w:tmpl w:val="E32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A5587B"/>
    <w:multiLevelType w:val="multilevel"/>
    <w:tmpl w:val="67B0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187E3A"/>
    <w:multiLevelType w:val="multilevel"/>
    <w:tmpl w:val="A2A41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397B08"/>
    <w:multiLevelType w:val="multilevel"/>
    <w:tmpl w:val="4B44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7F03B9"/>
    <w:multiLevelType w:val="multilevel"/>
    <w:tmpl w:val="0DA4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88F6B7A"/>
    <w:multiLevelType w:val="multilevel"/>
    <w:tmpl w:val="CAA6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087374"/>
    <w:multiLevelType w:val="multilevel"/>
    <w:tmpl w:val="DED2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1020F1"/>
    <w:multiLevelType w:val="multilevel"/>
    <w:tmpl w:val="CC0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59217F"/>
    <w:multiLevelType w:val="multilevel"/>
    <w:tmpl w:val="967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9E7E57"/>
    <w:multiLevelType w:val="multilevel"/>
    <w:tmpl w:val="563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DD693D"/>
    <w:multiLevelType w:val="multilevel"/>
    <w:tmpl w:val="246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032193"/>
    <w:multiLevelType w:val="multilevel"/>
    <w:tmpl w:val="8D98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427F2E"/>
    <w:multiLevelType w:val="multilevel"/>
    <w:tmpl w:val="B2D4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4573A8"/>
    <w:multiLevelType w:val="multilevel"/>
    <w:tmpl w:val="7C4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1D4D62"/>
    <w:multiLevelType w:val="multilevel"/>
    <w:tmpl w:val="DE7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6817CC"/>
    <w:multiLevelType w:val="multilevel"/>
    <w:tmpl w:val="362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8F6570"/>
    <w:multiLevelType w:val="multilevel"/>
    <w:tmpl w:val="9B2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B23060"/>
    <w:multiLevelType w:val="multilevel"/>
    <w:tmpl w:val="27C6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EF4F6B"/>
    <w:multiLevelType w:val="multilevel"/>
    <w:tmpl w:val="E664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6A3E85"/>
    <w:multiLevelType w:val="multilevel"/>
    <w:tmpl w:val="4EA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732173"/>
    <w:multiLevelType w:val="multilevel"/>
    <w:tmpl w:val="E182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003D5C"/>
    <w:multiLevelType w:val="multilevel"/>
    <w:tmpl w:val="6EE2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6E2DE9"/>
    <w:multiLevelType w:val="multilevel"/>
    <w:tmpl w:val="ECF6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4F491A"/>
    <w:multiLevelType w:val="multilevel"/>
    <w:tmpl w:val="71867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C16FEB"/>
    <w:multiLevelType w:val="multilevel"/>
    <w:tmpl w:val="9A90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C27B3C"/>
    <w:multiLevelType w:val="multilevel"/>
    <w:tmpl w:val="1EE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F94CDC"/>
    <w:multiLevelType w:val="multilevel"/>
    <w:tmpl w:val="BF7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285DEC"/>
    <w:multiLevelType w:val="multilevel"/>
    <w:tmpl w:val="E5AA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EC2DC1"/>
    <w:multiLevelType w:val="multilevel"/>
    <w:tmpl w:val="07A0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1569F5"/>
    <w:multiLevelType w:val="multilevel"/>
    <w:tmpl w:val="5522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3A3228"/>
    <w:multiLevelType w:val="multilevel"/>
    <w:tmpl w:val="E74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804602"/>
    <w:multiLevelType w:val="multilevel"/>
    <w:tmpl w:val="E9E8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720F59"/>
    <w:multiLevelType w:val="multilevel"/>
    <w:tmpl w:val="051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A7015C"/>
    <w:multiLevelType w:val="multilevel"/>
    <w:tmpl w:val="9CFA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B92CED"/>
    <w:multiLevelType w:val="multilevel"/>
    <w:tmpl w:val="8F68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5F7D46"/>
    <w:multiLevelType w:val="multilevel"/>
    <w:tmpl w:val="620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8547C5"/>
    <w:multiLevelType w:val="multilevel"/>
    <w:tmpl w:val="43F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003B42"/>
    <w:multiLevelType w:val="multilevel"/>
    <w:tmpl w:val="4276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7821A2"/>
    <w:multiLevelType w:val="multilevel"/>
    <w:tmpl w:val="DF3E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C5393C"/>
    <w:multiLevelType w:val="multilevel"/>
    <w:tmpl w:val="F0DC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FC6C9A"/>
    <w:multiLevelType w:val="multilevel"/>
    <w:tmpl w:val="3FF6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7F0841"/>
    <w:multiLevelType w:val="multilevel"/>
    <w:tmpl w:val="C42A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A421B6"/>
    <w:multiLevelType w:val="multilevel"/>
    <w:tmpl w:val="F7B0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EC5ADC"/>
    <w:multiLevelType w:val="multilevel"/>
    <w:tmpl w:val="E5C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040892"/>
    <w:multiLevelType w:val="multilevel"/>
    <w:tmpl w:val="D9B6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71E71E5"/>
    <w:multiLevelType w:val="multilevel"/>
    <w:tmpl w:val="74E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A52AD3"/>
    <w:multiLevelType w:val="multilevel"/>
    <w:tmpl w:val="275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ED5EB7"/>
    <w:multiLevelType w:val="multilevel"/>
    <w:tmpl w:val="AD6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BD0802"/>
    <w:multiLevelType w:val="multilevel"/>
    <w:tmpl w:val="E65E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1816AE"/>
    <w:multiLevelType w:val="multilevel"/>
    <w:tmpl w:val="AFEE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8E5254"/>
    <w:multiLevelType w:val="multilevel"/>
    <w:tmpl w:val="321C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4179DC"/>
    <w:multiLevelType w:val="multilevel"/>
    <w:tmpl w:val="856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8A56D1"/>
    <w:multiLevelType w:val="multilevel"/>
    <w:tmpl w:val="D5C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D11BC2"/>
    <w:multiLevelType w:val="multilevel"/>
    <w:tmpl w:val="21D0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ED3BC4"/>
    <w:multiLevelType w:val="multilevel"/>
    <w:tmpl w:val="4038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FB4905"/>
    <w:multiLevelType w:val="multilevel"/>
    <w:tmpl w:val="054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9C0675"/>
    <w:multiLevelType w:val="multilevel"/>
    <w:tmpl w:val="B032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D57E6C"/>
    <w:multiLevelType w:val="multilevel"/>
    <w:tmpl w:val="885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F83F33"/>
    <w:multiLevelType w:val="multilevel"/>
    <w:tmpl w:val="86B0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25726D"/>
    <w:multiLevelType w:val="multilevel"/>
    <w:tmpl w:val="28F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A05C0A"/>
    <w:multiLevelType w:val="multilevel"/>
    <w:tmpl w:val="6E6C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F673217"/>
    <w:multiLevelType w:val="multilevel"/>
    <w:tmpl w:val="CFF0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7259D1"/>
    <w:multiLevelType w:val="multilevel"/>
    <w:tmpl w:val="FD8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BC75B1"/>
    <w:multiLevelType w:val="multilevel"/>
    <w:tmpl w:val="9B5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1B4AB6"/>
    <w:multiLevelType w:val="multilevel"/>
    <w:tmpl w:val="F4E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4D3456"/>
    <w:multiLevelType w:val="multilevel"/>
    <w:tmpl w:val="2862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C825DE"/>
    <w:multiLevelType w:val="multilevel"/>
    <w:tmpl w:val="F0D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2640D2"/>
    <w:multiLevelType w:val="multilevel"/>
    <w:tmpl w:val="D2E4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4B5170"/>
    <w:multiLevelType w:val="multilevel"/>
    <w:tmpl w:val="FE5E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18871D6"/>
    <w:multiLevelType w:val="multilevel"/>
    <w:tmpl w:val="BCB2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19F5943"/>
    <w:multiLevelType w:val="multilevel"/>
    <w:tmpl w:val="74F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A1327F"/>
    <w:multiLevelType w:val="multilevel"/>
    <w:tmpl w:val="F974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42382C"/>
    <w:multiLevelType w:val="multilevel"/>
    <w:tmpl w:val="3E78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593083"/>
    <w:multiLevelType w:val="multilevel"/>
    <w:tmpl w:val="97C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8E1E82"/>
    <w:multiLevelType w:val="multilevel"/>
    <w:tmpl w:val="1D1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900673"/>
    <w:multiLevelType w:val="multilevel"/>
    <w:tmpl w:val="33D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A6503D"/>
    <w:multiLevelType w:val="multilevel"/>
    <w:tmpl w:val="E280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D67A1C"/>
    <w:multiLevelType w:val="multilevel"/>
    <w:tmpl w:val="9FB2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271C4C"/>
    <w:multiLevelType w:val="multilevel"/>
    <w:tmpl w:val="8CAC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A044D1"/>
    <w:multiLevelType w:val="multilevel"/>
    <w:tmpl w:val="A36C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C10349"/>
    <w:multiLevelType w:val="multilevel"/>
    <w:tmpl w:val="811A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F016BB"/>
    <w:multiLevelType w:val="multilevel"/>
    <w:tmpl w:val="88EC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A95E42"/>
    <w:multiLevelType w:val="multilevel"/>
    <w:tmpl w:val="C65E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506AC7"/>
    <w:multiLevelType w:val="multilevel"/>
    <w:tmpl w:val="386A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7B3CAB"/>
    <w:multiLevelType w:val="multilevel"/>
    <w:tmpl w:val="3A8A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6EA7D3A"/>
    <w:multiLevelType w:val="multilevel"/>
    <w:tmpl w:val="B7E8C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7381B97"/>
    <w:multiLevelType w:val="multilevel"/>
    <w:tmpl w:val="34D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D34D8F"/>
    <w:multiLevelType w:val="multilevel"/>
    <w:tmpl w:val="3B02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026E90"/>
    <w:multiLevelType w:val="multilevel"/>
    <w:tmpl w:val="9218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86E088B"/>
    <w:multiLevelType w:val="multilevel"/>
    <w:tmpl w:val="BDB8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B363C8"/>
    <w:multiLevelType w:val="multilevel"/>
    <w:tmpl w:val="7BF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C636B5"/>
    <w:multiLevelType w:val="multilevel"/>
    <w:tmpl w:val="181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D85410"/>
    <w:multiLevelType w:val="multilevel"/>
    <w:tmpl w:val="57E2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2263AE"/>
    <w:multiLevelType w:val="multilevel"/>
    <w:tmpl w:val="AB56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6B5888"/>
    <w:multiLevelType w:val="multilevel"/>
    <w:tmpl w:val="586C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AF62B8D"/>
    <w:multiLevelType w:val="multilevel"/>
    <w:tmpl w:val="FC02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0A24EB"/>
    <w:multiLevelType w:val="multilevel"/>
    <w:tmpl w:val="ED0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921213"/>
    <w:multiLevelType w:val="multilevel"/>
    <w:tmpl w:val="2FF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1D64AC"/>
    <w:multiLevelType w:val="multilevel"/>
    <w:tmpl w:val="AFE4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331EF2"/>
    <w:multiLevelType w:val="multilevel"/>
    <w:tmpl w:val="C6F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E080136"/>
    <w:multiLevelType w:val="multilevel"/>
    <w:tmpl w:val="5D70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E132923"/>
    <w:multiLevelType w:val="multilevel"/>
    <w:tmpl w:val="CEBA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712F71"/>
    <w:multiLevelType w:val="multilevel"/>
    <w:tmpl w:val="A1AE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992E7E"/>
    <w:multiLevelType w:val="multilevel"/>
    <w:tmpl w:val="C56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C24680"/>
    <w:multiLevelType w:val="multilevel"/>
    <w:tmpl w:val="C2F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01E7740"/>
    <w:multiLevelType w:val="multilevel"/>
    <w:tmpl w:val="3E22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246DE1"/>
    <w:multiLevelType w:val="multilevel"/>
    <w:tmpl w:val="1CA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0F0DA3"/>
    <w:multiLevelType w:val="multilevel"/>
    <w:tmpl w:val="B738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10323B"/>
    <w:multiLevelType w:val="multilevel"/>
    <w:tmpl w:val="824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837837"/>
    <w:multiLevelType w:val="multilevel"/>
    <w:tmpl w:val="554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F103CB"/>
    <w:multiLevelType w:val="multilevel"/>
    <w:tmpl w:val="784C9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23418B4"/>
    <w:multiLevelType w:val="multilevel"/>
    <w:tmpl w:val="ECD0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2946630"/>
    <w:multiLevelType w:val="multilevel"/>
    <w:tmpl w:val="F3A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D103C2"/>
    <w:multiLevelType w:val="multilevel"/>
    <w:tmpl w:val="A7AA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AD15EC"/>
    <w:multiLevelType w:val="multilevel"/>
    <w:tmpl w:val="473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BF3746"/>
    <w:multiLevelType w:val="multilevel"/>
    <w:tmpl w:val="4AE20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3E14DD9"/>
    <w:multiLevelType w:val="multilevel"/>
    <w:tmpl w:val="68AA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0E1991"/>
    <w:multiLevelType w:val="multilevel"/>
    <w:tmpl w:val="0FF8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97156A"/>
    <w:multiLevelType w:val="multilevel"/>
    <w:tmpl w:val="906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A4045B"/>
    <w:multiLevelType w:val="multilevel"/>
    <w:tmpl w:val="9DCC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5C670C4"/>
    <w:multiLevelType w:val="multilevel"/>
    <w:tmpl w:val="C24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1B46C7"/>
    <w:multiLevelType w:val="multilevel"/>
    <w:tmpl w:val="100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253894"/>
    <w:multiLevelType w:val="multilevel"/>
    <w:tmpl w:val="8D18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ED32A4"/>
    <w:multiLevelType w:val="multilevel"/>
    <w:tmpl w:val="DB4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39176E"/>
    <w:multiLevelType w:val="multilevel"/>
    <w:tmpl w:val="33DC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8BF16A5"/>
    <w:multiLevelType w:val="multilevel"/>
    <w:tmpl w:val="F430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603939"/>
    <w:multiLevelType w:val="multilevel"/>
    <w:tmpl w:val="DE98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A0606BF"/>
    <w:multiLevelType w:val="multilevel"/>
    <w:tmpl w:val="071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9B7031"/>
    <w:multiLevelType w:val="multilevel"/>
    <w:tmpl w:val="C21C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CC29FF"/>
    <w:multiLevelType w:val="multilevel"/>
    <w:tmpl w:val="B86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54243E"/>
    <w:multiLevelType w:val="multilevel"/>
    <w:tmpl w:val="2EDAB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BA11240"/>
    <w:multiLevelType w:val="multilevel"/>
    <w:tmpl w:val="844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564502"/>
    <w:multiLevelType w:val="multilevel"/>
    <w:tmpl w:val="6070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D770ED3"/>
    <w:multiLevelType w:val="multilevel"/>
    <w:tmpl w:val="CAB6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947EE5"/>
    <w:multiLevelType w:val="multilevel"/>
    <w:tmpl w:val="D7A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AA3E9B"/>
    <w:multiLevelType w:val="multilevel"/>
    <w:tmpl w:val="F9E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07197B"/>
    <w:multiLevelType w:val="multilevel"/>
    <w:tmpl w:val="5E78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207100"/>
    <w:multiLevelType w:val="multilevel"/>
    <w:tmpl w:val="AAE2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211E60"/>
    <w:multiLevelType w:val="multilevel"/>
    <w:tmpl w:val="E92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E3763C4"/>
    <w:multiLevelType w:val="multilevel"/>
    <w:tmpl w:val="232E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D92F94"/>
    <w:multiLevelType w:val="multilevel"/>
    <w:tmpl w:val="0C82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05F23C3"/>
    <w:multiLevelType w:val="multilevel"/>
    <w:tmpl w:val="537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A74C3A"/>
    <w:multiLevelType w:val="multilevel"/>
    <w:tmpl w:val="3086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F91CA3"/>
    <w:multiLevelType w:val="multilevel"/>
    <w:tmpl w:val="B6E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962CCF"/>
    <w:multiLevelType w:val="multilevel"/>
    <w:tmpl w:val="681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2095A1B"/>
    <w:multiLevelType w:val="multilevel"/>
    <w:tmpl w:val="167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21127DC"/>
    <w:multiLevelType w:val="multilevel"/>
    <w:tmpl w:val="C6D0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21734E"/>
    <w:multiLevelType w:val="multilevel"/>
    <w:tmpl w:val="AA04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2C1675"/>
    <w:multiLevelType w:val="multilevel"/>
    <w:tmpl w:val="666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147B45"/>
    <w:multiLevelType w:val="multilevel"/>
    <w:tmpl w:val="B2B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27543D"/>
    <w:multiLevelType w:val="multilevel"/>
    <w:tmpl w:val="D8C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8B34BE"/>
    <w:multiLevelType w:val="multilevel"/>
    <w:tmpl w:val="424A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C56B2E"/>
    <w:multiLevelType w:val="multilevel"/>
    <w:tmpl w:val="2632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D562BA"/>
    <w:multiLevelType w:val="multilevel"/>
    <w:tmpl w:val="A1DC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DC7153"/>
    <w:multiLevelType w:val="multilevel"/>
    <w:tmpl w:val="BDB6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4CD084C"/>
    <w:multiLevelType w:val="multilevel"/>
    <w:tmpl w:val="FB7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D47FF2"/>
    <w:multiLevelType w:val="multilevel"/>
    <w:tmpl w:val="697E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E759CB"/>
    <w:multiLevelType w:val="multilevel"/>
    <w:tmpl w:val="381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5A011EE"/>
    <w:multiLevelType w:val="multilevel"/>
    <w:tmpl w:val="390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5EA3801"/>
    <w:multiLevelType w:val="multilevel"/>
    <w:tmpl w:val="8B8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60B2736"/>
    <w:multiLevelType w:val="multilevel"/>
    <w:tmpl w:val="1ED0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61E0A21"/>
    <w:multiLevelType w:val="multilevel"/>
    <w:tmpl w:val="949C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66E09D3"/>
    <w:multiLevelType w:val="multilevel"/>
    <w:tmpl w:val="0F58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68A2D32"/>
    <w:multiLevelType w:val="multilevel"/>
    <w:tmpl w:val="0E9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C87F58"/>
    <w:multiLevelType w:val="multilevel"/>
    <w:tmpl w:val="622A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011C6C"/>
    <w:multiLevelType w:val="multilevel"/>
    <w:tmpl w:val="0974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3722A0"/>
    <w:multiLevelType w:val="multilevel"/>
    <w:tmpl w:val="0182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7A051C1"/>
    <w:multiLevelType w:val="multilevel"/>
    <w:tmpl w:val="35B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7AB0316"/>
    <w:multiLevelType w:val="multilevel"/>
    <w:tmpl w:val="FF388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7AE7793"/>
    <w:multiLevelType w:val="multilevel"/>
    <w:tmpl w:val="1F1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365EF9"/>
    <w:multiLevelType w:val="multilevel"/>
    <w:tmpl w:val="6798A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8921DC9"/>
    <w:multiLevelType w:val="multilevel"/>
    <w:tmpl w:val="C3D6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8EB036A"/>
    <w:multiLevelType w:val="multilevel"/>
    <w:tmpl w:val="556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8F32774"/>
    <w:multiLevelType w:val="multilevel"/>
    <w:tmpl w:val="AC8C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A012E2"/>
    <w:multiLevelType w:val="multilevel"/>
    <w:tmpl w:val="446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A84838"/>
    <w:multiLevelType w:val="multilevel"/>
    <w:tmpl w:val="A480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BC974D7"/>
    <w:multiLevelType w:val="multilevel"/>
    <w:tmpl w:val="5C06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DF43A9"/>
    <w:multiLevelType w:val="multilevel"/>
    <w:tmpl w:val="CF66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BFC0F95"/>
    <w:multiLevelType w:val="multilevel"/>
    <w:tmpl w:val="0CB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D34525E"/>
    <w:multiLevelType w:val="multilevel"/>
    <w:tmpl w:val="5466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D63708D"/>
    <w:multiLevelType w:val="multilevel"/>
    <w:tmpl w:val="2726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DB6520E"/>
    <w:multiLevelType w:val="multilevel"/>
    <w:tmpl w:val="63B8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E1800D4"/>
    <w:multiLevelType w:val="multilevel"/>
    <w:tmpl w:val="DB4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70289F"/>
    <w:multiLevelType w:val="multilevel"/>
    <w:tmpl w:val="506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F022628"/>
    <w:multiLevelType w:val="multilevel"/>
    <w:tmpl w:val="ECAE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FA763A8"/>
    <w:multiLevelType w:val="multilevel"/>
    <w:tmpl w:val="E1E2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FCE3EF8"/>
    <w:multiLevelType w:val="multilevel"/>
    <w:tmpl w:val="FDA4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FDE072F"/>
    <w:multiLevelType w:val="multilevel"/>
    <w:tmpl w:val="6EA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2421E8"/>
    <w:multiLevelType w:val="multilevel"/>
    <w:tmpl w:val="096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0270DC5"/>
    <w:multiLevelType w:val="multilevel"/>
    <w:tmpl w:val="BD2C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93342F"/>
    <w:multiLevelType w:val="multilevel"/>
    <w:tmpl w:val="592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BA0EA9"/>
    <w:multiLevelType w:val="multilevel"/>
    <w:tmpl w:val="171A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11363B8"/>
    <w:multiLevelType w:val="multilevel"/>
    <w:tmpl w:val="CFF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6108EF"/>
    <w:multiLevelType w:val="multilevel"/>
    <w:tmpl w:val="CB6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9305B5"/>
    <w:multiLevelType w:val="multilevel"/>
    <w:tmpl w:val="34E0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25B0F31"/>
    <w:multiLevelType w:val="multilevel"/>
    <w:tmpl w:val="20E8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2CD20F2"/>
    <w:multiLevelType w:val="multilevel"/>
    <w:tmpl w:val="55E2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32E183D"/>
    <w:multiLevelType w:val="multilevel"/>
    <w:tmpl w:val="1AA6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34A5478"/>
    <w:multiLevelType w:val="multilevel"/>
    <w:tmpl w:val="6B4A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3F03F36"/>
    <w:multiLevelType w:val="multilevel"/>
    <w:tmpl w:val="5CC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3A4576"/>
    <w:multiLevelType w:val="multilevel"/>
    <w:tmpl w:val="0002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4AA2781"/>
    <w:multiLevelType w:val="multilevel"/>
    <w:tmpl w:val="8B74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4D747BB"/>
    <w:multiLevelType w:val="multilevel"/>
    <w:tmpl w:val="07F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4DD3C5E"/>
    <w:multiLevelType w:val="multilevel"/>
    <w:tmpl w:val="5B1A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50E2834"/>
    <w:multiLevelType w:val="multilevel"/>
    <w:tmpl w:val="2FB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74653C"/>
    <w:multiLevelType w:val="multilevel"/>
    <w:tmpl w:val="0968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5B52AA6"/>
    <w:multiLevelType w:val="multilevel"/>
    <w:tmpl w:val="C05E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5FD5617"/>
    <w:multiLevelType w:val="multilevel"/>
    <w:tmpl w:val="D62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6075623"/>
    <w:multiLevelType w:val="multilevel"/>
    <w:tmpl w:val="A5EC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6E6506B"/>
    <w:multiLevelType w:val="multilevel"/>
    <w:tmpl w:val="DB12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6EA7E2D"/>
    <w:multiLevelType w:val="multilevel"/>
    <w:tmpl w:val="995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F62D85"/>
    <w:multiLevelType w:val="multilevel"/>
    <w:tmpl w:val="114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030E20"/>
    <w:multiLevelType w:val="multilevel"/>
    <w:tmpl w:val="24E2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80E28A3"/>
    <w:multiLevelType w:val="multilevel"/>
    <w:tmpl w:val="57A6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3224A2"/>
    <w:multiLevelType w:val="multilevel"/>
    <w:tmpl w:val="2F0A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8513F06"/>
    <w:multiLevelType w:val="multilevel"/>
    <w:tmpl w:val="203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8E5B95"/>
    <w:multiLevelType w:val="multilevel"/>
    <w:tmpl w:val="6B8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BB28CC"/>
    <w:multiLevelType w:val="multilevel"/>
    <w:tmpl w:val="BE1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B76ED7"/>
    <w:multiLevelType w:val="multilevel"/>
    <w:tmpl w:val="FB5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341BA2"/>
    <w:multiLevelType w:val="multilevel"/>
    <w:tmpl w:val="B89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8E0ED6"/>
    <w:multiLevelType w:val="multilevel"/>
    <w:tmpl w:val="AE6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B127273"/>
    <w:multiLevelType w:val="multilevel"/>
    <w:tmpl w:val="F74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B2F3A9C"/>
    <w:multiLevelType w:val="multilevel"/>
    <w:tmpl w:val="5188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393604"/>
    <w:multiLevelType w:val="multilevel"/>
    <w:tmpl w:val="F52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9924DF"/>
    <w:multiLevelType w:val="multilevel"/>
    <w:tmpl w:val="7B76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9B59D4"/>
    <w:multiLevelType w:val="multilevel"/>
    <w:tmpl w:val="AE94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BF14CC0"/>
    <w:multiLevelType w:val="multilevel"/>
    <w:tmpl w:val="44EC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2E7947"/>
    <w:multiLevelType w:val="multilevel"/>
    <w:tmpl w:val="D98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6A7DA6"/>
    <w:multiLevelType w:val="multilevel"/>
    <w:tmpl w:val="1C1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787B5B"/>
    <w:multiLevelType w:val="multilevel"/>
    <w:tmpl w:val="4CA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883021"/>
    <w:multiLevelType w:val="multilevel"/>
    <w:tmpl w:val="578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695D8B"/>
    <w:multiLevelType w:val="multilevel"/>
    <w:tmpl w:val="C50E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E44EF5"/>
    <w:multiLevelType w:val="multilevel"/>
    <w:tmpl w:val="A97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996DED"/>
    <w:multiLevelType w:val="multilevel"/>
    <w:tmpl w:val="D0DA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0BD47B0"/>
    <w:multiLevelType w:val="multilevel"/>
    <w:tmpl w:val="BED2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3708D4"/>
    <w:multiLevelType w:val="multilevel"/>
    <w:tmpl w:val="D3C2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924F0A"/>
    <w:multiLevelType w:val="multilevel"/>
    <w:tmpl w:val="E81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24471E0"/>
    <w:multiLevelType w:val="multilevel"/>
    <w:tmpl w:val="CAD2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27D0281"/>
    <w:multiLevelType w:val="multilevel"/>
    <w:tmpl w:val="5E1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E50A2B"/>
    <w:multiLevelType w:val="multilevel"/>
    <w:tmpl w:val="704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33F127E"/>
    <w:multiLevelType w:val="multilevel"/>
    <w:tmpl w:val="5C26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6E1D0D"/>
    <w:multiLevelType w:val="multilevel"/>
    <w:tmpl w:val="6F08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DE4D8F"/>
    <w:multiLevelType w:val="multilevel"/>
    <w:tmpl w:val="5F9A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175CEF"/>
    <w:multiLevelType w:val="multilevel"/>
    <w:tmpl w:val="1ECC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43202AE"/>
    <w:multiLevelType w:val="multilevel"/>
    <w:tmpl w:val="FA08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5F3E77"/>
    <w:multiLevelType w:val="multilevel"/>
    <w:tmpl w:val="22A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D8438B"/>
    <w:multiLevelType w:val="multilevel"/>
    <w:tmpl w:val="F60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3E0B82"/>
    <w:multiLevelType w:val="multilevel"/>
    <w:tmpl w:val="54E2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6E3837"/>
    <w:multiLevelType w:val="multilevel"/>
    <w:tmpl w:val="9B98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6777F89"/>
    <w:multiLevelType w:val="multilevel"/>
    <w:tmpl w:val="09C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D355E0"/>
    <w:multiLevelType w:val="multilevel"/>
    <w:tmpl w:val="719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000CE2"/>
    <w:multiLevelType w:val="multilevel"/>
    <w:tmpl w:val="E0F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3F7181"/>
    <w:multiLevelType w:val="multilevel"/>
    <w:tmpl w:val="647C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5E7B3D"/>
    <w:multiLevelType w:val="multilevel"/>
    <w:tmpl w:val="2F6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9B15DAA"/>
    <w:multiLevelType w:val="multilevel"/>
    <w:tmpl w:val="024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AA3157D"/>
    <w:multiLevelType w:val="multilevel"/>
    <w:tmpl w:val="1562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B291C4E"/>
    <w:multiLevelType w:val="multilevel"/>
    <w:tmpl w:val="25A4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CEC3997"/>
    <w:multiLevelType w:val="multilevel"/>
    <w:tmpl w:val="1850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D4E6E17"/>
    <w:multiLevelType w:val="multilevel"/>
    <w:tmpl w:val="60C6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D6968F6"/>
    <w:multiLevelType w:val="multilevel"/>
    <w:tmpl w:val="D44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E2B14B4"/>
    <w:multiLevelType w:val="multilevel"/>
    <w:tmpl w:val="CD2E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E4D26F9"/>
    <w:multiLevelType w:val="multilevel"/>
    <w:tmpl w:val="BEA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E5A1BEE"/>
    <w:multiLevelType w:val="multilevel"/>
    <w:tmpl w:val="6212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EE32596"/>
    <w:multiLevelType w:val="multilevel"/>
    <w:tmpl w:val="462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F721360"/>
    <w:multiLevelType w:val="multilevel"/>
    <w:tmpl w:val="EAF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F9D73F0"/>
    <w:multiLevelType w:val="multilevel"/>
    <w:tmpl w:val="203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764460">
    <w:abstractNumId w:val="262"/>
  </w:num>
  <w:num w:numId="2" w16cid:durableId="1460999752">
    <w:abstractNumId w:val="158"/>
  </w:num>
  <w:num w:numId="3" w16cid:durableId="1879510389">
    <w:abstractNumId w:val="137"/>
  </w:num>
  <w:num w:numId="4" w16cid:durableId="2098364287">
    <w:abstractNumId w:val="25"/>
  </w:num>
  <w:num w:numId="5" w16cid:durableId="1916086132">
    <w:abstractNumId w:val="274"/>
  </w:num>
  <w:num w:numId="6" w16cid:durableId="1099448272">
    <w:abstractNumId w:val="14"/>
  </w:num>
  <w:num w:numId="7" w16cid:durableId="1248728160">
    <w:abstractNumId w:val="134"/>
  </w:num>
  <w:num w:numId="8" w16cid:durableId="1456826590">
    <w:abstractNumId w:val="133"/>
  </w:num>
  <w:num w:numId="9" w16cid:durableId="1596867157">
    <w:abstractNumId w:val="69"/>
  </w:num>
  <w:num w:numId="10" w16cid:durableId="2141141863">
    <w:abstractNumId w:val="29"/>
  </w:num>
  <w:num w:numId="11" w16cid:durableId="710572800">
    <w:abstractNumId w:val="246"/>
  </w:num>
  <w:num w:numId="12" w16cid:durableId="1893149987">
    <w:abstractNumId w:val="290"/>
  </w:num>
  <w:num w:numId="13" w16cid:durableId="1714575416">
    <w:abstractNumId w:val="79"/>
  </w:num>
  <w:num w:numId="14" w16cid:durableId="1239710053">
    <w:abstractNumId w:val="64"/>
  </w:num>
  <w:num w:numId="15" w16cid:durableId="1793669603">
    <w:abstractNumId w:val="194"/>
  </w:num>
  <w:num w:numId="16" w16cid:durableId="1912344816">
    <w:abstractNumId w:val="308"/>
  </w:num>
  <w:num w:numId="17" w16cid:durableId="1985499414">
    <w:abstractNumId w:val="1"/>
  </w:num>
  <w:num w:numId="18" w16cid:durableId="2125733610">
    <w:abstractNumId w:val="248"/>
  </w:num>
  <w:num w:numId="19" w16cid:durableId="584386366">
    <w:abstractNumId w:val="11"/>
  </w:num>
  <w:num w:numId="20" w16cid:durableId="26109284">
    <w:abstractNumId w:val="245"/>
  </w:num>
  <w:num w:numId="21" w16cid:durableId="201132975">
    <w:abstractNumId w:val="239"/>
  </w:num>
  <w:num w:numId="22" w16cid:durableId="1585257561">
    <w:abstractNumId w:val="53"/>
  </w:num>
  <w:num w:numId="23" w16cid:durableId="1014378347">
    <w:abstractNumId w:val="318"/>
  </w:num>
  <w:num w:numId="24" w16cid:durableId="1450278322">
    <w:abstractNumId w:val="256"/>
  </w:num>
  <w:num w:numId="25" w16cid:durableId="1634823686">
    <w:abstractNumId w:val="42"/>
  </w:num>
  <w:num w:numId="26" w16cid:durableId="928272265">
    <w:abstractNumId w:val="293"/>
  </w:num>
  <w:num w:numId="27" w16cid:durableId="1004478900">
    <w:abstractNumId w:val="88"/>
  </w:num>
  <w:num w:numId="28" w16cid:durableId="1089424031">
    <w:abstractNumId w:val="251"/>
  </w:num>
  <w:num w:numId="29" w16cid:durableId="2130204410">
    <w:abstractNumId w:val="76"/>
  </w:num>
  <w:num w:numId="30" w16cid:durableId="2122140959">
    <w:abstractNumId w:val="231"/>
  </w:num>
  <w:num w:numId="31" w16cid:durableId="1859538238">
    <w:abstractNumId w:val="105"/>
  </w:num>
  <w:num w:numId="32" w16cid:durableId="1982536702">
    <w:abstractNumId w:val="68"/>
  </w:num>
  <w:num w:numId="33" w16cid:durableId="150752463">
    <w:abstractNumId w:val="289"/>
  </w:num>
  <w:num w:numId="34" w16cid:durableId="1765611824">
    <w:abstractNumId w:val="45"/>
  </w:num>
  <w:num w:numId="35" w16cid:durableId="254749611">
    <w:abstractNumId w:val="80"/>
  </w:num>
  <w:num w:numId="36" w16cid:durableId="63837025">
    <w:abstractNumId w:val="303"/>
  </w:num>
  <w:num w:numId="37" w16cid:durableId="570774218">
    <w:abstractNumId w:val="276"/>
  </w:num>
  <w:num w:numId="38" w16cid:durableId="1484009570">
    <w:abstractNumId w:val="51"/>
  </w:num>
  <w:num w:numId="39" w16cid:durableId="1787697020">
    <w:abstractNumId w:val="130"/>
  </w:num>
  <w:num w:numId="40" w16cid:durableId="907761584">
    <w:abstractNumId w:val="315"/>
  </w:num>
  <w:num w:numId="41" w16cid:durableId="1024021583">
    <w:abstractNumId w:val="173"/>
  </w:num>
  <w:num w:numId="42" w16cid:durableId="529296615">
    <w:abstractNumId w:val="265"/>
  </w:num>
  <w:num w:numId="43" w16cid:durableId="660161971">
    <w:abstractNumId w:val="117"/>
  </w:num>
  <w:num w:numId="44" w16cid:durableId="687681156">
    <w:abstractNumId w:val="211"/>
  </w:num>
  <w:num w:numId="45" w16cid:durableId="756948831">
    <w:abstractNumId w:val="192"/>
  </w:num>
  <w:num w:numId="46" w16cid:durableId="985815114">
    <w:abstractNumId w:val="83"/>
  </w:num>
  <w:num w:numId="47" w16cid:durableId="1327976592">
    <w:abstractNumId w:val="7"/>
  </w:num>
  <w:num w:numId="48" w16cid:durableId="1899170109">
    <w:abstractNumId w:val="263"/>
  </w:num>
  <w:num w:numId="49" w16cid:durableId="238254423">
    <w:abstractNumId w:val="162"/>
  </w:num>
  <w:num w:numId="50" w16cid:durableId="1642661329">
    <w:abstractNumId w:val="202"/>
  </w:num>
  <w:num w:numId="51" w16cid:durableId="1591885808">
    <w:abstractNumId w:val="43"/>
  </w:num>
  <w:num w:numId="52" w16cid:durableId="770708190">
    <w:abstractNumId w:val="40"/>
  </w:num>
  <w:num w:numId="53" w16cid:durableId="1271006174">
    <w:abstractNumId w:val="307"/>
  </w:num>
  <w:num w:numId="54" w16cid:durableId="412170632">
    <w:abstractNumId w:val="314"/>
  </w:num>
  <w:num w:numId="55" w16cid:durableId="1642232111">
    <w:abstractNumId w:val="278"/>
  </w:num>
  <w:num w:numId="56" w16cid:durableId="1216428327">
    <w:abstractNumId w:val="73"/>
  </w:num>
  <w:num w:numId="57" w16cid:durableId="1144617650">
    <w:abstractNumId w:val="39"/>
  </w:num>
  <w:num w:numId="58" w16cid:durableId="1136410648">
    <w:abstractNumId w:val="317"/>
  </w:num>
  <w:num w:numId="59" w16cid:durableId="398404926">
    <w:abstractNumId w:val="187"/>
  </w:num>
  <w:num w:numId="60" w16cid:durableId="1854149164">
    <w:abstractNumId w:val="90"/>
  </w:num>
  <w:num w:numId="61" w16cid:durableId="1522861512">
    <w:abstractNumId w:val="227"/>
  </w:num>
  <w:num w:numId="62" w16cid:durableId="2033533854">
    <w:abstractNumId w:val="154"/>
  </w:num>
  <w:num w:numId="63" w16cid:durableId="1078474990">
    <w:abstractNumId w:val="94"/>
  </w:num>
  <w:num w:numId="64" w16cid:durableId="967979817">
    <w:abstractNumId w:val="259"/>
  </w:num>
  <w:num w:numId="65" w16cid:durableId="1741755601">
    <w:abstractNumId w:val="201"/>
  </w:num>
  <w:num w:numId="66" w16cid:durableId="1040855921">
    <w:abstractNumId w:val="175"/>
  </w:num>
  <w:num w:numId="67" w16cid:durableId="912083134">
    <w:abstractNumId w:val="273"/>
  </w:num>
  <w:num w:numId="68" w16cid:durableId="1753045578">
    <w:abstractNumId w:val="147"/>
  </w:num>
  <w:num w:numId="69" w16cid:durableId="400714109">
    <w:abstractNumId w:val="10"/>
  </w:num>
  <w:num w:numId="70" w16cid:durableId="819081573">
    <w:abstractNumId w:val="250"/>
  </w:num>
  <w:num w:numId="71" w16cid:durableId="788203038">
    <w:abstractNumId w:val="236"/>
  </w:num>
  <w:num w:numId="72" w16cid:durableId="1676690051">
    <w:abstractNumId w:val="255"/>
  </w:num>
  <w:num w:numId="73" w16cid:durableId="1740132840">
    <w:abstractNumId w:val="35"/>
  </w:num>
  <w:num w:numId="74" w16cid:durableId="29382654">
    <w:abstractNumId w:val="159"/>
  </w:num>
  <w:num w:numId="75" w16cid:durableId="1790199910">
    <w:abstractNumId w:val="6"/>
  </w:num>
  <w:num w:numId="76" w16cid:durableId="1175263387">
    <w:abstractNumId w:val="311"/>
  </w:num>
  <w:num w:numId="77" w16cid:durableId="884483549">
    <w:abstractNumId w:val="44"/>
  </w:num>
  <w:num w:numId="78" w16cid:durableId="1006707133">
    <w:abstractNumId w:val="313"/>
  </w:num>
  <w:num w:numId="79" w16cid:durableId="13654827">
    <w:abstractNumId w:val="218"/>
  </w:num>
  <w:num w:numId="80" w16cid:durableId="989747895">
    <w:abstractNumId w:val="58"/>
  </w:num>
  <w:num w:numId="81" w16cid:durableId="2046176931">
    <w:abstractNumId w:val="234"/>
  </w:num>
  <w:num w:numId="82" w16cid:durableId="1438333484">
    <w:abstractNumId w:val="110"/>
  </w:num>
  <w:num w:numId="83" w16cid:durableId="1821656995">
    <w:abstractNumId w:val="28"/>
  </w:num>
  <w:num w:numId="84" w16cid:durableId="2108648393">
    <w:abstractNumId w:val="37"/>
  </w:num>
  <w:num w:numId="85" w16cid:durableId="1355573519">
    <w:abstractNumId w:val="310"/>
  </w:num>
  <w:num w:numId="86" w16cid:durableId="1014109399">
    <w:abstractNumId w:val="145"/>
  </w:num>
  <w:num w:numId="87" w16cid:durableId="814681224">
    <w:abstractNumId w:val="247"/>
  </w:num>
  <w:num w:numId="88" w16cid:durableId="1781096999">
    <w:abstractNumId w:val="299"/>
  </w:num>
  <w:num w:numId="89" w16cid:durableId="1237278320">
    <w:abstractNumId w:val="47"/>
  </w:num>
  <w:num w:numId="90" w16cid:durableId="997155132">
    <w:abstractNumId w:val="8"/>
  </w:num>
  <w:num w:numId="91" w16cid:durableId="95445189">
    <w:abstractNumId w:val="116"/>
  </w:num>
  <w:num w:numId="92" w16cid:durableId="1190683365">
    <w:abstractNumId w:val="283"/>
  </w:num>
  <w:num w:numId="93" w16cid:durableId="1105030623">
    <w:abstractNumId w:val="81"/>
  </w:num>
  <w:num w:numId="94" w16cid:durableId="1526627278">
    <w:abstractNumId w:val="224"/>
  </w:num>
  <w:num w:numId="95" w16cid:durableId="1745760033">
    <w:abstractNumId w:val="306"/>
  </w:num>
  <w:num w:numId="96" w16cid:durableId="778182728">
    <w:abstractNumId w:val="13"/>
  </w:num>
  <w:num w:numId="97" w16cid:durableId="705109071">
    <w:abstractNumId w:val="178"/>
  </w:num>
  <w:num w:numId="98" w16cid:durableId="804349527">
    <w:abstractNumId w:val="198"/>
  </w:num>
  <w:num w:numId="99" w16cid:durableId="1863131718">
    <w:abstractNumId w:val="70"/>
  </w:num>
  <w:num w:numId="100" w16cid:durableId="369958873">
    <w:abstractNumId w:val="109"/>
  </w:num>
  <w:num w:numId="101" w16cid:durableId="1849636149">
    <w:abstractNumId w:val="237"/>
  </w:num>
  <w:num w:numId="102" w16cid:durableId="1706061128">
    <w:abstractNumId w:val="215"/>
  </w:num>
  <w:num w:numId="103" w16cid:durableId="621495402">
    <w:abstractNumId w:val="55"/>
  </w:num>
  <w:num w:numId="104" w16cid:durableId="1276327895">
    <w:abstractNumId w:val="243"/>
  </w:num>
  <w:num w:numId="105" w16cid:durableId="226768859">
    <w:abstractNumId w:val="86"/>
  </w:num>
  <w:num w:numId="106" w16cid:durableId="394084185">
    <w:abstractNumId w:val="111"/>
  </w:num>
  <w:num w:numId="107" w16cid:durableId="129592883">
    <w:abstractNumId w:val="223"/>
  </w:num>
  <w:num w:numId="108" w16cid:durableId="2063092056">
    <w:abstractNumId w:val="5"/>
  </w:num>
  <w:num w:numId="109" w16cid:durableId="2081558007">
    <w:abstractNumId w:val="172"/>
  </w:num>
  <w:num w:numId="110" w16cid:durableId="1606041650">
    <w:abstractNumId w:val="151"/>
  </w:num>
  <w:num w:numId="111" w16cid:durableId="277958726">
    <w:abstractNumId w:val="206"/>
  </w:num>
  <w:num w:numId="112" w16cid:durableId="1705518822">
    <w:abstractNumId w:val="132"/>
  </w:num>
  <w:num w:numId="113" w16cid:durableId="2096171074">
    <w:abstractNumId w:val="169"/>
  </w:num>
  <w:num w:numId="114" w16cid:durableId="191722475">
    <w:abstractNumId w:val="128"/>
  </w:num>
  <w:num w:numId="115" w16cid:durableId="1132021539">
    <w:abstractNumId w:val="107"/>
  </w:num>
  <w:num w:numId="116" w16cid:durableId="1403983474">
    <w:abstractNumId w:val="141"/>
  </w:num>
  <w:num w:numId="117" w16cid:durableId="1327437856">
    <w:abstractNumId w:val="284"/>
  </w:num>
  <w:num w:numId="118" w16cid:durableId="1485193877">
    <w:abstractNumId w:val="235"/>
  </w:num>
  <w:num w:numId="119" w16cid:durableId="64112877">
    <w:abstractNumId w:val="161"/>
  </w:num>
  <w:num w:numId="120" w16cid:durableId="1804151393">
    <w:abstractNumId w:val="56"/>
  </w:num>
  <w:num w:numId="121" w16cid:durableId="142505391">
    <w:abstractNumId w:val="120"/>
  </w:num>
  <w:num w:numId="122" w16cid:durableId="279651704">
    <w:abstractNumId w:val="295"/>
  </w:num>
  <w:num w:numId="123" w16cid:durableId="939603862">
    <w:abstractNumId w:val="177"/>
  </w:num>
  <w:num w:numId="124" w16cid:durableId="797725761">
    <w:abstractNumId w:val="213"/>
  </w:num>
  <w:num w:numId="125" w16cid:durableId="412970519">
    <w:abstractNumId w:val="184"/>
  </w:num>
  <w:num w:numId="126" w16cid:durableId="1175414497">
    <w:abstractNumId w:val="54"/>
  </w:num>
  <w:num w:numId="127" w16cid:durableId="257299929">
    <w:abstractNumId w:val="302"/>
  </w:num>
  <w:num w:numId="128" w16cid:durableId="1817643182">
    <w:abstractNumId w:val="49"/>
  </w:num>
  <w:num w:numId="129" w16cid:durableId="1010066952">
    <w:abstractNumId w:val="16"/>
  </w:num>
  <w:num w:numId="130" w16cid:durableId="152571451">
    <w:abstractNumId w:val="176"/>
  </w:num>
  <w:num w:numId="131" w16cid:durableId="297614543">
    <w:abstractNumId w:val="291"/>
  </w:num>
  <w:num w:numId="132" w16cid:durableId="521283613">
    <w:abstractNumId w:val="270"/>
  </w:num>
  <w:num w:numId="133" w16cid:durableId="235097587">
    <w:abstractNumId w:val="232"/>
  </w:num>
  <w:num w:numId="134" w16cid:durableId="671445648">
    <w:abstractNumId w:val="24"/>
  </w:num>
  <w:num w:numId="135" w16cid:durableId="1058549351">
    <w:abstractNumId w:val="31"/>
  </w:num>
  <w:num w:numId="136" w16cid:durableId="1426415365">
    <w:abstractNumId w:val="124"/>
  </w:num>
  <w:num w:numId="137" w16cid:durableId="518083550">
    <w:abstractNumId w:val="9"/>
  </w:num>
  <w:num w:numId="138" w16cid:durableId="1096637577">
    <w:abstractNumId w:val="287"/>
  </w:num>
  <w:num w:numId="139" w16cid:durableId="808010135">
    <w:abstractNumId w:val="72"/>
  </w:num>
  <w:num w:numId="140" w16cid:durableId="2021810901">
    <w:abstractNumId w:val="22"/>
  </w:num>
  <w:num w:numId="141" w16cid:durableId="1233395847">
    <w:abstractNumId w:val="155"/>
  </w:num>
  <w:num w:numId="142" w16cid:durableId="349333688">
    <w:abstractNumId w:val="244"/>
  </w:num>
  <w:num w:numId="143" w16cid:durableId="893392675">
    <w:abstractNumId w:val="188"/>
  </w:num>
  <w:num w:numId="144" w16cid:durableId="1358048068">
    <w:abstractNumId w:val="217"/>
  </w:num>
  <w:num w:numId="145" w16cid:durableId="196084053">
    <w:abstractNumId w:val="85"/>
  </w:num>
  <w:num w:numId="146" w16cid:durableId="1075205783">
    <w:abstractNumId w:val="193"/>
  </w:num>
  <w:num w:numId="147" w16cid:durableId="963461589">
    <w:abstractNumId w:val="185"/>
  </w:num>
  <w:num w:numId="148" w16cid:durableId="1356929020">
    <w:abstractNumId w:val="150"/>
  </w:num>
  <w:num w:numId="149" w16cid:durableId="1136220273">
    <w:abstractNumId w:val="186"/>
  </w:num>
  <w:num w:numId="150" w16cid:durableId="1032801742">
    <w:abstractNumId w:val="38"/>
  </w:num>
  <w:num w:numId="151" w16cid:durableId="737048857">
    <w:abstractNumId w:val="298"/>
  </w:num>
  <w:num w:numId="152" w16cid:durableId="2117211126">
    <w:abstractNumId w:val="171"/>
  </w:num>
  <w:num w:numId="153" w16cid:durableId="1889412971">
    <w:abstractNumId w:val="157"/>
  </w:num>
  <w:num w:numId="154" w16cid:durableId="1930459035">
    <w:abstractNumId w:val="32"/>
  </w:num>
  <w:num w:numId="155" w16cid:durableId="954170568">
    <w:abstractNumId w:val="122"/>
  </w:num>
  <w:num w:numId="156" w16cid:durableId="1776248441">
    <w:abstractNumId w:val="20"/>
  </w:num>
  <w:num w:numId="157" w16cid:durableId="1283657637">
    <w:abstractNumId w:val="148"/>
  </w:num>
  <w:num w:numId="158" w16cid:durableId="1424035118">
    <w:abstractNumId w:val="23"/>
  </w:num>
  <w:num w:numId="159" w16cid:durableId="1182163608">
    <w:abstractNumId w:val="207"/>
  </w:num>
  <w:num w:numId="160" w16cid:durableId="984549973">
    <w:abstractNumId w:val="304"/>
  </w:num>
  <w:num w:numId="161" w16cid:durableId="415051877">
    <w:abstractNumId w:val="277"/>
  </w:num>
  <w:num w:numId="162" w16cid:durableId="1222444196">
    <w:abstractNumId w:val="272"/>
  </w:num>
  <w:num w:numId="163" w16cid:durableId="1024358919">
    <w:abstractNumId w:val="59"/>
  </w:num>
  <w:num w:numId="164" w16cid:durableId="506872825">
    <w:abstractNumId w:val="34"/>
  </w:num>
  <w:num w:numId="165" w16cid:durableId="1717310382">
    <w:abstractNumId w:val="249"/>
  </w:num>
  <w:num w:numId="166" w16cid:durableId="877200367">
    <w:abstractNumId w:val="123"/>
  </w:num>
  <w:num w:numId="167" w16cid:durableId="348683238">
    <w:abstractNumId w:val="288"/>
  </w:num>
  <w:num w:numId="168" w16cid:durableId="1999649659">
    <w:abstractNumId w:val="30"/>
  </w:num>
  <w:num w:numId="169" w16cid:durableId="471100836">
    <w:abstractNumId w:val="139"/>
  </w:num>
  <w:num w:numId="170" w16cid:durableId="556431628">
    <w:abstractNumId w:val="48"/>
  </w:num>
  <w:num w:numId="171" w16cid:durableId="118304031">
    <w:abstractNumId w:val="103"/>
  </w:num>
  <w:num w:numId="172" w16cid:durableId="655110280">
    <w:abstractNumId w:val="138"/>
  </w:num>
  <w:num w:numId="173" w16cid:durableId="176116493">
    <w:abstractNumId w:val="144"/>
  </w:num>
  <w:num w:numId="174" w16cid:durableId="1503204168">
    <w:abstractNumId w:val="66"/>
  </w:num>
  <w:num w:numId="175" w16cid:durableId="1836023444">
    <w:abstractNumId w:val="226"/>
  </w:num>
  <w:num w:numId="176" w16cid:durableId="1447384251">
    <w:abstractNumId w:val="52"/>
  </w:num>
  <w:num w:numId="177" w16cid:durableId="1302274692">
    <w:abstractNumId w:val="225"/>
  </w:num>
  <w:num w:numId="178" w16cid:durableId="1388577441">
    <w:abstractNumId w:val="241"/>
  </w:num>
  <w:num w:numId="179" w16cid:durableId="2075931977">
    <w:abstractNumId w:val="4"/>
  </w:num>
  <w:num w:numId="180" w16cid:durableId="1913736161">
    <w:abstractNumId w:val="100"/>
  </w:num>
  <w:num w:numId="181" w16cid:durableId="1035236554">
    <w:abstractNumId w:val="183"/>
  </w:num>
  <w:num w:numId="182" w16cid:durableId="707216657">
    <w:abstractNumId w:val="33"/>
  </w:num>
  <w:num w:numId="183" w16cid:durableId="1329869959">
    <w:abstractNumId w:val="101"/>
  </w:num>
  <w:num w:numId="184" w16cid:durableId="1450317016">
    <w:abstractNumId w:val="152"/>
  </w:num>
  <w:num w:numId="185" w16cid:durableId="1667323145">
    <w:abstractNumId w:val="15"/>
  </w:num>
  <w:num w:numId="186" w16cid:durableId="1941833081">
    <w:abstractNumId w:val="2"/>
  </w:num>
  <w:num w:numId="187" w16cid:durableId="575285403">
    <w:abstractNumId w:val="106"/>
  </w:num>
  <w:num w:numId="188" w16cid:durableId="1859194615">
    <w:abstractNumId w:val="126"/>
  </w:num>
  <w:num w:numId="189" w16cid:durableId="1149789205">
    <w:abstractNumId w:val="143"/>
  </w:num>
  <w:num w:numId="190" w16cid:durableId="1040084044">
    <w:abstractNumId w:val="146"/>
  </w:num>
  <w:num w:numId="191" w16cid:durableId="1729187311">
    <w:abstractNumId w:val="222"/>
  </w:num>
  <w:num w:numId="192" w16cid:durableId="389305473">
    <w:abstractNumId w:val="181"/>
  </w:num>
  <w:num w:numId="193" w16cid:durableId="848757504">
    <w:abstractNumId w:val="135"/>
  </w:num>
  <w:num w:numId="194" w16cid:durableId="893810285">
    <w:abstractNumId w:val="296"/>
  </w:num>
  <w:num w:numId="195" w16cid:durableId="130487650">
    <w:abstractNumId w:val="309"/>
  </w:num>
  <w:num w:numId="196" w16cid:durableId="18358737">
    <w:abstractNumId w:val="271"/>
  </w:num>
  <w:num w:numId="197" w16cid:durableId="2062899210">
    <w:abstractNumId w:val="233"/>
  </w:num>
  <w:num w:numId="198" w16cid:durableId="823350431">
    <w:abstractNumId w:val="168"/>
  </w:num>
  <w:num w:numId="199" w16cid:durableId="412241183">
    <w:abstractNumId w:val="196"/>
  </w:num>
  <w:num w:numId="200" w16cid:durableId="1776168925">
    <w:abstractNumId w:val="129"/>
  </w:num>
  <w:num w:numId="201" w16cid:durableId="1634017975">
    <w:abstractNumId w:val="191"/>
  </w:num>
  <w:num w:numId="202" w16cid:durableId="2101949198">
    <w:abstractNumId w:val="17"/>
  </w:num>
  <w:num w:numId="203" w16cid:durableId="1703162649">
    <w:abstractNumId w:val="50"/>
  </w:num>
  <w:num w:numId="204" w16cid:durableId="55325569">
    <w:abstractNumId w:val="127"/>
  </w:num>
  <w:num w:numId="205" w16cid:durableId="146867571">
    <w:abstractNumId w:val="190"/>
  </w:num>
  <w:num w:numId="206" w16cid:durableId="1041125273">
    <w:abstractNumId w:val="62"/>
  </w:num>
  <w:num w:numId="207" w16cid:durableId="1714041075">
    <w:abstractNumId w:val="118"/>
  </w:num>
  <w:num w:numId="208" w16cid:durableId="704216153">
    <w:abstractNumId w:val="104"/>
  </w:num>
  <w:num w:numId="209" w16cid:durableId="1536893202">
    <w:abstractNumId w:val="252"/>
  </w:num>
  <w:num w:numId="210" w16cid:durableId="1684628980">
    <w:abstractNumId w:val="0"/>
  </w:num>
  <w:num w:numId="211" w16cid:durableId="221866149">
    <w:abstractNumId w:val="153"/>
  </w:num>
  <w:num w:numId="212" w16cid:durableId="1308316753">
    <w:abstractNumId w:val="182"/>
  </w:num>
  <w:num w:numId="213" w16cid:durableId="1727994717">
    <w:abstractNumId w:val="91"/>
  </w:num>
  <w:num w:numId="214" w16cid:durableId="2133163862">
    <w:abstractNumId w:val="71"/>
  </w:num>
  <w:num w:numId="215" w16cid:durableId="1417020727">
    <w:abstractNumId w:val="74"/>
  </w:num>
  <w:num w:numId="216" w16cid:durableId="745492236">
    <w:abstractNumId w:val="92"/>
  </w:num>
  <w:num w:numId="217" w16cid:durableId="1103111413">
    <w:abstractNumId w:val="36"/>
  </w:num>
  <w:num w:numId="218" w16cid:durableId="193690117">
    <w:abstractNumId w:val="254"/>
  </w:num>
  <w:num w:numId="219" w16cid:durableId="1457138091">
    <w:abstractNumId w:val="189"/>
  </w:num>
  <w:num w:numId="220" w16cid:durableId="1220047563">
    <w:abstractNumId w:val="113"/>
  </w:num>
  <w:num w:numId="221" w16cid:durableId="456873525">
    <w:abstractNumId w:val="253"/>
  </w:num>
  <w:num w:numId="222" w16cid:durableId="911234849">
    <w:abstractNumId w:val="12"/>
  </w:num>
  <w:num w:numId="223" w16cid:durableId="1413048465">
    <w:abstractNumId w:val="286"/>
  </w:num>
  <w:num w:numId="224" w16cid:durableId="1337879514">
    <w:abstractNumId w:val="164"/>
  </w:num>
  <w:num w:numId="225" w16cid:durableId="1470584958">
    <w:abstractNumId w:val="316"/>
  </w:num>
  <w:num w:numId="226" w16cid:durableId="372386746">
    <w:abstractNumId w:val="312"/>
  </w:num>
  <w:num w:numId="227" w16cid:durableId="678892750">
    <w:abstractNumId w:val="216"/>
  </w:num>
  <w:num w:numId="228" w16cid:durableId="1149204403">
    <w:abstractNumId w:val="108"/>
  </w:num>
  <w:num w:numId="229" w16cid:durableId="1423448009">
    <w:abstractNumId w:val="95"/>
  </w:num>
  <w:num w:numId="230" w16cid:durableId="678585477">
    <w:abstractNumId w:val="280"/>
  </w:num>
  <w:num w:numId="231" w16cid:durableId="267810652">
    <w:abstractNumId w:val="160"/>
  </w:num>
  <w:num w:numId="232" w16cid:durableId="1402679819">
    <w:abstractNumId w:val="174"/>
  </w:num>
  <w:num w:numId="233" w16cid:durableId="414084650">
    <w:abstractNumId w:val="41"/>
  </w:num>
  <w:num w:numId="234" w16cid:durableId="562758145">
    <w:abstractNumId w:val="219"/>
  </w:num>
  <w:num w:numId="235" w16cid:durableId="1771928109">
    <w:abstractNumId w:val="63"/>
  </w:num>
  <w:num w:numId="236" w16cid:durableId="1789157275">
    <w:abstractNumId w:val="267"/>
  </w:num>
  <w:num w:numId="237" w16cid:durableId="2132434675">
    <w:abstractNumId w:val="261"/>
  </w:num>
  <w:num w:numId="238" w16cid:durableId="1783186067">
    <w:abstractNumId w:val="292"/>
  </w:num>
  <w:num w:numId="239" w16cid:durableId="1192689732">
    <w:abstractNumId w:val="200"/>
  </w:num>
  <w:num w:numId="240" w16cid:durableId="1322781360">
    <w:abstractNumId w:val="242"/>
  </w:num>
  <w:num w:numId="241" w16cid:durableId="1090277233">
    <w:abstractNumId w:val="46"/>
  </w:num>
  <w:num w:numId="242" w16cid:durableId="1905750130">
    <w:abstractNumId w:val="99"/>
  </w:num>
  <w:num w:numId="243" w16cid:durableId="362101082">
    <w:abstractNumId w:val="212"/>
  </w:num>
  <w:num w:numId="244" w16cid:durableId="2044596677">
    <w:abstractNumId w:val="275"/>
  </w:num>
  <w:num w:numId="245" w16cid:durableId="1635717232">
    <w:abstractNumId w:val="142"/>
  </w:num>
  <w:num w:numId="246" w16cid:durableId="1577085682">
    <w:abstractNumId w:val="87"/>
  </w:num>
  <w:num w:numId="247" w16cid:durableId="241648320">
    <w:abstractNumId w:val="230"/>
  </w:num>
  <w:num w:numId="248" w16cid:durableId="47268578">
    <w:abstractNumId w:val="19"/>
  </w:num>
  <w:num w:numId="249" w16cid:durableId="992561679">
    <w:abstractNumId w:val="209"/>
  </w:num>
  <w:num w:numId="250" w16cid:durableId="1586453737">
    <w:abstractNumId w:val="260"/>
  </w:num>
  <w:num w:numId="251" w16cid:durableId="705444568">
    <w:abstractNumId w:val="57"/>
  </w:num>
  <w:num w:numId="252" w16cid:durableId="994455953">
    <w:abstractNumId w:val="149"/>
  </w:num>
  <w:num w:numId="253" w16cid:durableId="1098480342">
    <w:abstractNumId w:val="27"/>
  </w:num>
  <w:num w:numId="254" w16cid:durableId="1235703271">
    <w:abstractNumId w:val="136"/>
  </w:num>
  <w:num w:numId="255" w16cid:durableId="1330671161">
    <w:abstractNumId w:val="115"/>
  </w:num>
  <w:num w:numId="256" w16cid:durableId="1409158961">
    <w:abstractNumId w:val="75"/>
  </w:num>
  <w:num w:numId="257" w16cid:durableId="89544805">
    <w:abstractNumId w:val="60"/>
  </w:num>
  <w:num w:numId="258" w16cid:durableId="1420367122">
    <w:abstractNumId w:val="84"/>
  </w:num>
  <w:num w:numId="259" w16cid:durableId="143663071">
    <w:abstractNumId w:val="305"/>
  </w:num>
  <w:num w:numId="260" w16cid:durableId="1684085613">
    <w:abstractNumId w:val="18"/>
  </w:num>
  <w:num w:numId="261" w16cid:durableId="1403598688">
    <w:abstractNumId w:val="166"/>
  </w:num>
  <w:num w:numId="262" w16cid:durableId="841361182">
    <w:abstractNumId w:val="301"/>
  </w:num>
  <w:num w:numId="263" w16cid:durableId="1967003445">
    <w:abstractNumId w:val="89"/>
  </w:num>
  <w:num w:numId="264" w16cid:durableId="274095281">
    <w:abstractNumId w:val="65"/>
  </w:num>
  <w:num w:numId="265" w16cid:durableId="777599480">
    <w:abstractNumId w:val="204"/>
  </w:num>
  <w:num w:numId="266" w16cid:durableId="412825305">
    <w:abstractNumId w:val="61"/>
  </w:num>
  <w:num w:numId="267" w16cid:durableId="1478842473">
    <w:abstractNumId w:val="82"/>
  </w:num>
  <w:num w:numId="268" w16cid:durableId="2062560907">
    <w:abstractNumId w:val="125"/>
  </w:num>
  <w:num w:numId="269" w16cid:durableId="1482112025">
    <w:abstractNumId w:val="229"/>
  </w:num>
  <w:num w:numId="270" w16cid:durableId="1013728323">
    <w:abstractNumId w:val="300"/>
  </w:num>
  <w:num w:numId="271" w16cid:durableId="166362647">
    <w:abstractNumId w:val="269"/>
  </w:num>
  <w:num w:numId="272" w16cid:durableId="354037599">
    <w:abstractNumId w:val="228"/>
  </w:num>
  <w:num w:numId="273" w16cid:durableId="251473332">
    <w:abstractNumId w:val="112"/>
  </w:num>
  <w:num w:numId="274" w16cid:durableId="163715429">
    <w:abstractNumId w:val="238"/>
  </w:num>
  <w:num w:numId="275" w16cid:durableId="1870218842">
    <w:abstractNumId w:val="282"/>
  </w:num>
  <w:num w:numId="276" w16cid:durableId="641691931">
    <w:abstractNumId w:val="78"/>
  </w:num>
  <w:num w:numId="277" w16cid:durableId="1699814142">
    <w:abstractNumId w:val="279"/>
  </w:num>
  <w:num w:numId="278" w16cid:durableId="150677301">
    <w:abstractNumId w:val="297"/>
  </w:num>
  <w:num w:numId="279" w16cid:durableId="1736927499">
    <w:abstractNumId w:val="197"/>
  </w:num>
  <w:num w:numId="280" w16cid:durableId="548105535">
    <w:abstractNumId w:val="163"/>
  </w:num>
  <w:num w:numId="281" w16cid:durableId="1689796056">
    <w:abstractNumId w:val="199"/>
  </w:num>
  <w:num w:numId="282" w16cid:durableId="894311527">
    <w:abstractNumId w:val="77"/>
  </w:num>
  <w:num w:numId="283" w16cid:durableId="1368022783">
    <w:abstractNumId w:val="205"/>
  </w:num>
  <w:num w:numId="284" w16cid:durableId="828444844">
    <w:abstractNumId w:val="26"/>
  </w:num>
  <w:num w:numId="285" w16cid:durableId="1217887733">
    <w:abstractNumId w:val="294"/>
  </w:num>
  <w:num w:numId="286" w16cid:durableId="1628707336">
    <w:abstractNumId w:val="257"/>
  </w:num>
  <w:num w:numId="287" w16cid:durableId="1651203113">
    <w:abstractNumId w:val="221"/>
  </w:num>
  <w:num w:numId="288" w16cid:durableId="1475178990">
    <w:abstractNumId w:val="3"/>
  </w:num>
  <w:num w:numId="289" w16cid:durableId="200167590">
    <w:abstractNumId w:val="121"/>
  </w:num>
  <w:num w:numId="290" w16cid:durableId="697120712">
    <w:abstractNumId w:val="180"/>
  </w:num>
  <w:num w:numId="291" w16cid:durableId="1071346862">
    <w:abstractNumId w:val="156"/>
  </w:num>
  <w:num w:numId="292" w16cid:durableId="421217454">
    <w:abstractNumId w:val="268"/>
  </w:num>
  <w:num w:numId="293" w16cid:durableId="2061513226">
    <w:abstractNumId w:val="167"/>
  </w:num>
  <w:num w:numId="294" w16cid:durableId="2015647070">
    <w:abstractNumId w:val="21"/>
  </w:num>
  <w:num w:numId="295" w16cid:durableId="1155613046">
    <w:abstractNumId w:val="220"/>
  </w:num>
  <w:num w:numId="296" w16cid:durableId="486481533">
    <w:abstractNumId w:val="281"/>
  </w:num>
  <w:num w:numId="297" w16cid:durableId="1469933221">
    <w:abstractNumId w:val="97"/>
  </w:num>
  <w:num w:numId="298" w16cid:durableId="381834137">
    <w:abstractNumId w:val="203"/>
  </w:num>
  <w:num w:numId="299" w16cid:durableId="1230313782">
    <w:abstractNumId w:val="98"/>
  </w:num>
  <w:num w:numId="300" w16cid:durableId="1895773253">
    <w:abstractNumId w:val="170"/>
  </w:num>
  <w:num w:numId="301" w16cid:durableId="1802964273">
    <w:abstractNumId w:val="165"/>
  </w:num>
  <w:num w:numId="302" w16cid:durableId="904989745">
    <w:abstractNumId w:val="114"/>
  </w:num>
  <w:num w:numId="303" w16cid:durableId="1986078372">
    <w:abstractNumId w:val="119"/>
  </w:num>
  <w:num w:numId="304" w16cid:durableId="447823910">
    <w:abstractNumId w:val="240"/>
  </w:num>
  <w:num w:numId="305" w16cid:durableId="1031686824">
    <w:abstractNumId w:val="208"/>
  </w:num>
  <w:num w:numId="306" w16cid:durableId="1647473559">
    <w:abstractNumId w:val="266"/>
  </w:num>
  <w:num w:numId="307" w16cid:durableId="961837615">
    <w:abstractNumId w:val="258"/>
  </w:num>
  <w:num w:numId="308" w16cid:durableId="857961549">
    <w:abstractNumId w:val="93"/>
  </w:num>
  <w:num w:numId="309" w16cid:durableId="2028367352">
    <w:abstractNumId w:val="179"/>
  </w:num>
  <w:num w:numId="310" w16cid:durableId="338778387">
    <w:abstractNumId w:val="285"/>
  </w:num>
  <w:num w:numId="311" w16cid:durableId="1997568250">
    <w:abstractNumId w:val="140"/>
  </w:num>
  <w:num w:numId="312" w16cid:durableId="1564487492">
    <w:abstractNumId w:val="214"/>
  </w:num>
  <w:num w:numId="313" w16cid:durableId="91434941">
    <w:abstractNumId w:val="264"/>
  </w:num>
  <w:num w:numId="314" w16cid:durableId="283734582">
    <w:abstractNumId w:val="96"/>
  </w:num>
  <w:num w:numId="315" w16cid:durableId="1286816041">
    <w:abstractNumId w:val="210"/>
  </w:num>
  <w:num w:numId="316" w16cid:durableId="1991252478">
    <w:abstractNumId w:val="195"/>
  </w:num>
  <w:num w:numId="317" w16cid:durableId="1403596926">
    <w:abstractNumId w:val="67"/>
  </w:num>
  <w:num w:numId="318" w16cid:durableId="2127652906">
    <w:abstractNumId w:val="102"/>
  </w:num>
  <w:num w:numId="319" w16cid:durableId="899445225">
    <w:abstractNumId w:val="131"/>
  </w:num>
  <w:numIdMacAtCleanup w:val="3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658"/>
    <w:rsid w:val="001E2933"/>
    <w:rsid w:val="002B50C2"/>
    <w:rsid w:val="004C6658"/>
    <w:rsid w:val="004D405C"/>
    <w:rsid w:val="00684164"/>
    <w:rsid w:val="00C673CD"/>
    <w:rsid w:val="00E11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CCE9"/>
  <w15:chartTrackingRefBased/>
  <w15:docId w15:val="{6C585504-B0E2-4590-BE90-CCF750B29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66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66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66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6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66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665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66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6658"/>
    <w:rPr>
      <w:b/>
      <w:bCs/>
    </w:rPr>
  </w:style>
  <w:style w:type="paragraph" w:styleId="HTMLPreformatted">
    <w:name w:val="HTML Preformatted"/>
    <w:basedOn w:val="Normal"/>
    <w:link w:val="HTMLPreformattedChar"/>
    <w:uiPriority w:val="99"/>
    <w:semiHidden/>
    <w:unhideWhenUsed/>
    <w:rsid w:val="004C6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66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6658"/>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2B50C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B50C2"/>
    <w:rPr>
      <w:rFonts w:ascii="Arial" w:eastAsia="Times New Roman" w:hAnsi="Arial" w:cs="Arial"/>
      <w:vanish/>
      <w:sz w:val="16"/>
      <w:szCs w:val="16"/>
    </w:rPr>
  </w:style>
  <w:style w:type="paragraph" w:customStyle="1" w:styleId="placeholder">
    <w:name w:val="placeholder"/>
    <w:basedOn w:val="Normal"/>
    <w:rsid w:val="002B50C2"/>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B50C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B50C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96105">
      <w:bodyDiv w:val="1"/>
      <w:marLeft w:val="0"/>
      <w:marRight w:val="0"/>
      <w:marTop w:val="0"/>
      <w:marBottom w:val="0"/>
      <w:divBdr>
        <w:top w:val="none" w:sz="0" w:space="0" w:color="auto"/>
        <w:left w:val="none" w:sz="0" w:space="0" w:color="auto"/>
        <w:bottom w:val="none" w:sz="0" w:space="0" w:color="auto"/>
        <w:right w:val="none" w:sz="0" w:space="0" w:color="auto"/>
      </w:divBdr>
      <w:divsChild>
        <w:div w:id="1319576067">
          <w:marLeft w:val="0"/>
          <w:marRight w:val="0"/>
          <w:marTop w:val="0"/>
          <w:marBottom w:val="0"/>
          <w:divBdr>
            <w:top w:val="none" w:sz="0" w:space="0" w:color="auto"/>
            <w:left w:val="none" w:sz="0" w:space="0" w:color="auto"/>
            <w:bottom w:val="none" w:sz="0" w:space="0" w:color="auto"/>
            <w:right w:val="none" w:sz="0" w:space="0" w:color="auto"/>
          </w:divBdr>
          <w:divsChild>
            <w:div w:id="19746717">
              <w:marLeft w:val="0"/>
              <w:marRight w:val="0"/>
              <w:marTop w:val="0"/>
              <w:marBottom w:val="0"/>
              <w:divBdr>
                <w:top w:val="none" w:sz="0" w:space="0" w:color="auto"/>
                <w:left w:val="none" w:sz="0" w:space="0" w:color="auto"/>
                <w:bottom w:val="none" w:sz="0" w:space="0" w:color="auto"/>
                <w:right w:val="none" w:sz="0" w:space="0" w:color="auto"/>
              </w:divBdr>
              <w:divsChild>
                <w:div w:id="1273703147">
                  <w:marLeft w:val="0"/>
                  <w:marRight w:val="0"/>
                  <w:marTop w:val="0"/>
                  <w:marBottom w:val="0"/>
                  <w:divBdr>
                    <w:top w:val="none" w:sz="0" w:space="0" w:color="auto"/>
                    <w:left w:val="none" w:sz="0" w:space="0" w:color="auto"/>
                    <w:bottom w:val="none" w:sz="0" w:space="0" w:color="auto"/>
                    <w:right w:val="none" w:sz="0" w:space="0" w:color="auto"/>
                  </w:divBdr>
                  <w:divsChild>
                    <w:div w:id="1239485906">
                      <w:marLeft w:val="0"/>
                      <w:marRight w:val="0"/>
                      <w:marTop w:val="0"/>
                      <w:marBottom w:val="0"/>
                      <w:divBdr>
                        <w:top w:val="none" w:sz="0" w:space="0" w:color="auto"/>
                        <w:left w:val="none" w:sz="0" w:space="0" w:color="auto"/>
                        <w:bottom w:val="none" w:sz="0" w:space="0" w:color="auto"/>
                        <w:right w:val="none" w:sz="0" w:space="0" w:color="auto"/>
                      </w:divBdr>
                      <w:divsChild>
                        <w:div w:id="497888905">
                          <w:marLeft w:val="0"/>
                          <w:marRight w:val="0"/>
                          <w:marTop w:val="0"/>
                          <w:marBottom w:val="0"/>
                          <w:divBdr>
                            <w:top w:val="none" w:sz="0" w:space="0" w:color="auto"/>
                            <w:left w:val="none" w:sz="0" w:space="0" w:color="auto"/>
                            <w:bottom w:val="none" w:sz="0" w:space="0" w:color="auto"/>
                            <w:right w:val="none" w:sz="0" w:space="0" w:color="auto"/>
                          </w:divBdr>
                          <w:divsChild>
                            <w:div w:id="889802982">
                              <w:marLeft w:val="0"/>
                              <w:marRight w:val="0"/>
                              <w:marTop w:val="0"/>
                              <w:marBottom w:val="0"/>
                              <w:divBdr>
                                <w:top w:val="none" w:sz="0" w:space="0" w:color="auto"/>
                                <w:left w:val="none" w:sz="0" w:space="0" w:color="auto"/>
                                <w:bottom w:val="none" w:sz="0" w:space="0" w:color="auto"/>
                                <w:right w:val="none" w:sz="0" w:space="0" w:color="auto"/>
                              </w:divBdr>
                              <w:divsChild>
                                <w:div w:id="2045444724">
                                  <w:marLeft w:val="0"/>
                                  <w:marRight w:val="0"/>
                                  <w:marTop w:val="0"/>
                                  <w:marBottom w:val="0"/>
                                  <w:divBdr>
                                    <w:top w:val="none" w:sz="0" w:space="0" w:color="auto"/>
                                    <w:left w:val="none" w:sz="0" w:space="0" w:color="auto"/>
                                    <w:bottom w:val="none" w:sz="0" w:space="0" w:color="auto"/>
                                    <w:right w:val="none" w:sz="0" w:space="0" w:color="auto"/>
                                  </w:divBdr>
                                  <w:divsChild>
                                    <w:div w:id="257254267">
                                      <w:marLeft w:val="0"/>
                                      <w:marRight w:val="0"/>
                                      <w:marTop w:val="0"/>
                                      <w:marBottom w:val="0"/>
                                      <w:divBdr>
                                        <w:top w:val="none" w:sz="0" w:space="0" w:color="auto"/>
                                        <w:left w:val="none" w:sz="0" w:space="0" w:color="auto"/>
                                        <w:bottom w:val="none" w:sz="0" w:space="0" w:color="auto"/>
                                        <w:right w:val="none" w:sz="0" w:space="0" w:color="auto"/>
                                      </w:divBdr>
                                      <w:divsChild>
                                        <w:div w:id="716929250">
                                          <w:marLeft w:val="0"/>
                                          <w:marRight w:val="0"/>
                                          <w:marTop w:val="0"/>
                                          <w:marBottom w:val="0"/>
                                          <w:divBdr>
                                            <w:top w:val="none" w:sz="0" w:space="0" w:color="auto"/>
                                            <w:left w:val="none" w:sz="0" w:space="0" w:color="auto"/>
                                            <w:bottom w:val="none" w:sz="0" w:space="0" w:color="auto"/>
                                            <w:right w:val="none" w:sz="0" w:space="0" w:color="auto"/>
                                          </w:divBdr>
                                          <w:divsChild>
                                            <w:div w:id="2125421542">
                                              <w:marLeft w:val="0"/>
                                              <w:marRight w:val="0"/>
                                              <w:marTop w:val="0"/>
                                              <w:marBottom w:val="0"/>
                                              <w:divBdr>
                                                <w:top w:val="none" w:sz="0" w:space="0" w:color="auto"/>
                                                <w:left w:val="none" w:sz="0" w:space="0" w:color="auto"/>
                                                <w:bottom w:val="none" w:sz="0" w:space="0" w:color="auto"/>
                                                <w:right w:val="none" w:sz="0" w:space="0" w:color="auto"/>
                                              </w:divBdr>
                                              <w:divsChild>
                                                <w:div w:id="1117606144">
                                                  <w:marLeft w:val="0"/>
                                                  <w:marRight w:val="0"/>
                                                  <w:marTop w:val="0"/>
                                                  <w:marBottom w:val="0"/>
                                                  <w:divBdr>
                                                    <w:top w:val="none" w:sz="0" w:space="0" w:color="auto"/>
                                                    <w:left w:val="none" w:sz="0" w:space="0" w:color="auto"/>
                                                    <w:bottom w:val="none" w:sz="0" w:space="0" w:color="auto"/>
                                                    <w:right w:val="none" w:sz="0" w:space="0" w:color="auto"/>
                                                  </w:divBdr>
                                                  <w:divsChild>
                                                    <w:div w:id="844325720">
                                                      <w:marLeft w:val="0"/>
                                                      <w:marRight w:val="0"/>
                                                      <w:marTop w:val="0"/>
                                                      <w:marBottom w:val="0"/>
                                                      <w:divBdr>
                                                        <w:top w:val="none" w:sz="0" w:space="0" w:color="auto"/>
                                                        <w:left w:val="none" w:sz="0" w:space="0" w:color="auto"/>
                                                        <w:bottom w:val="none" w:sz="0" w:space="0" w:color="auto"/>
                                                        <w:right w:val="none" w:sz="0" w:space="0" w:color="auto"/>
                                                      </w:divBdr>
                                                      <w:divsChild>
                                                        <w:div w:id="10321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0415">
          <w:marLeft w:val="0"/>
          <w:marRight w:val="0"/>
          <w:marTop w:val="0"/>
          <w:marBottom w:val="0"/>
          <w:divBdr>
            <w:top w:val="none" w:sz="0" w:space="0" w:color="auto"/>
            <w:left w:val="none" w:sz="0" w:space="0" w:color="auto"/>
            <w:bottom w:val="none" w:sz="0" w:space="0" w:color="auto"/>
            <w:right w:val="none" w:sz="0" w:space="0" w:color="auto"/>
          </w:divBdr>
          <w:divsChild>
            <w:div w:id="6894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6310">
      <w:bodyDiv w:val="1"/>
      <w:marLeft w:val="0"/>
      <w:marRight w:val="0"/>
      <w:marTop w:val="0"/>
      <w:marBottom w:val="0"/>
      <w:divBdr>
        <w:top w:val="none" w:sz="0" w:space="0" w:color="auto"/>
        <w:left w:val="none" w:sz="0" w:space="0" w:color="auto"/>
        <w:bottom w:val="none" w:sz="0" w:space="0" w:color="auto"/>
        <w:right w:val="none" w:sz="0" w:space="0" w:color="auto"/>
      </w:divBdr>
      <w:divsChild>
        <w:div w:id="1038238336">
          <w:marLeft w:val="0"/>
          <w:marRight w:val="0"/>
          <w:marTop w:val="0"/>
          <w:marBottom w:val="0"/>
          <w:divBdr>
            <w:top w:val="none" w:sz="0" w:space="0" w:color="auto"/>
            <w:left w:val="none" w:sz="0" w:space="0" w:color="auto"/>
            <w:bottom w:val="none" w:sz="0" w:space="0" w:color="auto"/>
            <w:right w:val="none" w:sz="0" w:space="0" w:color="auto"/>
          </w:divBdr>
          <w:divsChild>
            <w:div w:id="234358452">
              <w:marLeft w:val="0"/>
              <w:marRight w:val="0"/>
              <w:marTop w:val="0"/>
              <w:marBottom w:val="0"/>
              <w:divBdr>
                <w:top w:val="none" w:sz="0" w:space="0" w:color="auto"/>
                <w:left w:val="none" w:sz="0" w:space="0" w:color="auto"/>
                <w:bottom w:val="none" w:sz="0" w:space="0" w:color="auto"/>
                <w:right w:val="none" w:sz="0" w:space="0" w:color="auto"/>
              </w:divBdr>
              <w:divsChild>
                <w:div w:id="1126891590">
                  <w:marLeft w:val="0"/>
                  <w:marRight w:val="0"/>
                  <w:marTop w:val="0"/>
                  <w:marBottom w:val="0"/>
                  <w:divBdr>
                    <w:top w:val="none" w:sz="0" w:space="0" w:color="auto"/>
                    <w:left w:val="none" w:sz="0" w:space="0" w:color="auto"/>
                    <w:bottom w:val="none" w:sz="0" w:space="0" w:color="auto"/>
                    <w:right w:val="none" w:sz="0" w:space="0" w:color="auto"/>
                  </w:divBdr>
                  <w:divsChild>
                    <w:div w:id="1224680489">
                      <w:marLeft w:val="0"/>
                      <w:marRight w:val="0"/>
                      <w:marTop w:val="0"/>
                      <w:marBottom w:val="0"/>
                      <w:divBdr>
                        <w:top w:val="none" w:sz="0" w:space="0" w:color="auto"/>
                        <w:left w:val="none" w:sz="0" w:space="0" w:color="auto"/>
                        <w:bottom w:val="none" w:sz="0" w:space="0" w:color="auto"/>
                        <w:right w:val="none" w:sz="0" w:space="0" w:color="auto"/>
                      </w:divBdr>
                      <w:divsChild>
                        <w:div w:id="2023580874">
                          <w:marLeft w:val="0"/>
                          <w:marRight w:val="0"/>
                          <w:marTop w:val="0"/>
                          <w:marBottom w:val="0"/>
                          <w:divBdr>
                            <w:top w:val="none" w:sz="0" w:space="0" w:color="auto"/>
                            <w:left w:val="none" w:sz="0" w:space="0" w:color="auto"/>
                            <w:bottom w:val="none" w:sz="0" w:space="0" w:color="auto"/>
                            <w:right w:val="none" w:sz="0" w:space="0" w:color="auto"/>
                          </w:divBdr>
                          <w:divsChild>
                            <w:div w:id="1616599583">
                              <w:marLeft w:val="0"/>
                              <w:marRight w:val="0"/>
                              <w:marTop w:val="0"/>
                              <w:marBottom w:val="0"/>
                              <w:divBdr>
                                <w:top w:val="none" w:sz="0" w:space="0" w:color="auto"/>
                                <w:left w:val="none" w:sz="0" w:space="0" w:color="auto"/>
                                <w:bottom w:val="none" w:sz="0" w:space="0" w:color="auto"/>
                                <w:right w:val="none" w:sz="0" w:space="0" w:color="auto"/>
                              </w:divBdr>
                              <w:divsChild>
                                <w:div w:id="258759032">
                                  <w:marLeft w:val="0"/>
                                  <w:marRight w:val="0"/>
                                  <w:marTop w:val="0"/>
                                  <w:marBottom w:val="0"/>
                                  <w:divBdr>
                                    <w:top w:val="none" w:sz="0" w:space="0" w:color="auto"/>
                                    <w:left w:val="none" w:sz="0" w:space="0" w:color="auto"/>
                                    <w:bottom w:val="none" w:sz="0" w:space="0" w:color="auto"/>
                                    <w:right w:val="none" w:sz="0" w:space="0" w:color="auto"/>
                                  </w:divBdr>
                                  <w:divsChild>
                                    <w:div w:id="414135243">
                                      <w:marLeft w:val="0"/>
                                      <w:marRight w:val="0"/>
                                      <w:marTop w:val="0"/>
                                      <w:marBottom w:val="0"/>
                                      <w:divBdr>
                                        <w:top w:val="none" w:sz="0" w:space="0" w:color="auto"/>
                                        <w:left w:val="none" w:sz="0" w:space="0" w:color="auto"/>
                                        <w:bottom w:val="none" w:sz="0" w:space="0" w:color="auto"/>
                                        <w:right w:val="none" w:sz="0" w:space="0" w:color="auto"/>
                                      </w:divBdr>
                                      <w:divsChild>
                                        <w:div w:id="1330645193">
                                          <w:marLeft w:val="0"/>
                                          <w:marRight w:val="0"/>
                                          <w:marTop w:val="0"/>
                                          <w:marBottom w:val="0"/>
                                          <w:divBdr>
                                            <w:top w:val="none" w:sz="0" w:space="0" w:color="auto"/>
                                            <w:left w:val="none" w:sz="0" w:space="0" w:color="auto"/>
                                            <w:bottom w:val="none" w:sz="0" w:space="0" w:color="auto"/>
                                            <w:right w:val="none" w:sz="0" w:space="0" w:color="auto"/>
                                          </w:divBdr>
                                          <w:divsChild>
                                            <w:div w:id="757797381">
                                              <w:marLeft w:val="0"/>
                                              <w:marRight w:val="0"/>
                                              <w:marTop w:val="0"/>
                                              <w:marBottom w:val="0"/>
                                              <w:divBdr>
                                                <w:top w:val="none" w:sz="0" w:space="0" w:color="auto"/>
                                                <w:left w:val="none" w:sz="0" w:space="0" w:color="auto"/>
                                                <w:bottom w:val="none" w:sz="0" w:space="0" w:color="auto"/>
                                                <w:right w:val="none" w:sz="0" w:space="0" w:color="auto"/>
                                              </w:divBdr>
                                              <w:divsChild>
                                                <w:div w:id="966542976">
                                                  <w:marLeft w:val="0"/>
                                                  <w:marRight w:val="0"/>
                                                  <w:marTop w:val="0"/>
                                                  <w:marBottom w:val="0"/>
                                                  <w:divBdr>
                                                    <w:top w:val="none" w:sz="0" w:space="0" w:color="auto"/>
                                                    <w:left w:val="none" w:sz="0" w:space="0" w:color="auto"/>
                                                    <w:bottom w:val="none" w:sz="0" w:space="0" w:color="auto"/>
                                                    <w:right w:val="none" w:sz="0" w:space="0" w:color="auto"/>
                                                  </w:divBdr>
                                                  <w:divsChild>
                                                    <w:div w:id="300962319">
                                                      <w:marLeft w:val="0"/>
                                                      <w:marRight w:val="0"/>
                                                      <w:marTop w:val="0"/>
                                                      <w:marBottom w:val="0"/>
                                                      <w:divBdr>
                                                        <w:top w:val="none" w:sz="0" w:space="0" w:color="auto"/>
                                                        <w:left w:val="none" w:sz="0" w:space="0" w:color="auto"/>
                                                        <w:bottom w:val="none" w:sz="0" w:space="0" w:color="auto"/>
                                                        <w:right w:val="none" w:sz="0" w:space="0" w:color="auto"/>
                                                      </w:divBdr>
                                                      <w:divsChild>
                                                        <w:div w:id="109150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8832">
          <w:marLeft w:val="0"/>
          <w:marRight w:val="0"/>
          <w:marTop w:val="0"/>
          <w:marBottom w:val="0"/>
          <w:divBdr>
            <w:top w:val="none" w:sz="0" w:space="0" w:color="auto"/>
            <w:left w:val="none" w:sz="0" w:space="0" w:color="auto"/>
            <w:bottom w:val="none" w:sz="0" w:space="0" w:color="auto"/>
            <w:right w:val="none" w:sz="0" w:space="0" w:color="auto"/>
          </w:divBdr>
          <w:divsChild>
            <w:div w:id="437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769">
      <w:bodyDiv w:val="1"/>
      <w:marLeft w:val="0"/>
      <w:marRight w:val="0"/>
      <w:marTop w:val="0"/>
      <w:marBottom w:val="0"/>
      <w:divBdr>
        <w:top w:val="none" w:sz="0" w:space="0" w:color="auto"/>
        <w:left w:val="none" w:sz="0" w:space="0" w:color="auto"/>
        <w:bottom w:val="none" w:sz="0" w:space="0" w:color="auto"/>
        <w:right w:val="none" w:sz="0" w:space="0" w:color="auto"/>
      </w:divBdr>
      <w:divsChild>
        <w:div w:id="762411469">
          <w:marLeft w:val="0"/>
          <w:marRight w:val="0"/>
          <w:marTop w:val="0"/>
          <w:marBottom w:val="0"/>
          <w:divBdr>
            <w:top w:val="none" w:sz="0" w:space="0" w:color="auto"/>
            <w:left w:val="none" w:sz="0" w:space="0" w:color="auto"/>
            <w:bottom w:val="none" w:sz="0" w:space="0" w:color="auto"/>
            <w:right w:val="none" w:sz="0" w:space="0" w:color="auto"/>
          </w:divBdr>
          <w:divsChild>
            <w:div w:id="1476414527">
              <w:marLeft w:val="0"/>
              <w:marRight w:val="0"/>
              <w:marTop w:val="0"/>
              <w:marBottom w:val="0"/>
              <w:divBdr>
                <w:top w:val="none" w:sz="0" w:space="0" w:color="auto"/>
                <w:left w:val="none" w:sz="0" w:space="0" w:color="auto"/>
                <w:bottom w:val="none" w:sz="0" w:space="0" w:color="auto"/>
                <w:right w:val="none" w:sz="0" w:space="0" w:color="auto"/>
              </w:divBdr>
              <w:divsChild>
                <w:div w:id="546067351">
                  <w:marLeft w:val="0"/>
                  <w:marRight w:val="0"/>
                  <w:marTop w:val="0"/>
                  <w:marBottom w:val="0"/>
                  <w:divBdr>
                    <w:top w:val="none" w:sz="0" w:space="0" w:color="auto"/>
                    <w:left w:val="none" w:sz="0" w:space="0" w:color="auto"/>
                    <w:bottom w:val="none" w:sz="0" w:space="0" w:color="auto"/>
                    <w:right w:val="none" w:sz="0" w:space="0" w:color="auto"/>
                  </w:divBdr>
                  <w:divsChild>
                    <w:div w:id="1371371296">
                      <w:marLeft w:val="0"/>
                      <w:marRight w:val="0"/>
                      <w:marTop w:val="0"/>
                      <w:marBottom w:val="0"/>
                      <w:divBdr>
                        <w:top w:val="none" w:sz="0" w:space="0" w:color="auto"/>
                        <w:left w:val="none" w:sz="0" w:space="0" w:color="auto"/>
                        <w:bottom w:val="none" w:sz="0" w:space="0" w:color="auto"/>
                        <w:right w:val="none" w:sz="0" w:space="0" w:color="auto"/>
                      </w:divBdr>
                      <w:divsChild>
                        <w:div w:id="308677068">
                          <w:marLeft w:val="0"/>
                          <w:marRight w:val="0"/>
                          <w:marTop w:val="0"/>
                          <w:marBottom w:val="0"/>
                          <w:divBdr>
                            <w:top w:val="none" w:sz="0" w:space="0" w:color="auto"/>
                            <w:left w:val="none" w:sz="0" w:space="0" w:color="auto"/>
                            <w:bottom w:val="none" w:sz="0" w:space="0" w:color="auto"/>
                            <w:right w:val="none" w:sz="0" w:space="0" w:color="auto"/>
                          </w:divBdr>
                          <w:divsChild>
                            <w:div w:id="476842008">
                              <w:marLeft w:val="0"/>
                              <w:marRight w:val="0"/>
                              <w:marTop w:val="0"/>
                              <w:marBottom w:val="0"/>
                              <w:divBdr>
                                <w:top w:val="none" w:sz="0" w:space="0" w:color="auto"/>
                                <w:left w:val="none" w:sz="0" w:space="0" w:color="auto"/>
                                <w:bottom w:val="none" w:sz="0" w:space="0" w:color="auto"/>
                                <w:right w:val="none" w:sz="0" w:space="0" w:color="auto"/>
                              </w:divBdr>
                              <w:divsChild>
                                <w:div w:id="1623074643">
                                  <w:marLeft w:val="0"/>
                                  <w:marRight w:val="0"/>
                                  <w:marTop w:val="0"/>
                                  <w:marBottom w:val="0"/>
                                  <w:divBdr>
                                    <w:top w:val="none" w:sz="0" w:space="0" w:color="auto"/>
                                    <w:left w:val="none" w:sz="0" w:space="0" w:color="auto"/>
                                    <w:bottom w:val="none" w:sz="0" w:space="0" w:color="auto"/>
                                    <w:right w:val="none" w:sz="0" w:space="0" w:color="auto"/>
                                  </w:divBdr>
                                  <w:divsChild>
                                    <w:div w:id="593632931">
                                      <w:marLeft w:val="0"/>
                                      <w:marRight w:val="0"/>
                                      <w:marTop w:val="0"/>
                                      <w:marBottom w:val="0"/>
                                      <w:divBdr>
                                        <w:top w:val="none" w:sz="0" w:space="0" w:color="auto"/>
                                        <w:left w:val="none" w:sz="0" w:space="0" w:color="auto"/>
                                        <w:bottom w:val="none" w:sz="0" w:space="0" w:color="auto"/>
                                        <w:right w:val="none" w:sz="0" w:space="0" w:color="auto"/>
                                      </w:divBdr>
                                      <w:divsChild>
                                        <w:div w:id="358894712">
                                          <w:marLeft w:val="0"/>
                                          <w:marRight w:val="0"/>
                                          <w:marTop w:val="0"/>
                                          <w:marBottom w:val="0"/>
                                          <w:divBdr>
                                            <w:top w:val="none" w:sz="0" w:space="0" w:color="auto"/>
                                            <w:left w:val="none" w:sz="0" w:space="0" w:color="auto"/>
                                            <w:bottom w:val="none" w:sz="0" w:space="0" w:color="auto"/>
                                            <w:right w:val="none" w:sz="0" w:space="0" w:color="auto"/>
                                          </w:divBdr>
                                          <w:divsChild>
                                            <w:div w:id="112595720">
                                              <w:marLeft w:val="0"/>
                                              <w:marRight w:val="0"/>
                                              <w:marTop w:val="0"/>
                                              <w:marBottom w:val="0"/>
                                              <w:divBdr>
                                                <w:top w:val="none" w:sz="0" w:space="0" w:color="auto"/>
                                                <w:left w:val="none" w:sz="0" w:space="0" w:color="auto"/>
                                                <w:bottom w:val="none" w:sz="0" w:space="0" w:color="auto"/>
                                                <w:right w:val="none" w:sz="0" w:space="0" w:color="auto"/>
                                              </w:divBdr>
                                              <w:divsChild>
                                                <w:div w:id="1314799844">
                                                  <w:marLeft w:val="0"/>
                                                  <w:marRight w:val="0"/>
                                                  <w:marTop w:val="0"/>
                                                  <w:marBottom w:val="0"/>
                                                  <w:divBdr>
                                                    <w:top w:val="none" w:sz="0" w:space="0" w:color="auto"/>
                                                    <w:left w:val="none" w:sz="0" w:space="0" w:color="auto"/>
                                                    <w:bottom w:val="none" w:sz="0" w:space="0" w:color="auto"/>
                                                    <w:right w:val="none" w:sz="0" w:space="0" w:color="auto"/>
                                                  </w:divBdr>
                                                  <w:divsChild>
                                                    <w:div w:id="439036332">
                                                      <w:marLeft w:val="0"/>
                                                      <w:marRight w:val="0"/>
                                                      <w:marTop w:val="0"/>
                                                      <w:marBottom w:val="0"/>
                                                      <w:divBdr>
                                                        <w:top w:val="none" w:sz="0" w:space="0" w:color="auto"/>
                                                        <w:left w:val="none" w:sz="0" w:space="0" w:color="auto"/>
                                                        <w:bottom w:val="none" w:sz="0" w:space="0" w:color="auto"/>
                                                        <w:right w:val="none" w:sz="0" w:space="0" w:color="auto"/>
                                                      </w:divBdr>
                                                      <w:divsChild>
                                                        <w:div w:id="15458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05212">
          <w:marLeft w:val="0"/>
          <w:marRight w:val="0"/>
          <w:marTop w:val="0"/>
          <w:marBottom w:val="0"/>
          <w:divBdr>
            <w:top w:val="none" w:sz="0" w:space="0" w:color="auto"/>
            <w:left w:val="none" w:sz="0" w:space="0" w:color="auto"/>
            <w:bottom w:val="none" w:sz="0" w:space="0" w:color="auto"/>
            <w:right w:val="none" w:sz="0" w:space="0" w:color="auto"/>
          </w:divBdr>
          <w:divsChild>
            <w:div w:id="9877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62490">
      <w:bodyDiv w:val="1"/>
      <w:marLeft w:val="0"/>
      <w:marRight w:val="0"/>
      <w:marTop w:val="0"/>
      <w:marBottom w:val="0"/>
      <w:divBdr>
        <w:top w:val="none" w:sz="0" w:space="0" w:color="auto"/>
        <w:left w:val="none" w:sz="0" w:space="0" w:color="auto"/>
        <w:bottom w:val="none" w:sz="0" w:space="0" w:color="auto"/>
        <w:right w:val="none" w:sz="0" w:space="0" w:color="auto"/>
      </w:divBdr>
      <w:divsChild>
        <w:div w:id="232157810">
          <w:marLeft w:val="0"/>
          <w:marRight w:val="0"/>
          <w:marTop w:val="0"/>
          <w:marBottom w:val="0"/>
          <w:divBdr>
            <w:top w:val="none" w:sz="0" w:space="0" w:color="auto"/>
            <w:left w:val="none" w:sz="0" w:space="0" w:color="auto"/>
            <w:bottom w:val="none" w:sz="0" w:space="0" w:color="auto"/>
            <w:right w:val="none" w:sz="0" w:space="0" w:color="auto"/>
          </w:divBdr>
          <w:divsChild>
            <w:div w:id="1859809732">
              <w:marLeft w:val="0"/>
              <w:marRight w:val="0"/>
              <w:marTop w:val="0"/>
              <w:marBottom w:val="0"/>
              <w:divBdr>
                <w:top w:val="none" w:sz="0" w:space="0" w:color="auto"/>
                <w:left w:val="none" w:sz="0" w:space="0" w:color="auto"/>
                <w:bottom w:val="none" w:sz="0" w:space="0" w:color="auto"/>
                <w:right w:val="none" w:sz="0" w:space="0" w:color="auto"/>
              </w:divBdr>
              <w:divsChild>
                <w:div w:id="172451760">
                  <w:marLeft w:val="0"/>
                  <w:marRight w:val="0"/>
                  <w:marTop w:val="0"/>
                  <w:marBottom w:val="0"/>
                  <w:divBdr>
                    <w:top w:val="none" w:sz="0" w:space="0" w:color="auto"/>
                    <w:left w:val="none" w:sz="0" w:space="0" w:color="auto"/>
                    <w:bottom w:val="none" w:sz="0" w:space="0" w:color="auto"/>
                    <w:right w:val="none" w:sz="0" w:space="0" w:color="auto"/>
                  </w:divBdr>
                  <w:divsChild>
                    <w:div w:id="1631207492">
                      <w:marLeft w:val="0"/>
                      <w:marRight w:val="0"/>
                      <w:marTop w:val="0"/>
                      <w:marBottom w:val="0"/>
                      <w:divBdr>
                        <w:top w:val="none" w:sz="0" w:space="0" w:color="auto"/>
                        <w:left w:val="none" w:sz="0" w:space="0" w:color="auto"/>
                        <w:bottom w:val="none" w:sz="0" w:space="0" w:color="auto"/>
                        <w:right w:val="none" w:sz="0" w:space="0" w:color="auto"/>
                      </w:divBdr>
                      <w:divsChild>
                        <w:div w:id="739206193">
                          <w:marLeft w:val="0"/>
                          <w:marRight w:val="0"/>
                          <w:marTop w:val="0"/>
                          <w:marBottom w:val="0"/>
                          <w:divBdr>
                            <w:top w:val="none" w:sz="0" w:space="0" w:color="auto"/>
                            <w:left w:val="none" w:sz="0" w:space="0" w:color="auto"/>
                            <w:bottom w:val="none" w:sz="0" w:space="0" w:color="auto"/>
                            <w:right w:val="none" w:sz="0" w:space="0" w:color="auto"/>
                          </w:divBdr>
                          <w:divsChild>
                            <w:div w:id="2144344797">
                              <w:marLeft w:val="0"/>
                              <w:marRight w:val="0"/>
                              <w:marTop w:val="0"/>
                              <w:marBottom w:val="0"/>
                              <w:divBdr>
                                <w:top w:val="none" w:sz="0" w:space="0" w:color="auto"/>
                                <w:left w:val="none" w:sz="0" w:space="0" w:color="auto"/>
                                <w:bottom w:val="none" w:sz="0" w:space="0" w:color="auto"/>
                                <w:right w:val="none" w:sz="0" w:space="0" w:color="auto"/>
                              </w:divBdr>
                              <w:divsChild>
                                <w:div w:id="838735436">
                                  <w:marLeft w:val="0"/>
                                  <w:marRight w:val="0"/>
                                  <w:marTop w:val="0"/>
                                  <w:marBottom w:val="0"/>
                                  <w:divBdr>
                                    <w:top w:val="none" w:sz="0" w:space="0" w:color="auto"/>
                                    <w:left w:val="none" w:sz="0" w:space="0" w:color="auto"/>
                                    <w:bottom w:val="none" w:sz="0" w:space="0" w:color="auto"/>
                                    <w:right w:val="none" w:sz="0" w:space="0" w:color="auto"/>
                                  </w:divBdr>
                                  <w:divsChild>
                                    <w:div w:id="1478643445">
                                      <w:marLeft w:val="0"/>
                                      <w:marRight w:val="0"/>
                                      <w:marTop w:val="0"/>
                                      <w:marBottom w:val="0"/>
                                      <w:divBdr>
                                        <w:top w:val="none" w:sz="0" w:space="0" w:color="auto"/>
                                        <w:left w:val="none" w:sz="0" w:space="0" w:color="auto"/>
                                        <w:bottom w:val="none" w:sz="0" w:space="0" w:color="auto"/>
                                        <w:right w:val="none" w:sz="0" w:space="0" w:color="auto"/>
                                      </w:divBdr>
                                      <w:divsChild>
                                        <w:div w:id="1244224484">
                                          <w:marLeft w:val="0"/>
                                          <w:marRight w:val="0"/>
                                          <w:marTop w:val="0"/>
                                          <w:marBottom w:val="0"/>
                                          <w:divBdr>
                                            <w:top w:val="none" w:sz="0" w:space="0" w:color="auto"/>
                                            <w:left w:val="none" w:sz="0" w:space="0" w:color="auto"/>
                                            <w:bottom w:val="none" w:sz="0" w:space="0" w:color="auto"/>
                                            <w:right w:val="none" w:sz="0" w:space="0" w:color="auto"/>
                                          </w:divBdr>
                                          <w:divsChild>
                                            <w:div w:id="1936591391">
                                              <w:marLeft w:val="0"/>
                                              <w:marRight w:val="0"/>
                                              <w:marTop w:val="0"/>
                                              <w:marBottom w:val="0"/>
                                              <w:divBdr>
                                                <w:top w:val="none" w:sz="0" w:space="0" w:color="auto"/>
                                                <w:left w:val="none" w:sz="0" w:space="0" w:color="auto"/>
                                                <w:bottom w:val="none" w:sz="0" w:space="0" w:color="auto"/>
                                                <w:right w:val="none" w:sz="0" w:space="0" w:color="auto"/>
                                              </w:divBdr>
                                              <w:divsChild>
                                                <w:div w:id="1650280686">
                                                  <w:marLeft w:val="0"/>
                                                  <w:marRight w:val="0"/>
                                                  <w:marTop w:val="0"/>
                                                  <w:marBottom w:val="0"/>
                                                  <w:divBdr>
                                                    <w:top w:val="none" w:sz="0" w:space="0" w:color="auto"/>
                                                    <w:left w:val="none" w:sz="0" w:space="0" w:color="auto"/>
                                                    <w:bottom w:val="none" w:sz="0" w:space="0" w:color="auto"/>
                                                    <w:right w:val="none" w:sz="0" w:space="0" w:color="auto"/>
                                                  </w:divBdr>
                                                  <w:divsChild>
                                                    <w:div w:id="1761103693">
                                                      <w:marLeft w:val="0"/>
                                                      <w:marRight w:val="0"/>
                                                      <w:marTop w:val="0"/>
                                                      <w:marBottom w:val="0"/>
                                                      <w:divBdr>
                                                        <w:top w:val="none" w:sz="0" w:space="0" w:color="auto"/>
                                                        <w:left w:val="none" w:sz="0" w:space="0" w:color="auto"/>
                                                        <w:bottom w:val="none" w:sz="0" w:space="0" w:color="auto"/>
                                                        <w:right w:val="none" w:sz="0" w:space="0" w:color="auto"/>
                                                      </w:divBdr>
                                                      <w:divsChild>
                                                        <w:div w:id="11658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162423">
          <w:marLeft w:val="0"/>
          <w:marRight w:val="0"/>
          <w:marTop w:val="0"/>
          <w:marBottom w:val="0"/>
          <w:divBdr>
            <w:top w:val="none" w:sz="0" w:space="0" w:color="auto"/>
            <w:left w:val="none" w:sz="0" w:space="0" w:color="auto"/>
            <w:bottom w:val="none" w:sz="0" w:space="0" w:color="auto"/>
            <w:right w:val="none" w:sz="0" w:space="0" w:color="auto"/>
          </w:divBdr>
          <w:divsChild>
            <w:div w:id="1002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8232">
      <w:bodyDiv w:val="1"/>
      <w:marLeft w:val="0"/>
      <w:marRight w:val="0"/>
      <w:marTop w:val="0"/>
      <w:marBottom w:val="0"/>
      <w:divBdr>
        <w:top w:val="none" w:sz="0" w:space="0" w:color="auto"/>
        <w:left w:val="none" w:sz="0" w:space="0" w:color="auto"/>
        <w:bottom w:val="none" w:sz="0" w:space="0" w:color="auto"/>
        <w:right w:val="none" w:sz="0" w:space="0" w:color="auto"/>
      </w:divBdr>
      <w:divsChild>
        <w:div w:id="1173299327">
          <w:marLeft w:val="0"/>
          <w:marRight w:val="0"/>
          <w:marTop w:val="0"/>
          <w:marBottom w:val="0"/>
          <w:divBdr>
            <w:top w:val="none" w:sz="0" w:space="0" w:color="auto"/>
            <w:left w:val="none" w:sz="0" w:space="0" w:color="auto"/>
            <w:bottom w:val="none" w:sz="0" w:space="0" w:color="auto"/>
            <w:right w:val="none" w:sz="0" w:space="0" w:color="auto"/>
          </w:divBdr>
          <w:divsChild>
            <w:div w:id="169757186">
              <w:marLeft w:val="0"/>
              <w:marRight w:val="0"/>
              <w:marTop w:val="0"/>
              <w:marBottom w:val="0"/>
              <w:divBdr>
                <w:top w:val="none" w:sz="0" w:space="0" w:color="auto"/>
                <w:left w:val="none" w:sz="0" w:space="0" w:color="auto"/>
                <w:bottom w:val="none" w:sz="0" w:space="0" w:color="auto"/>
                <w:right w:val="none" w:sz="0" w:space="0" w:color="auto"/>
              </w:divBdr>
              <w:divsChild>
                <w:div w:id="1843424681">
                  <w:marLeft w:val="0"/>
                  <w:marRight w:val="0"/>
                  <w:marTop w:val="0"/>
                  <w:marBottom w:val="0"/>
                  <w:divBdr>
                    <w:top w:val="none" w:sz="0" w:space="0" w:color="auto"/>
                    <w:left w:val="none" w:sz="0" w:space="0" w:color="auto"/>
                    <w:bottom w:val="none" w:sz="0" w:space="0" w:color="auto"/>
                    <w:right w:val="none" w:sz="0" w:space="0" w:color="auto"/>
                  </w:divBdr>
                  <w:divsChild>
                    <w:div w:id="1992557524">
                      <w:marLeft w:val="0"/>
                      <w:marRight w:val="0"/>
                      <w:marTop w:val="0"/>
                      <w:marBottom w:val="0"/>
                      <w:divBdr>
                        <w:top w:val="none" w:sz="0" w:space="0" w:color="auto"/>
                        <w:left w:val="none" w:sz="0" w:space="0" w:color="auto"/>
                        <w:bottom w:val="none" w:sz="0" w:space="0" w:color="auto"/>
                        <w:right w:val="none" w:sz="0" w:space="0" w:color="auto"/>
                      </w:divBdr>
                      <w:divsChild>
                        <w:div w:id="749085358">
                          <w:marLeft w:val="0"/>
                          <w:marRight w:val="0"/>
                          <w:marTop w:val="0"/>
                          <w:marBottom w:val="0"/>
                          <w:divBdr>
                            <w:top w:val="none" w:sz="0" w:space="0" w:color="auto"/>
                            <w:left w:val="none" w:sz="0" w:space="0" w:color="auto"/>
                            <w:bottom w:val="none" w:sz="0" w:space="0" w:color="auto"/>
                            <w:right w:val="none" w:sz="0" w:space="0" w:color="auto"/>
                          </w:divBdr>
                          <w:divsChild>
                            <w:div w:id="1141114565">
                              <w:marLeft w:val="0"/>
                              <w:marRight w:val="0"/>
                              <w:marTop w:val="0"/>
                              <w:marBottom w:val="0"/>
                              <w:divBdr>
                                <w:top w:val="none" w:sz="0" w:space="0" w:color="auto"/>
                                <w:left w:val="none" w:sz="0" w:space="0" w:color="auto"/>
                                <w:bottom w:val="none" w:sz="0" w:space="0" w:color="auto"/>
                                <w:right w:val="none" w:sz="0" w:space="0" w:color="auto"/>
                              </w:divBdr>
                              <w:divsChild>
                                <w:div w:id="248543793">
                                  <w:marLeft w:val="0"/>
                                  <w:marRight w:val="0"/>
                                  <w:marTop w:val="0"/>
                                  <w:marBottom w:val="0"/>
                                  <w:divBdr>
                                    <w:top w:val="none" w:sz="0" w:space="0" w:color="auto"/>
                                    <w:left w:val="none" w:sz="0" w:space="0" w:color="auto"/>
                                    <w:bottom w:val="none" w:sz="0" w:space="0" w:color="auto"/>
                                    <w:right w:val="none" w:sz="0" w:space="0" w:color="auto"/>
                                  </w:divBdr>
                                  <w:divsChild>
                                    <w:div w:id="1421563113">
                                      <w:marLeft w:val="0"/>
                                      <w:marRight w:val="0"/>
                                      <w:marTop w:val="0"/>
                                      <w:marBottom w:val="0"/>
                                      <w:divBdr>
                                        <w:top w:val="none" w:sz="0" w:space="0" w:color="auto"/>
                                        <w:left w:val="none" w:sz="0" w:space="0" w:color="auto"/>
                                        <w:bottom w:val="none" w:sz="0" w:space="0" w:color="auto"/>
                                        <w:right w:val="none" w:sz="0" w:space="0" w:color="auto"/>
                                      </w:divBdr>
                                      <w:divsChild>
                                        <w:div w:id="150100714">
                                          <w:marLeft w:val="0"/>
                                          <w:marRight w:val="0"/>
                                          <w:marTop w:val="0"/>
                                          <w:marBottom w:val="0"/>
                                          <w:divBdr>
                                            <w:top w:val="none" w:sz="0" w:space="0" w:color="auto"/>
                                            <w:left w:val="none" w:sz="0" w:space="0" w:color="auto"/>
                                            <w:bottom w:val="none" w:sz="0" w:space="0" w:color="auto"/>
                                            <w:right w:val="none" w:sz="0" w:space="0" w:color="auto"/>
                                          </w:divBdr>
                                          <w:divsChild>
                                            <w:div w:id="191500419">
                                              <w:marLeft w:val="0"/>
                                              <w:marRight w:val="0"/>
                                              <w:marTop w:val="0"/>
                                              <w:marBottom w:val="0"/>
                                              <w:divBdr>
                                                <w:top w:val="none" w:sz="0" w:space="0" w:color="auto"/>
                                                <w:left w:val="none" w:sz="0" w:space="0" w:color="auto"/>
                                                <w:bottom w:val="none" w:sz="0" w:space="0" w:color="auto"/>
                                                <w:right w:val="none" w:sz="0" w:space="0" w:color="auto"/>
                                              </w:divBdr>
                                              <w:divsChild>
                                                <w:div w:id="1989554496">
                                                  <w:marLeft w:val="0"/>
                                                  <w:marRight w:val="0"/>
                                                  <w:marTop w:val="0"/>
                                                  <w:marBottom w:val="0"/>
                                                  <w:divBdr>
                                                    <w:top w:val="none" w:sz="0" w:space="0" w:color="auto"/>
                                                    <w:left w:val="none" w:sz="0" w:space="0" w:color="auto"/>
                                                    <w:bottom w:val="none" w:sz="0" w:space="0" w:color="auto"/>
                                                    <w:right w:val="none" w:sz="0" w:space="0" w:color="auto"/>
                                                  </w:divBdr>
                                                  <w:divsChild>
                                                    <w:div w:id="596329840">
                                                      <w:marLeft w:val="0"/>
                                                      <w:marRight w:val="0"/>
                                                      <w:marTop w:val="0"/>
                                                      <w:marBottom w:val="0"/>
                                                      <w:divBdr>
                                                        <w:top w:val="none" w:sz="0" w:space="0" w:color="auto"/>
                                                        <w:left w:val="none" w:sz="0" w:space="0" w:color="auto"/>
                                                        <w:bottom w:val="none" w:sz="0" w:space="0" w:color="auto"/>
                                                        <w:right w:val="none" w:sz="0" w:space="0" w:color="auto"/>
                                                      </w:divBdr>
                                                      <w:divsChild>
                                                        <w:div w:id="27906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85616">
          <w:marLeft w:val="0"/>
          <w:marRight w:val="0"/>
          <w:marTop w:val="0"/>
          <w:marBottom w:val="0"/>
          <w:divBdr>
            <w:top w:val="none" w:sz="0" w:space="0" w:color="auto"/>
            <w:left w:val="none" w:sz="0" w:space="0" w:color="auto"/>
            <w:bottom w:val="none" w:sz="0" w:space="0" w:color="auto"/>
            <w:right w:val="none" w:sz="0" w:space="0" w:color="auto"/>
          </w:divBdr>
          <w:divsChild>
            <w:div w:id="19379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9664">
      <w:bodyDiv w:val="1"/>
      <w:marLeft w:val="0"/>
      <w:marRight w:val="0"/>
      <w:marTop w:val="0"/>
      <w:marBottom w:val="0"/>
      <w:divBdr>
        <w:top w:val="none" w:sz="0" w:space="0" w:color="auto"/>
        <w:left w:val="none" w:sz="0" w:space="0" w:color="auto"/>
        <w:bottom w:val="none" w:sz="0" w:space="0" w:color="auto"/>
        <w:right w:val="none" w:sz="0" w:space="0" w:color="auto"/>
      </w:divBdr>
      <w:divsChild>
        <w:div w:id="426930958">
          <w:marLeft w:val="0"/>
          <w:marRight w:val="0"/>
          <w:marTop w:val="0"/>
          <w:marBottom w:val="0"/>
          <w:divBdr>
            <w:top w:val="none" w:sz="0" w:space="0" w:color="auto"/>
            <w:left w:val="none" w:sz="0" w:space="0" w:color="auto"/>
            <w:bottom w:val="none" w:sz="0" w:space="0" w:color="auto"/>
            <w:right w:val="none" w:sz="0" w:space="0" w:color="auto"/>
          </w:divBdr>
          <w:divsChild>
            <w:div w:id="1889105959">
              <w:marLeft w:val="0"/>
              <w:marRight w:val="0"/>
              <w:marTop w:val="0"/>
              <w:marBottom w:val="0"/>
              <w:divBdr>
                <w:top w:val="none" w:sz="0" w:space="0" w:color="auto"/>
                <w:left w:val="none" w:sz="0" w:space="0" w:color="auto"/>
                <w:bottom w:val="none" w:sz="0" w:space="0" w:color="auto"/>
                <w:right w:val="none" w:sz="0" w:space="0" w:color="auto"/>
              </w:divBdr>
              <w:divsChild>
                <w:div w:id="1281762670">
                  <w:marLeft w:val="0"/>
                  <w:marRight w:val="0"/>
                  <w:marTop w:val="0"/>
                  <w:marBottom w:val="0"/>
                  <w:divBdr>
                    <w:top w:val="none" w:sz="0" w:space="0" w:color="auto"/>
                    <w:left w:val="none" w:sz="0" w:space="0" w:color="auto"/>
                    <w:bottom w:val="none" w:sz="0" w:space="0" w:color="auto"/>
                    <w:right w:val="none" w:sz="0" w:space="0" w:color="auto"/>
                  </w:divBdr>
                  <w:divsChild>
                    <w:div w:id="1283340130">
                      <w:marLeft w:val="0"/>
                      <w:marRight w:val="0"/>
                      <w:marTop w:val="0"/>
                      <w:marBottom w:val="0"/>
                      <w:divBdr>
                        <w:top w:val="none" w:sz="0" w:space="0" w:color="auto"/>
                        <w:left w:val="none" w:sz="0" w:space="0" w:color="auto"/>
                        <w:bottom w:val="none" w:sz="0" w:space="0" w:color="auto"/>
                        <w:right w:val="none" w:sz="0" w:space="0" w:color="auto"/>
                      </w:divBdr>
                      <w:divsChild>
                        <w:div w:id="1254824053">
                          <w:marLeft w:val="0"/>
                          <w:marRight w:val="0"/>
                          <w:marTop w:val="0"/>
                          <w:marBottom w:val="0"/>
                          <w:divBdr>
                            <w:top w:val="none" w:sz="0" w:space="0" w:color="auto"/>
                            <w:left w:val="none" w:sz="0" w:space="0" w:color="auto"/>
                            <w:bottom w:val="none" w:sz="0" w:space="0" w:color="auto"/>
                            <w:right w:val="none" w:sz="0" w:space="0" w:color="auto"/>
                          </w:divBdr>
                          <w:divsChild>
                            <w:div w:id="540633281">
                              <w:marLeft w:val="0"/>
                              <w:marRight w:val="0"/>
                              <w:marTop w:val="0"/>
                              <w:marBottom w:val="0"/>
                              <w:divBdr>
                                <w:top w:val="none" w:sz="0" w:space="0" w:color="auto"/>
                                <w:left w:val="none" w:sz="0" w:space="0" w:color="auto"/>
                                <w:bottom w:val="none" w:sz="0" w:space="0" w:color="auto"/>
                                <w:right w:val="none" w:sz="0" w:space="0" w:color="auto"/>
                              </w:divBdr>
                              <w:divsChild>
                                <w:div w:id="1878085588">
                                  <w:marLeft w:val="0"/>
                                  <w:marRight w:val="0"/>
                                  <w:marTop w:val="0"/>
                                  <w:marBottom w:val="0"/>
                                  <w:divBdr>
                                    <w:top w:val="none" w:sz="0" w:space="0" w:color="auto"/>
                                    <w:left w:val="none" w:sz="0" w:space="0" w:color="auto"/>
                                    <w:bottom w:val="none" w:sz="0" w:space="0" w:color="auto"/>
                                    <w:right w:val="none" w:sz="0" w:space="0" w:color="auto"/>
                                  </w:divBdr>
                                  <w:divsChild>
                                    <w:div w:id="151139431">
                                      <w:marLeft w:val="0"/>
                                      <w:marRight w:val="0"/>
                                      <w:marTop w:val="0"/>
                                      <w:marBottom w:val="0"/>
                                      <w:divBdr>
                                        <w:top w:val="none" w:sz="0" w:space="0" w:color="auto"/>
                                        <w:left w:val="none" w:sz="0" w:space="0" w:color="auto"/>
                                        <w:bottom w:val="none" w:sz="0" w:space="0" w:color="auto"/>
                                        <w:right w:val="none" w:sz="0" w:space="0" w:color="auto"/>
                                      </w:divBdr>
                                      <w:divsChild>
                                        <w:div w:id="995953798">
                                          <w:marLeft w:val="0"/>
                                          <w:marRight w:val="0"/>
                                          <w:marTop w:val="0"/>
                                          <w:marBottom w:val="0"/>
                                          <w:divBdr>
                                            <w:top w:val="none" w:sz="0" w:space="0" w:color="auto"/>
                                            <w:left w:val="none" w:sz="0" w:space="0" w:color="auto"/>
                                            <w:bottom w:val="none" w:sz="0" w:space="0" w:color="auto"/>
                                            <w:right w:val="none" w:sz="0" w:space="0" w:color="auto"/>
                                          </w:divBdr>
                                          <w:divsChild>
                                            <w:div w:id="1948194512">
                                              <w:marLeft w:val="0"/>
                                              <w:marRight w:val="0"/>
                                              <w:marTop w:val="0"/>
                                              <w:marBottom w:val="0"/>
                                              <w:divBdr>
                                                <w:top w:val="none" w:sz="0" w:space="0" w:color="auto"/>
                                                <w:left w:val="none" w:sz="0" w:space="0" w:color="auto"/>
                                                <w:bottom w:val="none" w:sz="0" w:space="0" w:color="auto"/>
                                                <w:right w:val="none" w:sz="0" w:space="0" w:color="auto"/>
                                              </w:divBdr>
                                              <w:divsChild>
                                                <w:div w:id="1809977235">
                                                  <w:marLeft w:val="0"/>
                                                  <w:marRight w:val="0"/>
                                                  <w:marTop w:val="0"/>
                                                  <w:marBottom w:val="0"/>
                                                  <w:divBdr>
                                                    <w:top w:val="none" w:sz="0" w:space="0" w:color="auto"/>
                                                    <w:left w:val="none" w:sz="0" w:space="0" w:color="auto"/>
                                                    <w:bottom w:val="none" w:sz="0" w:space="0" w:color="auto"/>
                                                    <w:right w:val="none" w:sz="0" w:space="0" w:color="auto"/>
                                                  </w:divBdr>
                                                  <w:divsChild>
                                                    <w:div w:id="1887717000">
                                                      <w:marLeft w:val="0"/>
                                                      <w:marRight w:val="0"/>
                                                      <w:marTop w:val="0"/>
                                                      <w:marBottom w:val="0"/>
                                                      <w:divBdr>
                                                        <w:top w:val="none" w:sz="0" w:space="0" w:color="auto"/>
                                                        <w:left w:val="none" w:sz="0" w:space="0" w:color="auto"/>
                                                        <w:bottom w:val="none" w:sz="0" w:space="0" w:color="auto"/>
                                                        <w:right w:val="none" w:sz="0" w:space="0" w:color="auto"/>
                                                      </w:divBdr>
                                                      <w:divsChild>
                                                        <w:div w:id="10012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298230">
          <w:marLeft w:val="0"/>
          <w:marRight w:val="0"/>
          <w:marTop w:val="0"/>
          <w:marBottom w:val="0"/>
          <w:divBdr>
            <w:top w:val="none" w:sz="0" w:space="0" w:color="auto"/>
            <w:left w:val="none" w:sz="0" w:space="0" w:color="auto"/>
            <w:bottom w:val="none" w:sz="0" w:space="0" w:color="auto"/>
            <w:right w:val="none" w:sz="0" w:space="0" w:color="auto"/>
          </w:divBdr>
          <w:divsChild>
            <w:div w:id="15368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9325">
      <w:bodyDiv w:val="1"/>
      <w:marLeft w:val="0"/>
      <w:marRight w:val="0"/>
      <w:marTop w:val="0"/>
      <w:marBottom w:val="0"/>
      <w:divBdr>
        <w:top w:val="none" w:sz="0" w:space="0" w:color="auto"/>
        <w:left w:val="none" w:sz="0" w:space="0" w:color="auto"/>
        <w:bottom w:val="none" w:sz="0" w:space="0" w:color="auto"/>
        <w:right w:val="none" w:sz="0" w:space="0" w:color="auto"/>
      </w:divBdr>
      <w:divsChild>
        <w:div w:id="1075738315">
          <w:marLeft w:val="0"/>
          <w:marRight w:val="0"/>
          <w:marTop w:val="0"/>
          <w:marBottom w:val="0"/>
          <w:divBdr>
            <w:top w:val="none" w:sz="0" w:space="0" w:color="auto"/>
            <w:left w:val="none" w:sz="0" w:space="0" w:color="auto"/>
            <w:bottom w:val="none" w:sz="0" w:space="0" w:color="auto"/>
            <w:right w:val="none" w:sz="0" w:space="0" w:color="auto"/>
          </w:divBdr>
          <w:divsChild>
            <w:div w:id="459342082">
              <w:marLeft w:val="0"/>
              <w:marRight w:val="0"/>
              <w:marTop w:val="0"/>
              <w:marBottom w:val="0"/>
              <w:divBdr>
                <w:top w:val="none" w:sz="0" w:space="0" w:color="auto"/>
                <w:left w:val="none" w:sz="0" w:space="0" w:color="auto"/>
                <w:bottom w:val="none" w:sz="0" w:space="0" w:color="auto"/>
                <w:right w:val="none" w:sz="0" w:space="0" w:color="auto"/>
              </w:divBdr>
              <w:divsChild>
                <w:div w:id="2051299258">
                  <w:marLeft w:val="0"/>
                  <w:marRight w:val="0"/>
                  <w:marTop w:val="0"/>
                  <w:marBottom w:val="0"/>
                  <w:divBdr>
                    <w:top w:val="none" w:sz="0" w:space="0" w:color="auto"/>
                    <w:left w:val="none" w:sz="0" w:space="0" w:color="auto"/>
                    <w:bottom w:val="none" w:sz="0" w:space="0" w:color="auto"/>
                    <w:right w:val="none" w:sz="0" w:space="0" w:color="auto"/>
                  </w:divBdr>
                  <w:divsChild>
                    <w:div w:id="1377006476">
                      <w:marLeft w:val="0"/>
                      <w:marRight w:val="0"/>
                      <w:marTop w:val="0"/>
                      <w:marBottom w:val="0"/>
                      <w:divBdr>
                        <w:top w:val="none" w:sz="0" w:space="0" w:color="auto"/>
                        <w:left w:val="none" w:sz="0" w:space="0" w:color="auto"/>
                        <w:bottom w:val="none" w:sz="0" w:space="0" w:color="auto"/>
                        <w:right w:val="none" w:sz="0" w:space="0" w:color="auto"/>
                      </w:divBdr>
                      <w:divsChild>
                        <w:div w:id="758671833">
                          <w:marLeft w:val="0"/>
                          <w:marRight w:val="0"/>
                          <w:marTop w:val="0"/>
                          <w:marBottom w:val="0"/>
                          <w:divBdr>
                            <w:top w:val="none" w:sz="0" w:space="0" w:color="auto"/>
                            <w:left w:val="none" w:sz="0" w:space="0" w:color="auto"/>
                            <w:bottom w:val="none" w:sz="0" w:space="0" w:color="auto"/>
                            <w:right w:val="none" w:sz="0" w:space="0" w:color="auto"/>
                          </w:divBdr>
                          <w:divsChild>
                            <w:div w:id="747968385">
                              <w:marLeft w:val="0"/>
                              <w:marRight w:val="0"/>
                              <w:marTop w:val="0"/>
                              <w:marBottom w:val="0"/>
                              <w:divBdr>
                                <w:top w:val="none" w:sz="0" w:space="0" w:color="auto"/>
                                <w:left w:val="none" w:sz="0" w:space="0" w:color="auto"/>
                                <w:bottom w:val="none" w:sz="0" w:space="0" w:color="auto"/>
                                <w:right w:val="none" w:sz="0" w:space="0" w:color="auto"/>
                              </w:divBdr>
                              <w:divsChild>
                                <w:div w:id="1906329753">
                                  <w:marLeft w:val="0"/>
                                  <w:marRight w:val="0"/>
                                  <w:marTop w:val="0"/>
                                  <w:marBottom w:val="0"/>
                                  <w:divBdr>
                                    <w:top w:val="none" w:sz="0" w:space="0" w:color="auto"/>
                                    <w:left w:val="none" w:sz="0" w:space="0" w:color="auto"/>
                                    <w:bottom w:val="none" w:sz="0" w:space="0" w:color="auto"/>
                                    <w:right w:val="none" w:sz="0" w:space="0" w:color="auto"/>
                                  </w:divBdr>
                                  <w:divsChild>
                                    <w:div w:id="382600522">
                                      <w:marLeft w:val="0"/>
                                      <w:marRight w:val="0"/>
                                      <w:marTop w:val="0"/>
                                      <w:marBottom w:val="0"/>
                                      <w:divBdr>
                                        <w:top w:val="none" w:sz="0" w:space="0" w:color="auto"/>
                                        <w:left w:val="none" w:sz="0" w:space="0" w:color="auto"/>
                                        <w:bottom w:val="none" w:sz="0" w:space="0" w:color="auto"/>
                                        <w:right w:val="none" w:sz="0" w:space="0" w:color="auto"/>
                                      </w:divBdr>
                                      <w:divsChild>
                                        <w:div w:id="1440181133">
                                          <w:marLeft w:val="0"/>
                                          <w:marRight w:val="0"/>
                                          <w:marTop w:val="0"/>
                                          <w:marBottom w:val="0"/>
                                          <w:divBdr>
                                            <w:top w:val="none" w:sz="0" w:space="0" w:color="auto"/>
                                            <w:left w:val="none" w:sz="0" w:space="0" w:color="auto"/>
                                            <w:bottom w:val="none" w:sz="0" w:space="0" w:color="auto"/>
                                            <w:right w:val="none" w:sz="0" w:space="0" w:color="auto"/>
                                          </w:divBdr>
                                          <w:divsChild>
                                            <w:div w:id="1736515542">
                                              <w:marLeft w:val="0"/>
                                              <w:marRight w:val="0"/>
                                              <w:marTop w:val="0"/>
                                              <w:marBottom w:val="0"/>
                                              <w:divBdr>
                                                <w:top w:val="none" w:sz="0" w:space="0" w:color="auto"/>
                                                <w:left w:val="none" w:sz="0" w:space="0" w:color="auto"/>
                                                <w:bottom w:val="none" w:sz="0" w:space="0" w:color="auto"/>
                                                <w:right w:val="none" w:sz="0" w:space="0" w:color="auto"/>
                                              </w:divBdr>
                                              <w:divsChild>
                                                <w:div w:id="1397123636">
                                                  <w:marLeft w:val="0"/>
                                                  <w:marRight w:val="0"/>
                                                  <w:marTop w:val="0"/>
                                                  <w:marBottom w:val="0"/>
                                                  <w:divBdr>
                                                    <w:top w:val="none" w:sz="0" w:space="0" w:color="auto"/>
                                                    <w:left w:val="none" w:sz="0" w:space="0" w:color="auto"/>
                                                    <w:bottom w:val="none" w:sz="0" w:space="0" w:color="auto"/>
                                                    <w:right w:val="none" w:sz="0" w:space="0" w:color="auto"/>
                                                  </w:divBdr>
                                                  <w:divsChild>
                                                    <w:div w:id="1513760319">
                                                      <w:marLeft w:val="0"/>
                                                      <w:marRight w:val="0"/>
                                                      <w:marTop w:val="0"/>
                                                      <w:marBottom w:val="0"/>
                                                      <w:divBdr>
                                                        <w:top w:val="none" w:sz="0" w:space="0" w:color="auto"/>
                                                        <w:left w:val="none" w:sz="0" w:space="0" w:color="auto"/>
                                                        <w:bottom w:val="none" w:sz="0" w:space="0" w:color="auto"/>
                                                        <w:right w:val="none" w:sz="0" w:space="0" w:color="auto"/>
                                                      </w:divBdr>
                                                      <w:divsChild>
                                                        <w:div w:id="18293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40576">
          <w:marLeft w:val="0"/>
          <w:marRight w:val="0"/>
          <w:marTop w:val="0"/>
          <w:marBottom w:val="0"/>
          <w:divBdr>
            <w:top w:val="none" w:sz="0" w:space="0" w:color="auto"/>
            <w:left w:val="none" w:sz="0" w:space="0" w:color="auto"/>
            <w:bottom w:val="none" w:sz="0" w:space="0" w:color="auto"/>
            <w:right w:val="none" w:sz="0" w:space="0" w:color="auto"/>
          </w:divBdr>
          <w:divsChild>
            <w:div w:id="10527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30418">
      <w:bodyDiv w:val="1"/>
      <w:marLeft w:val="0"/>
      <w:marRight w:val="0"/>
      <w:marTop w:val="0"/>
      <w:marBottom w:val="0"/>
      <w:divBdr>
        <w:top w:val="none" w:sz="0" w:space="0" w:color="auto"/>
        <w:left w:val="none" w:sz="0" w:space="0" w:color="auto"/>
        <w:bottom w:val="none" w:sz="0" w:space="0" w:color="auto"/>
        <w:right w:val="none" w:sz="0" w:space="0" w:color="auto"/>
      </w:divBdr>
      <w:divsChild>
        <w:div w:id="1900939398">
          <w:marLeft w:val="0"/>
          <w:marRight w:val="0"/>
          <w:marTop w:val="0"/>
          <w:marBottom w:val="0"/>
          <w:divBdr>
            <w:top w:val="none" w:sz="0" w:space="0" w:color="auto"/>
            <w:left w:val="none" w:sz="0" w:space="0" w:color="auto"/>
            <w:bottom w:val="none" w:sz="0" w:space="0" w:color="auto"/>
            <w:right w:val="none" w:sz="0" w:space="0" w:color="auto"/>
          </w:divBdr>
          <w:divsChild>
            <w:div w:id="940723542">
              <w:marLeft w:val="0"/>
              <w:marRight w:val="0"/>
              <w:marTop w:val="0"/>
              <w:marBottom w:val="0"/>
              <w:divBdr>
                <w:top w:val="none" w:sz="0" w:space="0" w:color="auto"/>
                <w:left w:val="none" w:sz="0" w:space="0" w:color="auto"/>
                <w:bottom w:val="none" w:sz="0" w:space="0" w:color="auto"/>
                <w:right w:val="none" w:sz="0" w:space="0" w:color="auto"/>
              </w:divBdr>
              <w:divsChild>
                <w:div w:id="1207520910">
                  <w:marLeft w:val="0"/>
                  <w:marRight w:val="0"/>
                  <w:marTop w:val="0"/>
                  <w:marBottom w:val="0"/>
                  <w:divBdr>
                    <w:top w:val="none" w:sz="0" w:space="0" w:color="auto"/>
                    <w:left w:val="none" w:sz="0" w:space="0" w:color="auto"/>
                    <w:bottom w:val="none" w:sz="0" w:space="0" w:color="auto"/>
                    <w:right w:val="none" w:sz="0" w:space="0" w:color="auto"/>
                  </w:divBdr>
                  <w:divsChild>
                    <w:div w:id="917448025">
                      <w:marLeft w:val="0"/>
                      <w:marRight w:val="0"/>
                      <w:marTop w:val="0"/>
                      <w:marBottom w:val="0"/>
                      <w:divBdr>
                        <w:top w:val="none" w:sz="0" w:space="0" w:color="auto"/>
                        <w:left w:val="none" w:sz="0" w:space="0" w:color="auto"/>
                        <w:bottom w:val="none" w:sz="0" w:space="0" w:color="auto"/>
                        <w:right w:val="none" w:sz="0" w:space="0" w:color="auto"/>
                      </w:divBdr>
                      <w:divsChild>
                        <w:div w:id="442384587">
                          <w:marLeft w:val="0"/>
                          <w:marRight w:val="0"/>
                          <w:marTop w:val="0"/>
                          <w:marBottom w:val="0"/>
                          <w:divBdr>
                            <w:top w:val="none" w:sz="0" w:space="0" w:color="auto"/>
                            <w:left w:val="none" w:sz="0" w:space="0" w:color="auto"/>
                            <w:bottom w:val="none" w:sz="0" w:space="0" w:color="auto"/>
                            <w:right w:val="none" w:sz="0" w:space="0" w:color="auto"/>
                          </w:divBdr>
                          <w:divsChild>
                            <w:div w:id="14699486">
                              <w:marLeft w:val="0"/>
                              <w:marRight w:val="0"/>
                              <w:marTop w:val="0"/>
                              <w:marBottom w:val="0"/>
                              <w:divBdr>
                                <w:top w:val="none" w:sz="0" w:space="0" w:color="auto"/>
                                <w:left w:val="none" w:sz="0" w:space="0" w:color="auto"/>
                                <w:bottom w:val="none" w:sz="0" w:space="0" w:color="auto"/>
                                <w:right w:val="none" w:sz="0" w:space="0" w:color="auto"/>
                              </w:divBdr>
                              <w:divsChild>
                                <w:div w:id="229314871">
                                  <w:marLeft w:val="0"/>
                                  <w:marRight w:val="0"/>
                                  <w:marTop w:val="0"/>
                                  <w:marBottom w:val="0"/>
                                  <w:divBdr>
                                    <w:top w:val="none" w:sz="0" w:space="0" w:color="auto"/>
                                    <w:left w:val="none" w:sz="0" w:space="0" w:color="auto"/>
                                    <w:bottom w:val="none" w:sz="0" w:space="0" w:color="auto"/>
                                    <w:right w:val="none" w:sz="0" w:space="0" w:color="auto"/>
                                  </w:divBdr>
                                  <w:divsChild>
                                    <w:div w:id="154033572">
                                      <w:marLeft w:val="0"/>
                                      <w:marRight w:val="0"/>
                                      <w:marTop w:val="0"/>
                                      <w:marBottom w:val="0"/>
                                      <w:divBdr>
                                        <w:top w:val="none" w:sz="0" w:space="0" w:color="auto"/>
                                        <w:left w:val="none" w:sz="0" w:space="0" w:color="auto"/>
                                        <w:bottom w:val="none" w:sz="0" w:space="0" w:color="auto"/>
                                        <w:right w:val="none" w:sz="0" w:space="0" w:color="auto"/>
                                      </w:divBdr>
                                      <w:divsChild>
                                        <w:div w:id="851798891">
                                          <w:marLeft w:val="0"/>
                                          <w:marRight w:val="0"/>
                                          <w:marTop w:val="0"/>
                                          <w:marBottom w:val="0"/>
                                          <w:divBdr>
                                            <w:top w:val="none" w:sz="0" w:space="0" w:color="auto"/>
                                            <w:left w:val="none" w:sz="0" w:space="0" w:color="auto"/>
                                            <w:bottom w:val="none" w:sz="0" w:space="0" w:color="auto"/>
                                            <w:right w:val="none" w:sz="0" w:space="0" w:color="auto"/>
                                          </w:divBdr>
                                          <w:divsChild>
                                            <w:div w:id="1271162385">
                                              <w:marLeft w:val="0"/>
                                              <w:marRight w:val="0"/>
                                              <w:marTop w:val="0"/>
                                              <w:marBottom w:val="0"/>
                                              <w:divBdr>
                                                <w:top w:val="none" w:sz="0" w:space="0" w:color="auto"/>
                                                <w:left w:val="none" w:sz="0" w:space="0" w:color="auto"/>
                                                <w:bottom w:val="none" w:sz="0" w:space="0" w:color="auto"/>
                                                <w:right w:val="none" w:sz="0" w:space="0" w:color="auto"/>
                                              </w:divBdr>
                                              <w:divsChild>
                                                <w:div w:id="501627631">
                                                  <w:marLeft w:val="0"/>
                                                  <w:marRight w:val="0"/>
                                                  <w:marTop w:val="0"/>
                                                  <w:marBottom w:val="0"/>
                                                  <w:divBdr>
                                                    <w:top w:val="none" w:sz="0" w:space="0" w:color="auto"/>
                                                    <w:left w:val="none" w:sz="0" w:space="0" w:color="auto"/>
                                                    <w:bottom w:val="none" w:sz="0" w:space="0" w:color="auto"/>
                                                    <w:right w:val="none" w:sz="0" w:space="0" w:color="auto"/>
                                                  </w:divBdr>
                                                  <w:divsChild>
                                                    <w:div w:id="1723170052">
                                                      <w:marLeft w:val="0"/>
                                                      <w:marRight w:val="0"/>
                                                      <w:marTop w:val="0"/>
                                                      <w:marBottom w:val="0"/>
                                                      <w:divBdr>
                                                        <w:top w:val="none" w:sz="0" w:space="0" w:color="auto"/>
                                                        <w:left w:val="none" w:sz="0" w:space="0" w:color="auto"/>
                                                        <w:bottom w:val="none" w:sz="0" w:space="0" w:color="auto"/>
                                                        <w:right w:val="none" w:sz="0" w:space="0" w:color="auto"/>
                                                      </w:divBdr>
                                                    </w:div>
                                                  </w:divsChild>
                                                </w:div>
                                                <w:div w:id="1225406113">
                                                  <w:marLeft w:val="0"/>
                                                  <w:marRight w:val="0"/>
                                                  <w:marTop w:val="0"/>
                                                  <w:marBottom w:val="0"/>
                                                  <w:divBdr>
                                                    <w:top w:val="none" w:sz="0" w:space="0" w:color="auto"/>
                                                    <w:left w:val="none" w:sz="0" w:space="0" w:color="auto"/>
                                                    <w:bottom w:val="none" w:sz="0" w:space="0" w:color="auto"/>
                                                    <w:right w:val="none" w:sz="0" w:space="0" w:color="auto"/>
                                                  </w:divBdr>
                                                  <w:divsChild>
                                                    <w:div w:id="1568539740">
                                                      <w:marLeft w:val="0"/>
                                                      <w:marRight w:val="0"/>
                                                      <w:marTop w:val="0"/>
                                                      <w:marBottom w:val="0"/>
                                                      <w:divBdr>
                                                        <w:top w:val="none" w:sz="0" w:space="0" w:color="auto"/>
                                                        <w:left w:val="none" w:sz="0" w:space="0" w:color="auto"/>
                                                        <w:bottom w:val="none" w:sz="0" w:space="0" w:color="auto"/>
                                                        <w:right w:val="none" w:sz="0" w:space="0" w:color="auto"/>
                                                      </w:divBdr>
                                                    </w:div>
                                                  </w:divsChild>
                                                </w:div>
                                                <w:div w:id="1088312849">
                                                  <w:marLeft w:val="0"/>
                                                  <w:marRight w:val="0"/>
                                                  <w:marTop w:val="0"/>
                                                  <w:marBottom w:val="0"/>
                                                  <w:divBdr>
                                                    <w:top w:val="none" w:sz="0" w:space="0" w:color="auto"/>
                                                    <w:left w:val="none" w:sz="0" w:space="0" w:color="auto"/>
                                                    <w:bottom w:val="none" w:sz="0" w:space="0" w:color="auto"/>
                                                    <w:right w:val="none" w:sz="0" w:space="0" w:color="auto"/>
                                                  </w:divBdr>
                                                  <w:divsChild>
                                                    <w:div w:id="1664048686">
                                                      <w:marLeft w:val="0"/>
                                                      <w:marRight w:val="0"/>
                                                      <w:marTop w:val="0"/>
                                                      <w:marBottom w:val="0"/>
                                                      <w:divBdr>
                                                        <w:top w:val="none" w:sz="0" w:space="0" w:color="auto"/>
                                                        <w:left w:val="none" w:sz="0" w:space="0" w:color="auto"/>
                                                        <w:bottom w:val="none" w:sz="0" w:space="0" w:color="auto"/>
                                                        <w:right w:val="none" w:sz="0" w:space="0" w:color="auto"/>
                                                      </w:divBdr>
                                                    </w:div>
                                                  </w:divsChild>
                                                </w:div>
                                                <w:div w:id="1417939598">
                                                  <w:marLeft w:val="0"/>
                                                  <w:marRight w:val="0"/>
                                                  <w:marTop w:val="0"/>
                                                  <w:marBottom w:val="0"/>
                                                  <w:divBdr>
                                                    <w:top w:val="none" w:sz="0" w:space="0" w:color="auto"/>
                                                    <w:left w:val="none" w:sz="0" w:space="0" w:color="auto"/>
                                                    <w:bottom w:val="none" w:sz="0" w:space="0" w:color="auto"/>
                                                    <w:right w:val="none" w:sz="0" w:space="0" w:color="auto"/>
                                                  </w:divBdr>
                                                  <w:divsChild>
                                                    <w:div w:id="5006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9427457">
          <w:marLeft w:val="0"/>
          <w:marRight w:val="0"/>
          <w:marTop w:val="0"/>
          <w:marBottom w:val="0"/>
          <w:divBdr>
            <w:top w:val="none" w:sz="0" w:space="0" w:color="auto"/>
            <w:left w:val="none" w:sz="0" w:space="0" w:color="auto"/>
            <w:bottom w:val="none" w:sz="0" w:space="0" w:color="auto"/>
            <w:right w:val="none" w:sz="0" w:space="0" w:color="auto"/>
          </w:divBdr>
          <w:divsChild>
            <w:div w:id="1578517025">
              <w:marLeft w:val="0"/>
              <w:marRight w:val="0"/>
              <w:marTop w:val="0"/>
              <w:marBottom w:val="0"/>
              <w:divBdr>
                <w:top w:val="none" w:sz="0" w:space="0" w:color="auto"/>
                <w:left w:val="none" w:sz="0" w:space="0" w:color="auto"/>
                <w:bottom w:val="none" w:sz="0" w:space="0" w:color="auto"/>
                <w:right w:val="none" w:sz="0" w:space="0" w:color="auto"/>
              </w:divBdr>
              <w:divsChild>
                <w:div w:id="1096093569">
                  <w:marLeft w:val="0"/>
                  <w:marRight w:val="0"/>
                  <w:marTop w:val="0"/>
                  <w:marBottom w:val="0"/>
                  <w:divBdr>
                    <w:top w:val="none" w:sz="0" w:space="0" w:color="auto"/>
                    <w:left w:val="none" w:sz="0" w:space="0" w:color="auto"/>
                    <w:bottom w:val="none" w:sz="0" w:space="0" w:color="auto"/>
                    <w:right w:val="none" w:sz="0" w:space="0" w:color="auto"/>
                  </w:divBdr>
                  <w:divsChild>
                    <w:div w:id="1009874600">
                      <w:marLeft w:val="0"/>
                      <w:marRight w:val="0"/>
                      <w:marTop w:val="0"/>
                      <w:marBottom w:val="0"/>
                      <w:divBdr>
                        <w:top w:val="none" w:sz="0" w:space="0" w:color="auto"/>
                        <w:left w:val="none" w:sz="0" w:space="0" w:color="auto"/>
                        <w:bottom w:val="none" w:sz="0" w:space="0" w:color="auto"/>
                        <w:right w:val="none" w:sz="0" w:space="0" w:color="auto"/>
                      </w:divBdr>
                      <w:divsChild>
                        <w:div w:id="1812744856">
                          <w:marLeft w:val="0"/>
                          <w:marRight w:val="0"/>
                          <w:marTop w:val="0"/>
                          <w:marBottom w:val="0"/>
                          <w:divBdr>
                            <w:top w:val="none" w:sz="0" w:space="0" w:color="auto"/>
                            <w:left w:val="none" w:sz="0" w:space="0" w:color="auto"/>
                            <w:bottom w:val="none" w:sz="0" w:space="0" w:color="auto"/>
                            <w:right w:val="none" w:sz="0" w:space="0" w:color="auto"/>
                          </w:divBdr>
                          <w:divsChild>
                            <w:div w:id="19860764">
                              <w:marLeft w:val="0"/>
                              <w:marRight w:val="0"/>
                              <w:marTop w:val="0"/>
                              <w:marBottom w:val="0"/>
                              <w:divBdr>
                                <w:top w:val="none" w:sz="0" w:space="0" w:color="auto"/>
                                <w:left w:val="none" w:sz="0" w:space="0" w:color="auto"/>
                                <w:bottom w:val="none" w:sz="0" w:space="0" w:color="auto"/>
                                <w:right w:val="none" w:sz="0" w:space="0" w:color="auto"/>
                              </w:divBdr>
                              <w:divsChild>
                                <w:div w:id="679428724">
                                  <w:marLeft w:val="0"/>
                                  <w:marRight w:val="0"/>
                                  <w:marTop w:val="0"/>
                                  <w:marBottom w:val="0"/>
                                  <w:divBdr>
                                    <w:top w:val="none" w:sz="0" w:space="0" w:color="auto"/>
                                    <w:left w:val="none" w:sz="0" w:space="0" w:color="auto"/>
                                    <w:bottom w:val="none" w:sz="0" w:space="0" w:color="auto"/>
                                    <w:right w:val="none" w:sz="0" w:space="0" w:color="auto"/>
                                  </w:divBdr>
                                  <w:divsChild>
                                    <w:div w:id="737172351">
                                      <w:marLeft w:val="0"/>
                                      <w:marRight w:val="0"/>
                                      <w:marTop w:val="0"/>
                                      <w:marBottom w:val="0"/>
                                      <w:divBdr>
                                        <w:top w:val="none" w:sz="0" w:space="0" w:color="auto"/>
                                        <w:left w:val="none" w:sz="0" w:space="0" w:color="auto"/>
                                        <w:bottom w:val="none" w:sz="0" w:space="0" w:color="auto"/>
                                        <w:right w:val="none" w:sz="0" w:space="0" w:color="auto"/>
                                      </w:divBdr>
                                      <w:divsChild>
                                        <w:div w:id="1576620426">
                                          <w:marLeft w:val="0"/>
                                          <w:marRight w:val="0"/>
                                          <w:marTop w:val="0"/>
                                          <w:marBottom w:val="0"/>
                                          <w:divBdr>
                                            <w:top w:val="none" w:sz="0" w:space="0" w:color="auto"/>
                                            <w:left w:val="none" w:sz="0" w:space="0" w:color="auto"/>
                                            <w:bottom w:val="none" w:sz="0" w:space="0" w:color="auto"/>
                                            <w:right w:val="none" w:sz="0" w:space="0" w:color="auto"/>
                                          </w:divBdr>
                                          <w:divsChild>
                                            <w:div w:id="1972398026">
                                              <w:marLeft w:val="0"/>
                                              <w:marRight w:val="0"/>
                                              <w:marTop w:val="0"/>
                                              <w:marBottom w:val="0"/>
                                              <w:divBdr>
                                                <w:top w:val="none" w:sz="0" w:space="0" w:color="auto"/>
                                                <w:left w:val="none" w:sz="0" w:space="0" w:color="auto"/>
                                                <w:bottom w:val="none" w:sz="0" w:space="0" w:color="auto"/>
                                                <w:right w:val="none" w:sz="0" w:space="0" w:color="auto"/>
                                              </w:divBdr>
                                              <w:divsChild>
                                                <w:div w:id="603000989">
                                                  <w:marLeft w:val="0"/>
                                                  <w:marRight w:val="0"/>
                                                  <w:marTop w:val="0"/>
                                                  <w:marBottom w:val="0"/>
                                                  <w:divBdr>
                                                    <w:top w:val="none" w:sz="0" w:space="0" w:color="auto"/>
                                                    <w:left w:val="none" w:sz="0" w:space="0" w:color="auto"/>
                                                    <w:bottom w:val="none" w:sz="0" w:space="0" w:color="auto"/>
                                                    <w:right w:val="none" w:sz="0" w:space="0" w:color="auto"/>
                                                  </w:divBdr>
                                                  <w:divsChild>
                                                    <w:div w:id="33249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585964">
      <w:bodyDiv w:val="1"/>
      <w:marLeft w:val="0"/>
      <w:marRight w:val="0"/>
      <w:marTop w:val="0"/>
      <w:marBottom w:val="0"/>
      <w:divBdr>
        <w:top w:val="none" w:sz="0" w:space="0" w:color="auto"/>
        <w:left w:val="none" w:sz="0" w:space="0" w:color="auto"/>
        <w:bottom w:val="none" w:sz="0" w:space="0" w:color="auto"/>
        <w:right w:val="none" w:sz="0" w:space="0" w:color="auto"/>
      </w:divBdr>
      <w:divsChild>
        <w:div w:id="1027950391">
          <w:marLeft w:val="0"/>
          <w:marRight w:val="0"/>
          <w:marTop w:val="0"/>
          <w:marBottom w:val="0"/>
          <w:divBdr>
            <w:top w:val="none" w:sz="0" w:space="0" w:color="auto"/>
            <w:left w:val="none" w:sz="0" w:space="0" w:color="auto"/>
            <w:bottom w:val="none" w:sz="0" w:space="0" w:color="auto"/>
            <w:right w:val="none" w:sz="0" w:space="0" w:color="auto"/>
          </w:divBdr>
          <w:divsChild>
            <w:div w:id="281739549">
              <w:marLeft w:val="0"/>
              <w:marRight w:val="0"/>
              <w:marTop w:val="0"/>
              <w:marBottom w:val="0"/>
              <w:divBdr>
                <w:top w:val="none" w:sz="0" w:space="0" w:color="auto"/>
                <w:left w:val="none" w:sz="0" w:space="0" w:color="auto"/>
                <w:bottom w:val="none" w:sz="0" w:space="0" w:color="auto"/>
                <w:right w:val="none" w:sz="0" w:space="0" w:color="auto"/>
              </w:divBdr>
              <w:divsChild>
                <w:div w:id="969551355">
                  <w:marLeft w:val="0"/>
                  <w:marRight w:val="0"/>
                  <w:marTop w:val="0"/>
                  <w:marBottom w:val="0"/>
                  <w:divBdr>
                    <w:top w:val="none" w:sz="0" w:space="0" w:color="auto"/>
                    <w:left w:val="none" w:sz="0" w:space="0" w:color="auto"/>
                    <w:bottom w:val="none" w:sz="0" w:space="0" w:color="auto"/>
                    <w:right w:val="none" w:sz="0" w:space="0" w:color="auto"/>
                  </w:divBdr>
                  <w:divsChild>
                    <w:div w:id="2116905282">
                      <w:marLeft w:val="0"/>
                      <w:marRight w:val="0"/>
                      <w:marTop w:val="0"/>
                      <w:marBottom w:val="0"/>
                      <w:divBdr>
                        <w:top w:val="none" w:sz="0" w:space="0" w:color="auto"/>
                        <w:left w:val="none" w:sz="0" w:space="0" w:color="auto"/>
                        <w:bottom w:val="none" w:sz="0" w:space="0" w:color="auto"/>
                        <w:right w:val="none" w:sz="0" w:space="0" w:color="auto"/>
                      </w:divBdr>
                      <w:divsChild>
                        <w:div w:id="901793186">
                          <w:marLeft w:val="0"/>
                          <w:marRight w:val="0"/>
                          <w:marTop w:val="0"/>
                          <w:marBottom w:val="0"/>
                          <w:divBdr>
                            <w:top w:val="none" w:sz="0" w:space="0" w:color="auto"/>
                            <w:left w:val="none" w:sz="0" w:space="0" w:color="auto"/>
                            <w:bottom w:val="none" w:sz="0" w:space="0" w:color="auto"/>
                            <w:right w:val="none" w:sz="0" w:space="0" w:color="auto"/>
                          </w:divBdr>
                          <w:divsChild>
                            <w:div w:id="1301613043">
                              <w:marLeft w:val="0"/>
                              <w:marRight w:val="0"/>
                              <w:marTop w:val="0"/>
                              <w:marBottom w:val="0"/>
                              <w:divBdr>
                                <w:top w:val="none" w:sz="0" w:space="0" w:color="auto"/>
                                <w:left w:val="none" w:sz="0" w:space="0" w:color="auto"/>
                                <w:bottom w:val="none" w:sz="0" w:space="0" w:color="auto"/>
                                <w:right w:val="none" w:sz="0" w:space="0" w:color="auto"/>
                              </w:divBdr>
                              <w:divsChild>
                                <w:div w:id="2044016312">
                                  <w:marLeft w:val="0"/>
                                  <w:marRight w:val="0"/>
                                  <w:marTop w:val="0"/>
                                  <w:marBottom w:val="0"/>
                                  <w:divBdr>
                                    <w:top w:val="none" w:sz="0" w:space="0" w:color="auto"/>
                                    <w:left w:val="none" w:sz="0" w:space="0" w:color="auto"/>
                                    <w:bottom w:val="none" w:sz="0" w:space="0" w:color="auto"/>
                                    <w:right w:val="none" w:sz="0" w:space="0" w:color="auto"/>
                                  </w:divBdr>
                                  <w:divsChild>
                                    <w:div w:id="473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282616">
      <w:bodyDiv w:val="1"/>
      <w:marLeft w:val="0"/>
      <w:marRight w:val="0"/>
      <w:marTop w:val="0"/>
      <w:marBottom w:val="0"/>
      <w:divBdr>
        <w:top w:val="none" w:sz="0" w:space="0" w:color="auto"/>
        <w:left w:val="none" w:sz="0" w:space="0" w:color="auto"/>
        <w:bottom w:val="none" w:sz="0" w:space="0" w:color="auto"/>
        <w:right w:val="none" w:sz="0" w:space="0" w:color="auto"/>
      </w:divBdr>
      <w:divsChild>
        <w:div w:id="1743019420">
          <w:marLeft w:val="0"/>
          <w:marRight w:val="0"/>
          <w:marTop w:val="0"/>
          <w:marBottom w:val="0"/>
          <w:divBdr>
            <w:top w:val="none" w:sz="0" w:space="0" w:color="auto"/>
            <w:left w:val="none" w:sz="0" w:space="0" w:color="auto"/>
            <w:bottom w:val="none" w:sz="0" w:space="0" w:color="auto"/>
            <w:right w:val="none" w:sz="0" w:space="0" w:color="auto"/>
          </w:divBdr>
          <w:divsChild>
            <w:div w:id="1251966917">
              <w:marLeft w:val="0"/>
              <w:marRight w:val="0"/>
              <w:marTop w:val="0"/>
              <w:marBottom w:val="0"/>
              <w:divBdr>
                <w:top w:val="none" w:sz="0" w:space="0" w:color="auto"/>
                <w:left w:val="none" w:sz="0" w:space="0" w:color="auto"/>
                <w:bottom w:val="none" w:sz="0" w:space="0" w:color="auto"/>
                <w:right w:val="none" w:sz="0" w:space="0" w:color="auto"/>
              </w:divBdr>
              <w:divsChild>
                <w:div w:id="981617818">
                  <w:marLeft w:val="0"/>
                  <w:marRight w:val="0"/>
                  <w:marTop w:val="0"/>
                  <w:marBottom w:val="0"/>
                  <w:divBdr>
                    <w:top w:val="none" w:sz="0" w:space="0" w:color="auto"/>
                    <w:left w:val="none" w:sz="0" w:space="0" w:color="auto"/>
                    <w:bottom w:val="none" w:sz="0" w:space="0" w:color="auto"/>
                    <w:right w:val="none" w:sz="0" w:space="0" w:color="auto"/>
                  </w:divBdr>
                  <w:divsChild>
                    <w:div w:id="305091117">
                      <w:marLeft w:val="0"/>
                      <w:marRight w:val="0"/>
                      <w:marTop w:val="0"/>
                      <w:marBottom w:val="0"/>
                      <w:divBdr>
                        <w:top w:val="none" w:sz="0" w:space="0" w:color="auto"/>
                        <w:left w:val="none" w:sz="0" w:space="0" w:color="auto"/>
                        <w:bottom w:val="none" w:sz="0" w:space="0" w:color="auto"/>
                        <w:right w:val="none" w:sz="0" w:space="0" w:color="auto"/>
                      </w:divBdr>
                      <w:divsChild>
                        <w:div w:id="1757894035">
                          <w:marLeft w:val="0"/>
                          <w:marRight w:val="0"/>
                          <w:marTop w:val="0"/>
                          <w:marBottom w:val="0"/>
                          <w:divBdr>
                            <w:top w:val="none" w:sz="0" w:space="0" w:color="auto"/>
                            <w:left w:val="none" w:sz="0" w:space="0" w:color="auto"/>
                            <w:bottom w:val="none" w:sz="0" w:space="0" w:color="auto"/>
                            <w:right w:val="none" w:sz="0" w:space="0" w:color="auto"/>
                          </w:divBdr>
                          <w:divsChild>
                            <w:div w:id="452866314">
                              <w:marLeft w:val="0"/>
                              <w:marRight w:val="0"/>
                              <w:marTop w:val="0"/>
                              <w:marBottom w:val="0"/>
                              <w:divBdr>
                                <w:top w:val="none" w:sz="0" w:space="0" w:color="auto"/>
                                <w:left w:val="none" w:sz="0" w:space="0" w:color="auto"/>
                                <w:bottom w:val="none" w:sz="0" w:space="0" w:color="auto"/>
                                <w:right w:val="none" w:sz="0" w:space="0" w:color="auto"/>
                              </w:divBdr>
                              <w:divsChild>
                                <w:div w:id="1168911617">
                                  <w:marLeft w:val="0"/>
                                  <w:marRight w:val="0"/>
                                  <w:marTop w:val="0"/>
                                  <w:marBottom w:val="0"/>
                                  <w:divBdr>
                                    <w:top w:val="none" w:sz="0" w:space="0" w:color="auto"/>
                                    <w:left w:val="none" w:sz="0" w:space="0" w:color="auto"/>
                                    <w:bottom w:val="none" w:sz="0" w:space="0" w:color="auto"/>
                                    <w:right w:val="none" w:sz="0" w:space="0" w:color="auto"/>
                                  </w:divBdr>
                                  <w:divsChild>
                                    <w:div w:id="72434431">
                                      <w:marLeft w:val="0"/>
                                      <w:marRight w:val="0"/>
                                      <w:marTop w:val="0"/>
                                      <w:marBottom w:val="0"/>
                                      <w:divBdr>
                                        <w:top w:val="none" w:sz="0" w:space="0" w:color="auto"/>
                                        <w:left w:val="none" w:sz="0" w:space="0" w:color="auto"/>
                                        <w:bottom w:val="none" w:sz="0" w:space="0" w:color="auto"/>
                                        <w:right w:val="none" w:sz="0" w:space="0" w:color="auto"/>
                                      </w:divBdr>
                                      <w:divsChild>
                                        <w:div w:id="1370253519">
                                          <w:marLeft w:val="0"/>
                                          <w:marRight w:val="0"/>
                                          <w:marTop w:val="0"/>
                                          <w:marBottom w:val="0"/>
                                          <w:divBdr>
                                            <w:top w:val="none" w:sz="0" w:space="0" w:color="auto"/>
                                            <w:left w:val="none" w:sz="0" w:space="0" w:color="auto"/>
                                            <w:bottom w:val="none" w:sz="0" w:space="0" w:color="auto"/>
                                            <w:right w:val="none" w:sz="0" w:space="0" w:color="auto"/>
                                          </w:divBdr>
                                          <w:divsChild>
                                            <w:div w:id="464198707">
                                              <w:marLeft w:val="0"/>
                                              <w:marRight w:val="0"/>
                                              <w:marTop w:val="0"/>
                                              <w:marBottom w:val="0"/>
                                              <w:divBdr>
                                                <w:top w:val="none" w:sz="0" w:space="0" w:color="auto"/>
                                                <w:left w:val="none" w:sz="0" w:space="0" w:color="auto"/>
                                                <w:bottom w:val="none" w:sz="0" w:space="0" w:color="auto"/>
                                                <w:right w:val="none" w:sz="0" w:space="0" w:color="auto"/>
                                              </w:divBdr>
                                              <w:divsChild>
                                                <w:div w:id="1970165089">
                                                  <w:marLeft w:val="0"/>
                                                  <w:marRight w:val="0"/>
                                                  <w:marTop w:val="0"/>
                                                  <w:marBottom w:val="0"/>
                                                  <w:divBdr>
                                                    <w:top w:val="none" w:sz="0" w:space="0" w:color="auto"/>
                                                    <w:left w:val="none" w:sz="0" w:space="0" w:color="auto"/>
                                                    <w:bottom w:val="none" w:sz="0" w:space="0" w:color="auto"/>
                                                    <w:right w:val="none" w:sz="0" w:space="0" w:color="auto"/>
                                                  </w:divBdr>
                                                  <w:divsChild>
                                                    <w:div w:id="597761956">
                                                      <w:marLeft w:val="0"/>
                                                      <w:marRight w:val="0"/>
                                                      <w:marTop w:val="0"/>
                                                      <w:marBottom w:val="0"/>
                                                      <w:divBdr>
                                                        <w:top w:val="none" w:sz="0" w:space="0" w:color="auto"/>
                                                        <w:left w:val="none" w:sz="0" w:space="0" w:color="auto"/>
                                                        <w:bottom w:val="none" w:sz="0" w:space="0" w:color="auto"/>
                                                        <w:right w:val="none" w:sz="0" w:space="0" w:color="auto"/>
                                                      </w:divBdr>
                                                      <w:divsChild>
                                                        <w:div w:id="17566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144746">
          <w:marLeft w:val="0"/>
          <w:marRight w:val="0"/>
          <w:marTop w:val="0"/>
          <w:marBottom w:val="0"/>
          <w:divBdr>
            <w:top w:val="none" w:sz="0" w:space="0" w:color="auto"/>
            <w:left w:val="none" w:sz="0" w:space="0" w:color="auto"/>
            <w:bottom w:val="none" w:sz="0" w:space="0" w:color="auto"/>
            <w:right w:val="none" w:sz="0" w:space="0" w:color="auto"/>
          </w:divBdr>
          <w:divsChild>
            <w:div w:id="14393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56502">
      <w:bodyDiv w:val="1"/>
      <w:marLeft w:val="0"/>
      <w:marRight w:val="0"/>
      <w:marTop w:val="0"/>
      <w:marBottom w:val="0"/>
      <w:divBdr>
        <w:top w:val="none" w:sz="0" w:space="0" w:color="auto"/>
        <w:left w:val="none" w:sz="0" w:space="0" w:color="auto"/>
        <w:bottom w:val="none" w:sz="0" w:space="0" w:color="auto"/>
        <w:right w:val="none" w:sz="0" w:space="0" w:color="auto"/>
      </w:divBdr>
      <w:divsChild>
        <w:div w:id="1591963702">
          <w:marLeft w:val="0"/>
          <w:marRight w:val="0"/>
          <w:marTop w:val="0"/>
          <w:marBottom w:val="0"/>
          <w:divBdr>
            <w:top w:val="none" w:sz="0" w:space="0" w:color="auto"/>
            <w:left w:val="none" w:sz="0" w:space="0" w:color="auto"/>
            <w:bottom w:val="none" w:sz="0" w:space="0" w:color="auto"/>
            <w:right w:val="none" w:sz="0" w:space="0" w:color="auto"/>
          </w:divBdr>
          <w:divsChild>
            <w:div w:id="512496373">
              <w:marLeft w:val="0"/>
              <w:marRight w:val="0"/>
              <w:marTop w:val="0"/>
              <w:marBottom w:val="0"/>
              <w:divBdr>
                <w:top w:val="none" w:sz="0" w:space="0" w:color="auto"/>
                <w:left w:val="none" w:sz="0" w:space="0" w:color="auto"/>
                <w:bottom w:val="none" w:sz="0" w:space="0" w:color="auto"/>
                <w:right w:val="none" w:sz="0" w:space="0" w:color="auto"/>
              </w:divBdr>
              <w:divsChild>
                <w:div w:id="1068724519">
                  <w:marLeft w:val="0"/>
                  <w:marRight w:val="0"/>
                  <w:marTop w:val="0"/>
                  <w:marBottom w:val="0"/>
                  <w:divBdr>
                    <w:top w:val="none" w:sz="0" w:space="0" w:color="auto"/>
                    <w:left w:val="none" w:sz="0" w:space="0" w:color="auto"/>
                    <w:bottom w:val="none" w:sz="0" w:space="0" w:color="auto"/>
                    <w:right w:val="none" w:sz="0" w:space="0" w:color="auto"/>
                  </w:divBdr>
                  <w:divsChild>
                    <w:div w:id="1750690161">
                      <w:marLeft w:val="0"/>
                      <w:marRight w:val="0"/>
                      <w:marTop w:val="0"/>
                      <w:marBottom w:val="0"/>
                      <w:divBdr>
                        <w:top w:val="none" w:sz="0" w:space="0" w:color="auto"/>
                        <w:left w:val="none" w:sz="0" w:space="0" w:color="auto"/>
                        <w:bottom w:val="none" w:sz="0" w:space="0" w:color="auto"/>
                        <w:right w:val="none" w:sz="0" w:space="0" w:color="auto"/>
                      </w:divBdr>
                      <w:divsChild>
                        <w:div w:id="43647969">
                          <w:marLeft w:val="0"/>
                          <w:marRight w:val="0"/>
                          <w:marTop w:val="0"/>
                          <w:marBottom w:val="0"/>
                          <w:divBdr>
                            <w:top w:val="none" w:sz="0" w:space="0" w:color="auto"/>
                            <w:left w:val="none" w:sz="0" w:space="0" w:color="auto"/>
                            <w:bottom w:val="none" w:sz="0" w:space="0" w:color="auto"/>
                            <w:right w:val="none" w:sz="0" w:space="0" w:color="auto"/>
                          </w:divBdr>
                          <w:divsChild>
                            <w:div w:id="971325071">
                              <w:marLeft w:val="0"/>
                              <w:marRight w:val="0"/>
                              <w:marTop w:val="0"/>
                              <w:marBottom w:val="0"/>
                              <w:divBdr>
                                <w:top w:val="none" w:sz="0" w:space="0" w:color="auto"/>
                                <w:left w:val="none" w:sz="0" w:space="0" w:color="auto"/>
                                <w:bottom w:val="none" w:sz="0" w:space="0" w:color="auto"/>
                                <w:right w:val="none" w:sz="0" w:space="0" w:color="auto"/>
                              </w:divBdr>
                              <w:divsChild>
                                <w:div w:id="2108696323">
                                  <w:marLeft w:val="0"/>
                                  <w:marRight w:val="0"/>
                                  <w:marTop w:val="0"/>
                                  <w:marBottom w:val="0"/>
                                  <w:divBdr>
                                    <w:top w:val="none" w:sz="0" w:space="0" w:color="auto"/>
                                    <w:left w:val="none" w:sz="0" w:space="0" w:color="auto"/>
                                    <w:bottom w:val="none" w:sz="0" w:space="0" w:color="auto"/>
                                    <w:right w:val="none" w:sz="0" w:space="0" w:color="auto"/>
                                  </w:divBdr>
                                  <w:divsChild>
                                    <w:div w:id="813640336">
                                      <w:marLeft w:val="0"/>
                                      <w:marRight w:val="0"/>
                                      <w:marTop w:val="0"/>
                                      <w:marBottom w:val="0"/>
                                      <w:divBdr>
                                        <w:top w:val="none" w:sz="0" w:space="0" w:color="auto"/>
                                        <w:left w:val="none" w:sz="0" w:space="0" w:color="auto"/>
                                        <w:bottom w:val="none" w:sz="0" w:space="0" w:color="auto"/>
                                        <w:right w:val="none" w:sz="0" w:space="0" w:color="auto"/>
                                      </w:divBdr>
                                      <w:divsChild>
                                        <w:div w:id="784662943">
                                          <w:marLeft w:val="0"/>
                                          <w:marRight w:val="0"/>
                                          <w:marTop w:val="0"/>
                                          <w:marBottom w:val="0"/>
                                          <w:divBdr>
                                            <w:top w:val="none" w:sz="0" w:space="0" w:color="auto"/>
                                            <w:left w:val="none" w:sz="0" w:space="0" w:color="auto"/>
                                            <w:bottom w:val="none" w:sz="0" w:space="0" w:color="auto"/>
                                            <w:right w:val="none" w:sz="0" w:space="0" w:color="auto"/>
                                          </w:divBdr>
                                          <w:divsChild>
                                            <w:div w:id="1344672403">
                                              <w:marLeft w:val="0"/>
                                              <w:marRight w:val="0"/>
                                              <w:marTop w:val="0"/>
                                              <w:marBottom w:val="0"/>
                                              <w:divBdr>
                                                <w:top w:val="none" w:sz="0" w:space="0" w:color="auto"/>
                                                <w:left w:val="none" w:sz="0" w:space="0" w:color="auto"/>
                                                <w:bottom w:val="none" w:sz="0" w:space="0" w:color="auto"/>
                                                <w:right w:val="none" w:sz="0" w:space="0" w:color="auto"/>
                                              </w:divBdr>
                                              <w:divsChild>
                                                <w:div w:id="1008748417">
                                                  <w:marLeft w:val="0"/>
                                                  <w:marRight w:val="0"/>
                                                  <w:marTop w:val="0"/>
                                                  <w:marBottom w:val="0"/>
                                                  <w:divBdr>
                                                    <w:top w:val="none" w:sz="0" w:space="0" w:color="auto"/>
                                                    <w:left w:val="none" w:sz="0" w:space="0" w:color="auto"/>
                                                    <w:bottom w:val="none" w:sz="0" w:space="0" w:color="auto"/>
                                                    <w:right w:val="none" w:sz="0" w:space="0" w:color="auto"/>
                                                  </w:divBdr>
                                                  <w:divsChild>
                                                    <w:div w:id="98531118">
                                                      <w:marLeft w:val="0"/>
                                                      <w:marRight w:val="0"/>
                                                      <w:marTop w:val="0"/>
                                                      <w:marBottom w:val="0"/>
                                                      <w:divBdr>
                                                        <w:top w:val="none" w:sz="0" w:space="0" w:color="auto"/>
                                                        <w:left w:val="none" w:sz="0" w:space="0" w:color="auto"/>
                                                        <w:bottom w:val="none" w:sz="0" w:space="0" w:color="auto"/>
                                                        <w:right w:val="none" w:sz="0" w:space="0" w:color="auto"/>
                                                      </w:divBdr>
                                                      <w:divsChild>
                                                        <w:div w:id="70182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862455">
          <w:marLeft w:val="0"/>
          <w:marRight w:val="0"/>
          <w:marTop w:val="0"/>
          <w:marBottom w:val="0"/>
          <w:divBdr>
            <w:top w:val="none" w:sz="0" w:space="0" w:color="auto"/>
            <w:left w:val="none" w:sz="0" w:space="0" w:color="auto"/>
            <w:bottom w:val="none" w:sz="0" w:space="0" w:color="auto"/>
            <w:right w:val="none" w:sz="0" w:space="0" w:color="auto"/>
          </w:divBdr>
          <w:divsChild>
            <w:div w:id="1468011177">
              <w:marLeft w:val="0"/>
              <w:marRight w:val="0"/>
              <w:marTop w:val="0"/>
              <w:marBottom w:val="0"/>
              <w:divBdr>
                <w:top w:val="none" w:sz="0" w:space="0" w:color="auto"/>
                <w:left w:val="none" w:sz="0" w:space="0" w:color="auto"/>
                <w:bottom w:val="none" w:sz="0" w:space="0" w:color="auto"/>
                <w:right w:val="none" w:sz="0" w:space="0" w:color="auto"/>
              </w:divBdr>
              <w:divsChild>
                <w:div w:id="2097508562">
                  <w:marLeft w:val="0"/>
                  <w:marRight w:val="0"/>
                  <w:marTop w:val="0"/>
                  <w:marBottom w:val="0"/>
                  <w:divBdr>
                    <w:top w:val="none" w:sz="0" w:space="0" w:color="auto"/>
                    <w:left w:val="none" w:sz="0" w:space="0" w:color="auto"/>
                    <w:bottom w:val="none" w:sz="0" w:space="0" w:color="auto"/>
                    <w:right w:val="none" w:sz="0" w:space="0" w:color="auto"/>
                  </w:divBdr>
                  <w:divsChild>
                    <w:div w:id="1195189784">
                      <w:marLeft w:val="0"/>
                      <w:marRight w:val="0"/>
                      <w:marTop w:val="0"/>
                      <w:marBottom w:val="0"/>
                      <w:divBdr>
                        <w:top w:val="none" w:sz="0" w:space="0" w:color="auto"/>
                        <w:left w:val="none" w:sz="0" w:space="0" w:color="auto"/>
                        <w:bottom w:val="none" w:sz="0" w:space="0" w:color="auto"/>
                        <w:right w:val="none" w:sz="0" w:space="0" w:color="auto"/>
                      </w:divBdr>
                      <w:divsChild>
                        <w:div w:id="1740402280">
                          <w:marLeft w:val="0"/>
                          <w:marRight w:val="0"/>
                          <w:marTop w:val="0"/>
                          <w:marBottom w:val="0"/>
                          <w:divBdr>
                            <w:top w:val="none" w:sz="0" w:space="0" w:color="auto"/>
                            <w:left w:val="none" w:sz="0" w:space="0" w:color="auto"/>
                            <w:bottom w:val="none" w:sz="0" w:space="0" w:color="auto"/>
                            <w:right w:val="none" w:sz="0" w:space="0" w:color="auto"/>
                          </w:divBdr>
                          <w:divsChild>
                            <w:div w:id="1744639023">
                              <w:marLeft w:val="0"/>
                              <w:marRight w:val="0"/>
                              <w:marTop w:val="0"/>
                              <w:marBottom w:val="0"/>
                              <w:divBdr>
                                <w:top w:val="none" w:sz="0" w:space="0" w:color="auto"/>
                                <w:left w:val="none" w:sz="0" w:space="0" w:color="auto"/>
                                <w:bottom w:val="none" w:sz="0" w:space="0" w:color="auto"/>
                                <w:right w:val="none" w:sz="0" w:space="0" w:color="auto"/>
                              </w:divBdr>
                              <w:divsChild>
                                <w:div w:id="1586722003">
                                  <w:marLeft w:val="0"/>
                                  <w:marRight w:val="0"/>
                                  <w:marTop w:val="0"/>
                                  <w:marBottom w:val="0"/>
                                  <w:divBdr>
                                    <w:top w:val="none" w:sz="0" w:space="0" w:color="auto"/>
                                    <w:left w:val="none" w:sz="0" w:space="0" w:color="auto"/>
                                    <w:bottom w:val="none" w:sz="0" w:space="0" w:color="auto"/>
                                    <w:right w:val="none" w:sz="0" w:space="0" w:color="auto"/>
                                  </w:divBdr>
                                  <w:divsChild>
                                    <w:div w:id="1796021009">
                                      <w:marLeft w:val="0"/>
                                      <w:marRight w:val="0"/>
                                      <w:marTop w:val="0"/>
                                      <w:marBottom w:val="0"/>
                                      <w:divBdr>
                                        <w:top w:val="none" w:sz="0" w:space="0" w:color="auto"/>
                                        <w:left w:val="none" w:sz="0" w:space="0" w:color="auto"/>
                                        <w:bottom w:val="none" w:sz="0" w:space="0" w:color="auto"/>
                                        <w:right w:val="none" w:sz="0" w:space="0" w:color="auto"/>
                                      </w:divBdr>
                                      <w:divsChild>
                                        <w:div w:id="647249643">
                                          <w:marLeft w:val="0"/>
                                          <w:marRight w:val="0"/>
                                          <w:marTop w:val="0"/>
                                          <w:marBottom w:val="0"/>
                                          <w:divBdr>
                                            <w:top w:val="none" w:sz="0" w:space="0" w:color="auto"/>
                                            <w:left w:val="none" w:sz="0" w:space="0" w:color="auto"/>
                                            <w:bottom w:val="none" w:sz="0" w:space="0" w:color="auto"/>
                                            <w:right w:val="none" w:sz="0" w:space="0" w:color="auto"/>
                                          </w:divBdr>
                                          <w:divsChild>
                                            <w:div w:id="1645230195">
                                              <w:marLeft w:val="0"/>
                                              <w:marRight w:val="0"/>
                                              <w:marTop w:val="0"/>
                                              <w:marBottom w:val="0"/>
                                              <w:divBdr>
                                                <w:top w:val="none" w:sz="0" w:space="0" w:color="auto"/>
                                                <w:left w:val="none" w:sz="0" w:space="0" w:color="auto"/>
                                                <w:bottom w:val="none" w:sz="0" w:space="0" w:color="auto"/>
                                                <w:right w:val="none" w:sz="0" w:space="0" w:color="auto"/>
                                              </w:divBdr>
                                              <w:divsChild>
                                                <w:div w:id="1183132544">
                                                  <w:marLeft w:val="0"/>
                                                  <w:marRight w:val="0"/>
                                                  <w:marTop w:val="0"/>
                                                  <w:marBottom w:val="0"/>
                                                  <w:divBdr>
                                                    <w:top w:val="none" w:sz="0" w:space="0" w:color="auto"/>
                                                    <w:left w:val="none" w:sz="0" w:space="0" w:color="auto"/>
                                                    <w:bottom w:val="none" w:sz="0" w:space="0" w:color="auto"/>
                                                    <w:right w:val="none" w:sz="0" w:space="0" w:color="auto"/>
                                                  </w:divBdr>
                                                  <w:divsChild>
                                                    <w:div w:id="250092601">
                                                      <w:marLeft w:val="0"/>
                                                      <w:marRight w:val="0"/>
                                                      <w:marTop w:val="0"/>
                                                      <w:marBottom w:val="0"/>
                                                      <w:divBdr>
                                                        <w:top w:val="none" w:sz="0" w:space="0" w:color="auto"/>
                                                        <w:left w:val="none" w:sz="0" w:space="0" w:color="auto"/>
                                                        <w:bottom w:val="none" w:sz="0" w:space="0" w:color="auto"/>
                                                        <w:right w:val="none" w:sz="0" w:space="0" w:color="auto"/>
                                                      </w:divBdr>
                                                      <w:divsChild>
                                                        <w:div w:id="163625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4785565">
          <w:marLeft w:val="0"/>
          <w:marRight w:val="0"/>
          <w:marTop w:val="0"/>
          <w:marBottom w:val="0"/>
          <w:divBdr>
            <w:top w:val="none" w:sz="0" w:space="0" w:color="auto"/>
            <w:left w:val="none" w:sz="0" w:space="0" w:color="auto"/>
            <w:bottom w:val="none" w:sz="0" w:space="0" w:color="auto"/>
            <w:right w:val="none" w:sz="0" w:space="0" w:color="auto"/>
          </w:divBdr>
          <w:divsChild>
            <w:div w:id="32559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2735">
      <w:bodyDiv w:val="1"/>
      <w:marLeft w:val="0"/>
      <w:marRight w:val="0"/>
      <w:marTop w:val="0"/>
      <w:marBottom w:val="0"/>
      <w:divBdr>
        <w:top w:val="none" w:sz="0" w:space="0" w:color="auto"/>
        <w:left w:val="none" w:sz="0" w:space="0" w:color="auto"/>
        <w:bottom w:val="none" w:sz="0" w:space="0" w:color="auto"/>
        <w:right w:val="none" w:sz="0" w:space="0" w:color="auto"/>
      </w:divBdr>
      <w:divsChild>
        <w:div w:id="1074668679">
          <w:marLeft w:val="0"/>
          <w:marRight w:val="0"/>
          <w:marTop w:val="0"/>
          <w:marBottom w:val="0"/>
          <w:divBdr>
            <w:top w:val="none" w:sz="0" w:space="0" w:color="auto"/>
            <w:left w:val="none" w:sz="0" w:space="0" w:color="auto"/>
            <w:bottom w:val="none" w:sz="0" w:space="0" w:color="auto"/>
            <w:right w:val="none" w:sz="0" w:space="0" w:color="auto"/>
          </w:divBdr>
          <w:divsChild>
            <w:div w:id="1561744982">
              <w:marLeft w:val="0"/>
              <w:marRight w:val="0"/>
              <w:marTop w:val="0"/>
              <w:marBottom w:val="0"/>
              <w:divBdr>
                <w:top w:val="none" w:sz="0" w:space="0" w:color="auto"/>
                <w:left w:val="none" w:sz="0" w:space="0" w:color="auto"/>
                <w:bottom w:val="none" w:sz="0" w:space="0" w:color="auto"/>
                <w:right w:val="none" w:sz="0" w:space="0" w:color="auto"/>
              </w:divBdr>
              <w:divsChild>
                <w:div w:id="320432498">
                  <w:marLeft w:val="0"/>
                  <w:marRight w:val="0"/>
                  <w:marTop w:val="0"/>
                  <w:marBottom w:val="0"/>
                  <w:divBdr>
                    <w:top w:val="none" w:sz="0" w:space="0" w:color="auto"/>
                    <w:left w:val="none" w:sz="0" w:space="0" w:color="auto"/>
                    <w:bottom w:val="none" w:sz="0" w:space="0" w:color="auto"/>
                    <w:right w:val="none" w:sz="0" w:space="0" w:color="auto"/>
                  </w:divBdr>
                  <w:divsChild>
                    <w:div w:id="773941923">
                      <w:marLeft w:val="0"/>
                      <w:marRight w:val="0"/>
                      <w:marTop w:val="0"/>
                      <w:marBottom w:val="0"/>
                      <w:divBdr>
                        <w:top w:val="none" w:sz="0" w:space="0" w:color="auto"/>
                        <w:left w:val="none" w:sz="0" w:space="0" w:color="auto"/>
                        <w:bottom w:val="none" w:sz="0" w:space="0" w:color="auto"/>
                        <w:right w:val="none" w:sz="0" w:space="0" w:color="auto"/>
                      </w:divBdr>
                      <w:divsChild>
                        <w:div w:id="833257332">
                          <w:marLeft w:val="0"/>
                          <w:marRight w:val="0"/>
                          <w:marTop w:val="0"/>
                          <w:marBottom w:val="0"/>
                          <w:divBdr>
                            <w:top w:val="none" w:sz="0" w:space="0" w:color="auto"/>
                            <w:left w:val="none" w:sz="0" w:space="0" w:color="auto"/>
                            <w:bottom w:val="none" w:sz="0" w:space="0" w:color="auto"/>
                            <w:right w:val="none" w:sz="0" w:space="0" w:color="auto"/>
                          </w:divBdr>
                          <w:divsChild>
                            <w:div w:id="1831024351">
                              <w:marLeft w:val="0"/>
                              <w:marRight w:val="0"/>
                              <w:marTop w:val="0"/>
                              <w:marBottom w:val="0"/>
                              <w:divBdr>
                                <w:top w:val="none" w:sz="0" w:space="0" w:color="auto"/>
                                <w:left w:val="none" w:sz="0" w:space="0" w:color="auto"/>
                                <w:bottom w:val="none" w:sz="0" w:space="0" w:color="auto"/>
                                <w:right w:val="none" w:sz="0" w:space="0" w:color="auto"/>
                              </w:divBdr>
                              <w:divsChild>
                                <w:div w:id="826365050">
                                  <w:marLeft w:val="0"/>
                                  <w:marRight w:val="0"/>
                                  <w:marTop w:val="0"/>
                                  <w:marBottom w:val="0"/>
                                  <w:divBdr>
                                    <w:top w:val="none" w:sz="0" w:space="0" w:color="auto"/>
                                    <w:left w:val="none" w:sz="0" w:space="0" w:color="auto"/>
                                    <w:bottom w:val="none" w:sz="0" w:space="0" w:color="auto"/>
                                    <w:right w:val="none" w:sz="0" w:space="0" w:color="auto"/>
                                  </w:divBdr>
                                  <w:divsChild>
                                    <w:div w:id="1693915846">
                                      <w:marLeft w:val="0"/>
                                      <w:marRight w:val="0"/>
                                      <w:marTop w:val="0"/>
                                      <w:marBottom w:val="0"/>
                                      <w:divBdr>
                                        <w:top w:val="none" w:sz="0" w:space="0" w:color="auto"/>
                                        <w:left w:val="none" w:sz="0" w:space="0" w:color="auto"/>
                                        <w:bottom w:val="none" w:sz="0" w:space="0" w:color="auto"/>
                                        <w:right w:val="none" w:sz="0" w:space="0" w:color="auto"/>
                                      </w:divBdr>
                                      <w:divsChild>
                                        <w:div w:id="540481186">
                                          <w:marLeft w:val="0"/>
                                          <w:marRight w:val="0"/>
                                          <w:marTop w:val="0"/>
                                          <w:marBottom w:val="0"/>
                                          <w:divBdr>
                                            <w:top w:val="none" w:sz="0" w:space="0" w:color="auto"/>
                                            <w:left w:val="none" w:sz="0" w:space="0" w:color="auto"/>
                                            <w:bottom w:val="none" w:sz="0" w:space="0" w:color="auto"/>
                                            <w:right w:val="none" w:sz="0" w:space="0" w:color="auto"/>
                                          </w:divBdr>
                                          <w:divsChild>
                                            <w:div w:id="177233680">
                                              <w:marLeft w:val="0"/>
                                              <w:marRight w:val="0"/>
                                              <w:marTop w:val="0"/>
                                              <w:marBottom w:val="0"/>
                                              <w:divBdr>
                                                <w:top w:val="none" w:sz="0" w:space="0" w:color="auto"/>
                                                <w:left w:val="none" w:sz="0" w:space="0" w:color="auto"/>
                                                <w:bottom w:val="none" w:sz="0" w:space="0" w:color="auto"/>
                                                <w:right w:val="none" w:sz="0" w:space="0" w:color="auto"/>
                                              </w:divBdr>
                                              <w:divsChild>
                                                <w:div w:id="448932000">
                                                  <w:marLeft w:val="0"/>
                                                  <w:marRight w:val="0"/>
                                                  <w:marTop w:val="0"/>
                                                  <w:marBottom w:val="0"/>
                                                  <w:divBdr>
                                                    <w:top w:val="none" w:sz="0" w:space="0" w:color="auto"/>
                                                    <w:left w:val="none" w:sz="0" w:space="0" w:color="auto"/>
                                                    <w:bottom w:val="none" w:sz="0" w:space="0" w:color="auto"/>
                                                    <w:right w:val="none" w:sz="0" w:space="0" w:color="auto"/>
                                                  </w:divBdr>
                                                  <w:divsChild>
                                                    <w:div w:id="1072237843">
                                                      <w:marLeft w:val="0"/>
                                                      <w:marRight w:val="0"/>
                                                      <w:marTop w:val="0"/>
                                                      <w:marBottom w:val="0"/>
                                                      <w:divBdr>
                                                        <w:top w:val="none" w:sz="0" w:space="0" w:color="auto"/>
                                                        <w:left w:val="none" w:sz="0" w:space="0" w:color="auto"/>
                                                        <w:bottom w:val="none" w:sz="0" w:space="0" w:color="auto"/>
                                                        <w:right w:val="none" w:sz="0" w:space="0" w:color="auto"/>
                                                      </w:divBdr>
                                                      <w:divsChild>
                                                        <w:div w:id="12666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606545">
          <w:marLeft w:val="0"/>
          <w:marRight w:val="0"/>
          <w:marTop w:val="0"/>
          <w:marBottom w:val="0"/>
          <w:divBdr>
            <w:top w:val="none" w:sz="0" w:space="0" w:color="auto"/>
            <w:left w:val="none" w:sz="0" w:space="0" w:color="auto"/>
            <w:bottom w:val="none" w:sz="0" w:space="0" w:color="auto"/>
            <w:right w:val="none" w:sz="0" w:space="0" w:color="auto"/>
          </w:divBdr>
          <w:divsChild>
            <w:div w:id="19632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00928">
      <w:bodyDiv w:val="1"/>
      <w:marLeft w:val="0"/>
      <w:marRight w:val="0"/>
      <w:marTop w:val="0"/>
      <w:marBottom w:val="0"/>
      <w:divBdr>
        <w:top w:val="none" w:sz="0" w:space="0" w:color="auto"/>
        <w:left w:val="none" w:sz="0" w:space="0" w:color="auto"/>
        <w:bottom w:val="none" w:sz="0" w:space="0" w:color="auto"/>
        <w:right w:val="none" w:sz="0" w:space="0" w:color="auto"/>
      </w:divBdr>
      <w:divsChild>
        <w:div w:id="322316830">
          <w:marLeft w:val="0"/>
          <w:marRight w:val="0"/>
          <w:marTop w:val="0"/>
          <w:marBottom w:val="0"/>
          <w:divBdr>
            <w:top w:val="none" w:sz="0" w:space="0" w:color="auto"/>
            <w:left w:val="none" w:sz="0" w:space="0" w:color="auto"/>
            <w:bottom w:val="none" w:sz="0" w:space="0" w:color="auto"/>
            <w:right w:val="none" w:sz="0" w:space="0" w:color="auto"/>
          </w:divBdr>
          <w:divsChild>
            <w:div w:id="2112624532">
              <w:marLeft w:val="0"/>
              <w:marRight w:val="0"/>
              <w:marTop w:val="0"/>
              <w:marBottom w:val="0"/>
              <w:divBdr>
                <w:top w:val="none" w:sz="0" w:space="0" w:color="auto"/>
                <w:left w:val="none" w:sz="0" w:space="0" w:color="auto"/>
                <w:bottom w:val="none" w:sz="0" w:space="0" w:color="auto"/>
                <w:right w:val="none" w:sz="0" w:space="0" w:color="auto"/>
              </w:divBdr>
              <w:divsChild>
                <w:div w:id="1131099426">
                  <w:marLeft w:val="0"/>
                  <w:marRight w:val="0"/>
                  <w:marTop w:val="0"/>
                  <w:marBottom w:val="0"/>
                  <w:divBdr>
                    <w:top w:val="none" w:sz="0" w:space="0" w:color="auto"/>
                    <w:left w:val="none" w:sz="0" w:space="0" w:color="auto"/>
                    <w:bottom w:val="none" w:sz="0" w:space="0" w:color="auto"/>
                    <w:right w:val="none" w:sz="0" w:space="0" w:color="auto"/>
                  </w:divBdr>
                  <w:divsChild>
                    <w:div w:id="1874033818">
                      <w:marLeft w:val="0"/>
                      <w:marRight w:val="0"/>
                      <w:marTop w:val="0"/>
                      <w:marBottom w:val="0"/>
                      <w:divBdr>
                        <w:top w:val="none" w:sz="0" w:space="0" w:color="auto"/>
                        <w:left w:val="none" w:sz="0" w:space="0" w:color="auto"/>
                        <w:bottom w:val="none" w:sz="0" w:space="0" w:color="auto"/>
                        <w:right w:val="none" w:sz="0" w:space="0" w:color="auto"/>
                      </w:divBdr>
                      <w:divsChild>
                        <w:div w:id="1774091479">
                          <w:marLeft w:val="0"/>
                          <w:marRight w:val="0"/>
                          <w:marTop w:val="0"/>
                          <w:marBottom w:val="0"/>
                          <w:divBdr>
                            <w:top w:val="none" w:sz="0" w:space="0" w:color="auto"/>
                            <w:left w:val="none" w:sz="0" w:space="0" w:color="auto"/>
                            <w:bottom w:val="none" w:sz="0" w:space="0" w:color="auto"/>
                            <w:right w:val="none" w:sz="0" w:space="0" w:color="auto"/>
                          </w:divBdr>
                          <w:divsChild>
                            <w:div w:id="1224102523">
                              <w:marLeft w:val="0"/>
                              <w:marRight w:val="0"/>
                              <w:marTop w:val="0"/>
                              <w:marBottom w:val="0"/>
                              <w:divBdr>
                                <w:top w:val="none" w:sz="0" w:space="0" w:color="auto"/>
                                <w:left w:val="none" w:sz="0" w:space="0" w:color="auto"/>
                                <w:bottom w:val="none" w:sz="0" w:space="0" w:color="auto"/>
                                <w:right w:val="none" w:sz="0" w:space="0" w:color="auto"/>
                              </w:divBdr>
                              <w:divsChild>
                                <w:div w:id="722679660">
                                  <w:marLeft w:val="0"/>
                                  <w:marRight w:val="0"/>
                                  <w:marTop w:val="0"/>
                                  <w:marBottom w:val="0"/>
                                  <w:divBdr>
                                    <w:top w:val="none" w:sz="0" w:space="0" w:color="auto"/>
                                    <w:left w:val="none" w:sz="0" w:space="0" w:color="auto"/>
                                    <w:bottom w:val="none" w:sz="0" w:space="0" w:color="auto"/>
                                    <w:right w:val="none" w:sz="0" w:space="0" w:color="auto"/>
                                  </w:divBdr>
                                  <w:divsChild>
                                    <w:div w:id="782459091">
                                      <w:marLeft w:val="0"/>
                                      <w:marRight w:val="0"/>
                                      <w:marTop w:val="0"/>
                                      <w:marBottom w:val="0"/>
                                      <w:divBdr>
                                        <w:top w:val="none" w:sz="0" w:space="0" w:color="auto"/>
                                        <w:left w:val="none" w:sz="0" w:space="0" w:color="auto"/>
                                        <w:bottom w:val="none" w:sz="0" w:space="0" w:color="auto"/>
                                        <w:right w:val="none" w:sz="0" w:space="0" w:color="auto"/>
                                      </w:divBdr>
                                      <w:divsChild>
                                        <w:div w:id="534347119">
                                          <w:marLeft w:val="0"/>
                                          <w:marRight w:val="0"/>
                                          <w:marTop w:val="0"/>
                                          <w:marBottom w:val="0"/>
                                          <w:divBdr>
                                            <w:top w:val="none" w:sz="0" w:space="0" w:color="auto"/>
                                            <w:left w:val="none" w:sz="0" w:space="0" w:color="auto"/>
                                            <w:bottom w:val="none" w:sz="0" w:space="0" w:color="auto"/>
                                            <w:right w:val="none" w:sz="0" w:space="0" w:color="auto"/>
                                          </w:divBdr>
                                          <w:divsChild>
                                            <w:div w:id="1114329244">
                                              <w:marLeft w:val="0"/>
                                              <w:marRight w:val="0"/>
                                              <w:marTop w:val="0"/>
                                              <w:marBottom w:val="0"/>
                                              <w:divBdr>
                                                <w:top w:val="none" w:sz="0" w:space="0" w:color="auto"/>
                                                <w:left w:val="none" w:sz="0" w:space="0" w:color="auto"/>
                                                <w:bottom w:val="none" w:sz="0" w:space="0" w:color="auto"/>
                                                <w:right w:val="none" w:sz="0" w:space="0" w:color="auto"/>
                                              </w:divBdr>
                                              <w:divsChild>
                                                <w:div w:id="1411734002">
                                                  <w:marLeft w:val="0"/>
                                                  <w:marRight w:val="0"/>
                                                  <w:marTop w:val="0"/>
                                                  <w:marBottom w:val="0"/>
                                                  <w:divBdr>
                                                    <w:top w:val="none" w:sz="0" w:space="0" w:color="auto"/>
                                                    <w:left w:val="none" w:sz="0" w:space="0" w:color="auto"/>
                                                    <w:bottom w:val="none" w:sz="0" w:space="0" w:color="auto"/>
                                                    <w:right w:val="none" w:sz="0" w:space="0" w:color="auto"/>
                                                  </w:divBdr>
                                                  <w:divsChild>
                                                    <w:div w:id="674840779">
                                                      <w:marLeft w:val="0"/>
                                                      <w:marRight w:val="0"/>
                                                      <w:marTop w:val="0"/>
                                                      <w:marBottom w:val="0"/>
                                                      <w:divBdr>
                                                        <w:top w:val="none" w:sz="0" w:space="0" w:color="auto"/>
                                                        <w:left w:val="none" w:sz="0" w:space="0" w:color="auto"/>
                                                        <w:bottom w:val="none" w:sz="0" w:space="0" w:color="auto"/>
                                                        <w:right w:val="none" w:sz="0" w:space="0" w:color="auto"/>
                                                      </w:divBdr>
                                                      <w:divsChild>
                                                        <w:div w:id="2004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08909">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97599">
      <w:bodyDiv w:val="1"/>
      <w:marLeft w:val="0"/>
      <w:marRight w:val="0"/>
      <w:marTop w:val="0"/>
      <w:marBottom w:val="0"/>
      <w:divBdr>
        <w:top w:val="none" w:sz="0" w:space="0" w:color="auto"/>
        <w:left w:val="none" w:sz="0" w:space="0" w:color="auto"/>
        <w:bottom w:val="none" w:sz="0" w:space="0" w:color="auto"/>
        <w:right w:val="none" w:sz="0" w:space="0" w:color="auto"/>
      </w:divBdr>
      <w:divsChild>
        <w:div w:id="536891964">
          <w:marLeft w:val="0"/>
          <w:marRight w:val="0"/>
          <w:marTop w:val="0"/>
          <w:marBottom w:val="0"/>
          <w:divBdr>
            <w:top w:val="none" w:sz="0" w:space="0" w:color="auto"/>
            <w:left w:val="none" w:sz="0" w:space="0" w:color="auto"/>
            <w:bottom w:val="none" w:sz="0" w:space="0" w:color="auto"/>
            <w:right w:val="none" w:sz="0" w:space="0" w:color="auto"/>
          </w:divBdr>
          <w:divsChild>
            <w:div w:id="4021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4635">
      <w:bodyDiv w:val="1"/>
      <w:marLeft w:val="0"/>
      <w:marRight w:val="0"/>
      <w:marTop w:val="0"/>
      <w:marBottom w:val="0"/>
      <w:divBdr>
        <w:top w:val="none" w:sz="0" w:space="0" w:color="auto"/>
        <w:left w:val="none" w:sz="0" w:space="0" w:color="auto"/>
        <w:bottom w:val="none" w:sz="0" w:space="0" w:color="auto"/>
        <w:right w:val="none" w:sz="0" w:space="0" w:color="auto"/>
      </w:divBdr>
      <w:divsChild>
        <w:div w:id="720328348">
          <w:marLeft w:val="0"/>
          <w:marRight w:val="0"/>
          <w:marTop w:val="0"/>
          <w:marBottom w:val="0"/>
          <w:divBdr>
            <w:top w:val="none" w:sz="0" w:space="0" w:color="auto"/>
            <w:left w:val="none" w:sz="0" w:space="0" w:color="auto"/>
            <w:bottom w:val="none" w:sz="0" w:space="0" w:color="auto"/>
            <w:right w:val="none" w:sz="0" w:space="0" w:color="auto"/>
          </w:divBdr>
          <w:divsChild>
            <w:div w:id="1995603271">
              <w:marLeft w:val="0"/>
              <w:marRight w:val="0"/>
              <w:marTop w:val="0"/>
              <w:marBottom w:val="0"/>
              <w:divBdr>
                <w:top w:val="none" w:sz="0" w:space="0" w:color="auto"/>
                <w:left w:val="none" w:sz="0" w:space="0" w:color="auto"/>
                <w:bottom w:val="none" w:sz="0" w:space="0" w:color="auto"/>
                <w:right w:val="none" w:sz="0" w:space="0" w:color="auto"/>
              </w:divBdr>
              <w:divsChild>
                <w:div w:id="408039030">
                  <w:marLeft w:val="0"/>
                  <w:marRight w:val="0"/>
                  <w:marTop w:val="0"/>
                  <w:marBottom w:val="0"/>
                  <w:divBdr>
                    <w:top w:val="none" w:sz="0" w:space="0" w:color="auto"/>
                    <w:left w:val="none" w:sz="0" w:space="0" w:color="auto"/>
                    <w:bottom w:val="none" w:sz="0" w:space="0" w:color="auto"/>
                    <w:right w:val="none" w:sz="0" w:space="0" w:color="auto"/>
                  </w:divBdr>
                  <w:divsChild>
                    <w:div w:id="1821724488">
                      <w:marLeft w:val="0"/>
                      <w:marRight w:val="0"/>
                      <w:marTop w:val="0"/>
                      <w:marBottom w:val="0"/>
                      <w:divBdr>
                        <w:top w:val="none" w:sz="0" w:space="0" w:color="auto"/>
                        <w:left w:val="none" w:sz="0" w:space="0" w:color="auto"/>
                        <w:bottom w:val="none" w:sz="0" w:space="0" w:color="auto"/>
                        <w:right w:val="none" w:sz="0" w:space="0" w:color="auto"/>
                      </w:divBdr>
                      <w:divsChild>
                        <w:div w:id="362249641">
                          <w:marLeft w:val="0"/>
                          <w:marRight w:val="0"/>
                          <w:marTop w:val="0"/>
                          <w:marBottom w:val="0"/>
                          <w:divBdr>
                            <w:top w:val="none" w:sz="0" w:space="0" w:color="auto"/>
                            <w:left w:val="none" w:sz="0" w:space="0" w:color="auto"/>
                            <w:bottom w:val="none" w:sz="0" w:space="0" w:color="auto"/>
                            <w:right w:val="none" w:sz="0" w:space="0" w:color="auto"/>
                          </w:divBdr>
                          <w:divsChild>
                            <w:div w:id="1689596198">
                              <w:marLeft w:val="0"/>
                              <w:marRight w:val="0"/>
                              <w:marTop w:val="0"/>
                              <w:marBottom w:val="0"/>
                              <w:divBdr>
                                <w:top w:val="none" w:sz="0" w:space="0" w:color="auto"/>
                                <w:left w:val="none" w:sz="0" w:space="0" w:color="auto"/>
                                <w:bottom w:val="none" w:sz="0" w:space="0" w:color="auto"/>
                                <w:right w:val="none" w:sz="0" w:space="0" w:color="auto"/>
                              </w:divBdr>
                              <w:divsChild>
                                <w:div w:id="1300264324">
                                  <w:marLeft w:val="0"/>
                                  <w:marRight w:val="0"/>
                                  <w:marTop w:val="0"/>
                                  <w:marBottom w:val="0"/>
                                  <w:divBdr>
                                    <w:top w:val="none" w:sz="0" w:space="0" w:color="auto"/>
                                    <w:left w:val="none" w:sz="0" w:space="0" w:color="auto"/>
                                    <w:bottom w:val="none" w:sz="0" w:space="0" w:color="auto"/>
                                    <w:right w:val="none" w:sz="0" w:space="0" w:color="auto"/>
                                  </w:divBdr>
                                  <w:divsChild>
                                    <w:div w:id="1640451062">
                                      <w:marLeft w:val="0"/>
                                      <w:marRight w:val="0"/>
                                      <w:marTop w:val="0"/>
                                      <w:marBottom w:val="0"/>
                                      <w:divBdr>
                                        <w:top w:val="none" w:sz="0" w:space="0" w:color="auto"/>
                                        <w:left w:val="none" w:sz="0" w:space="0" w:color="auto"/>
                                        <w:bottom w:val="none" w:sz="0" w:space="0" w:color="auto"/>
                                        <w:right w:val="none" w:sz="0" w:space="0" w:color="auto"/>
                                      </w:divBdr>
                                      <w:divsChild>
                                        <w:div w:id="1564370116">
                                          <w:marLeft w:val="0"/>
                                          <w:marRight w:val="0"/>
                                          <w:marTop w:val="0"/>
                                          <w:marBottom w:val="0"/>
                                          <w:divBdr>
                                            <w:top w:val="none" w:sz="0" w:space="0" w:color="auto"/>
                                            <w:left w:val="none" w:sz="0" w:space="0" w:color="auto"/>
                                            <w:bottom w:val="none" w:sz="0" w:space="0" w:color="auto"/>
                                            <w:right w:val="none" w:sz="0" w:space="0" w:color="auto"/>
                                          </w:divBdr>
                                          <w:divsChild>
                                            <w:div w:id="362367831">
                                              <w:marLeft w:val="0"/>
                                              <w:marRight w:val="0"/>
                                              <w:marTop w:val="0"/>
                                              <w:marBottom w:val="0"/>
                                              <w:divBdr>
                                                <w:top w:val="none" w:sz="0" w:space="0" w:color="auto"/>
                                                <w:left w:val="none" w:sz="0" w:space="0" w:color="auto"/>
                                                <w:bottom w:val="none" w:sz="0" w:space="0" w:color="auto"/>
                                                <w:right w:val="none" w:sz="0" w:space="0" w:color="auto"/>
                                              </w:divBdr>
                                              <w:divsChild>
                                                <w:div w:id="390731067">
                                                  <w:marLeft w:val="0"/>
                                                  <w:marRight w:val="0"/>
                                                  <w:marTop w:val="0"/>
                                                  <w:marBottom w:val="0"/>
                                                  <w:divBdr>
                                                    <w:top w:val="none" w:sz="0" w:space="0" w:color="auto"/>
                                                    <w:left w:val="none" w:sz="0" w:space="0" w:color="auto"/>
                                                    <w:bottom w:val="none" w:sz="0" w:space="0" w:color="auto"/>
                                                    <w:right w:val="none" w:sz="0" w:space="0" w:color="auto"/>
                                                  </w:divBdr>
                                                  <w:divsChild>
                                                    <w:div w:id="524172753">
                                                      <w:marLeft w:val="0"/>
                                                      <w:marRight w:val="0"/>
                                                      <w:marTop w:val="0"/>
                                                      <w:marBottom w:val="0"/>
                                                      <w:divBdr>
                                                        <w:top w:val="none" w:sz="0" w:space="0" w:color="auto"/>
                                                        <w:left w:val="none" w:sz="0" w:space="0" w:color="auto"/>
                                                        <w:bottom w:val="none" w:sz="0" w:space="0" w:color="auto"/>
                                                        <w:right w:val="none" w:sz="0" w:space="0" w:color="auto"/>
                                                      </w:divBdr>
                                                      <w:divsChild>
                                                        <w:div w:id="6875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798173">
          <w:marLeft w:val="0"/>
          <w:marRight w:val="0"/>
          <w:marTop w:val="0"/>
          <w:marBottom w:val="0"/>
          <w:divBdr>
            <w:top w:val="none" w:sz="0" w:space="0" w:color="auto"/>
            <w:left w:val="none" w:sz="0" w:space="0" w:color="auto"/>
            <w:bottom w:val="none" w:sz="0" w:space="0" w:color="auto"/>
            <w:right w:val="none" w:sz="0" w:space="0" w:color="auto"/>
          </w:divBdr>
          <w:divsChild>
            <w:div w:id="16458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8842">
      <w:bodyDiv w:val="1"/>
      <w:marLeft w:val="0"/>
      <w:marRight w:val="0"/>
      <w:marTop w:val="0"/>
      <w:marBottom w:val="0"/>
      <w:divBdr>
        <w:top w:val="none" w:sz="0" w:space="0" w:color="auto"/>
        <w:left w:val="none" w:sz="0" w:space="0" w:color="auto"/>
        <w:bottom w:val="none" w:sz="0" w:space="0" w:color="auto"/>
        <w:right w:val="none" w:sz="0" w:space="0" w:color="auto"/>
      </w:divBdr>
      <w:divsChild>
        <w:div w:id="441456113">
          <w:marLeft w:val="0"/>
          <w:marRight w:val="0"/>
          <w:marTop w:val="0"/>
          <w:marBottom w:val="0"/>
          <w:divBdr>
            <w:top w:val="none" w:sz="0" w:space="0" w:color="auto"/>
            <w:left w:val="none" w:sz="0" w:space="0" w:color="auto"/>
            <w:bottom w:val="none" w:sz="0" w:space="0" w:color="auto"/>
            <w:right w:val="none" w:sz="0" w:space="0" w:color="auto"/>
          </w:divBdr>
          <w:divsChild>
            <w:div w:id="1656760303">
              <w:marLeft w:val="0"/>
              <w:marRight w:val="0"/>
              <w:marTop w:val="0"/>
              <w:marBottom w:val="0"/>
              <w:divBdr>
                <w:top w:val="none" w:sz="0" w:space="0" w:color="auto"/>
                <w:left w:val="none" w:sz="0" w:space="0" w:color="auto"/>
                <w:bottom w:val="none" w:sz="0" w:space="0" w:color="auto"/>
                <w:right w:val="none" w:sz="0" w:space="0" w:color="auto"/>
              </w:divBdr>
              <w:divsChild>
                <w:div w:id="716513161">
                  <w:marLeft w:val="0"/>
                  <w:marRight w:val="0"/>
                  <w:marTop w:val="0"/>
                  <w:marBottom w:val="0"/>
                  <w:divBdr>
                    <w:top w:val="none" w:sz="0" w:space="0" w:color="auto"/>
                    <w:left w:val="none" w:sz="0" w:space="0" w:color="auto"/>
                    <w:bottom w:val="none" w:sz="0" w:space="0" w:color="auto"/>
                    <w:right w:val="none" w:sz="0" w:space="0" w:color="auto"/>
                  </w:divBdr>
                  <w:divsChild>
                    <w:div w:id="1149593969">
                      <w:marLeft w:val="0"/>
                      <w:marRight w:val="0"/>
                      <w:marTop w:val="0"/>
                      <w:marBottom w:val="0"/>
                      <w:divBdr>
                        <w:top w:val="none" w:sz="0" w:space="0" w:color="auto"/>
                        <w:left w:val="none" w:sz="0" w:space="0" w:color="auto"/>
                        <w:bottom w:val="none" w:sz="0" w:space="0" w:color="auto"/>
                        <w:right w:val="none" w:sz="0" w:space="0" w:color="auto"/>
                      </w:divBdr>
                      <w:divsChild>
                        <w:div w:id="1609003291">
                          <w:marLeft w:val="0"/>
                          <w:marRight w:val="0"/>
                          <w:marTop w:val="0"/>
                          <w:marBottom w:val="0"/>
                          <w:divBdr>
                            <w:top w:val="none" w:sz="0" w:space="0" w:color="auto"/>
                            <w:left w:val="none" w:sz="0" w:space="0" w:color="auto"/>
                            <w:bottom w:val="none" w:sz="0" w:space="0" w:color="auto"/>
                            <w:right w:val="none" w:sz="0" w:space="0" w:color="auto"/>
                          </w:divBdr>
                          <w:divsChild>
                            <w:div w:id="725449816">
                              <w:marLeft w:val="0"/>
                              <w:marRight w:val="0"/>
                              <w:marTop w:val="0"/>
                              <w:marBottom w:val="0"/>
                              <w:divBdr>
                                <w:top w:val="none" w:sz="0" w:space="0" w:color="auto"/>
                                <w:left w:val="none" w:sz="0" w:space="0" w:color="auto"/>
                                <w:bottom w:val="none" w:sz="0" w:space="0" w:color="auto"/>
                                <w:right w:val="none" w:sz="0" w:space="0" w:color="auto"/>
                              </w:divBdr>
                              <w:divsChild>
                                <w:div w:id="2013363834">
                                  <w:marLeft w:val="0"/>
                                  <w:marRight w:val="0"/>
                                  <w:marTop w:val="0"/>
                                  <w:marBottom w:val="0"/>
                                  <w:divBdr>
                                    <w:top w:val="none" w:sz="0" w:space="0" w:color="auto"/>
                                    <w:left w:val="none" w:sz="0" w:space="0" w:color="auto"/>
                                    <w:bottom w:val="none" w:sz="0" w:space="0" w:color="auto"/>
                                    <w:right w:val="none" w:sz="0" w:space="0" w:color="auto"/>
                                  </w:divBdr>
                                  <w:divsChild>
                                    <w:div w:id="91317315">
                                      <w:marLeft w:val="0"/>
                                      <w:marRight w:val="0"/>
                                      <w:marTop w:val="0"/>
                                      <w:marBottom w:val="0"/>
                                      <w:divBdr>
                                        <w:top w:val="none" w:sz="0" w:space="0" w:color="auto"/>
                                        <w:left w:val="none" w:sz="0" w:space="0" w:color="auto"/>
                                        <w:bottom w:val="none" w:sz="0" w:space="0" w:color="auto"/>
                                        <w:right w:val="none" w:sz="0" w:space="0" w:color="auto"/>
                                      </w:divBdr>
                                      <w:divsChild>
                                        <w:div w:id="254829188">
                                          <w:marLeft w:val="0"/>
                                          <w:marRight w:val="0"/>
                                          <w:marTop w:val="0"/>
                                          <w:marBottom w:val="0"/>
                                          <w:divBdr>
                                            <w:top w:val="none" w:sz="0" w:space="0" w:color="auto"/>
                                            <w:left w:val="none" w:sz="0" w:space="0" w:color="auto"/>
                                            <w:bottom w:val="none" w:sz="0" w:space="0" w:color="auto"/>
                                            <w:right w:val="none" w:sz="0" w:space="0" w:color="auto"/>
                                          </w:divBdr>
                                          <w:divsChild>
                                            <w:div w:id="1478299166">
                                              <w:marLeft w:val="0"/>
                                              <w:marRight w:val="0"/>
                                              <w:marTop w:val="0"/>
                                              <w:marBottom w:val="0"/>
                                              <w:divBdr>
                                                <w:top w:val="none" w:sz="0" w:space="0" w:color="auto"/>
                                                <w:left w:val="none" w:sz="0" w:space="0" w:color="auto"/>
                                                <w:bottom w:val="none" w:sz="0" w:space="0" w:color="auto"/>
                                                <w:right w:val="none" w:sz="0" w:space="0" w:color="auto"/>
                                              </w:divBdr>
                                              <w:divsChild>
                                                <w:div w:id="1573462134">
                                                  <w:marLeft w:val="0"/>
                                                  <w:marRight w:val="0"/>
                                                  <w:marTop w:val="0"/>
                                                  <w:marBottom w:val="0"/>
                                                  <w:divBdr>
                                                    <w:top w:val="none" w:sz="0" w:space="0" w:color="auto"/>
                                                    <w:left w:val="none" w:sz="0" w:space="0" w:color="auto"/>
                                                    <w:bottom w:val="none" w:sz="0" w:space="0" w:color="auto"/>
                                                    <w:right w:val="none" w:sz="0" w:space="0" w:color="auto"/>
                                                  </w:divBdr>
                                                  <w:divsChild>
                                                    <w:div w:id="1780442779">
                                                      <w:marLeft w:val="0"/>
                                                      <w:marRight w:val="0"/>
                                                      <w:marTop w:val="0"/>
                                                      <w:marBottom w:val="0"/>
                                                      <w:divBdr>
                                                        <w:top w:val="none" w:sz="0" w:space="0" w:color="auto"/>
                                                        <w:left w:val="none" w:sz="0" w:space="0" w:color="auto"/>
                                                        <w:bottom w:val="none" w:sz="0" w:space="0" w:color="auto"/>
                                                        <w:right w:val="none" w:sz="0" w:space="0" w:color="auto"/>
                                                      </w:divBdr>
                                                      <w:divsChild>
                                                        <w:div w:id="908617354">
                                                          <w:marLeft w:val="0"/>
                                                          <w:marRight w:val="0"/>
                                                          <w:marTop w:val="0"/>
                                                          <w:marBottom w:val="0"/>
                                                          <w:divBdr>
                                                            <w:top w:val="none" w:sz="0" w:space="0" w:color="auto"/>
                                                            <w:left w:val="none" w:sz="0" w:space="0" w:color="auto"/>
                                                            <w:bottom w:val="none" w:sz="0" w:space="0" w:color="auto"/>
                                                            <w:right w:val="none" w:sz="0" w:space="0" w:color="auto"/>
                                                          </w:divBdr>
                                                          <w:divsChild>
                                                            <w:div w:id="1104570050">
                                                              <w:marLeft w:val="0"/>
                                                              <w:marRight w:val="0"/>
                                                              <w:marTop w:val="0"/>
                                                              <w:marBottom w:val="0"/>
                                                              <w:divBdr>
                                                                <w:top w:val="none" w:sz="0" w:space="0" w:color="auto"/>
                                                                <w:left w:val="none" w:sz="0" w:space="0" w:color="auto"/>
                                                                <w:bottom w:val="none" w:sz="0" w:space="0" w:color="auto"/>
                                                                <w:right w:val="none" w:sz="0" w:space="0" w:color="auto"/>
                                                              </w:divBdr>
                                                              <w:divsChild>
                                                                <w:div w:id="425348780">
                                                                  <w:marLeft w:val="0"/>
                                                                  <w:marRight w:val="0"/>
                                                                  <w:marTop w:val="0"/>
                                                                  <w:marBottom w:val="0"/>
                                                                  <w:divBdr>
                                                                    <w:top w:val="none" w:sz="0" w:space="0" w:color="auto"/>
                                                                    <w:left w:val="none" w:sz="0" w:space="0" w:color="auto"/>
                                                                    <w:bottom w:val="none" w:sz="0" w:space="0" w:color="auto"/>
                                                                    <w:right w:val="none" w:sz="0" w:space="0" w:color="auto"/>
                                                                  </w:divBdr>
                                                                  <w:divsChild>
                                                                    <w:div w:id="1611400657">
                                                                      <w:marLeft w:val="0"/>
                                                                      <w:marRight w:val="0"/>
                                                                      <w:marTop w:val="0"/>
                                                                      <w:marBottom w:val="0"/>
                                                                      <w:divBdr>
                                                                        <w:top w:val="none" w:sz="0" w:space="0" w:color="auto"/>
                                                                        <w:left w:val="none" w:sz="0" w:space="0" w:color="auto"/>
                                                                        <w:bottom w:val="none" w:sz="0" w:space="0" w:color="auto"/>
                                                                        <w:right w:val="none" w:sz="0" w:space="0" w:color="auto"/>
                                                                      </w:divBdr>
                                                                      <w:divsChild>
                                                                        <w:div w:id="1937640091">
                                                                          <w:marLeft w:val="0"/>
                                                                          <w:marRight w:val="0"/>
                                                                          <w:marTop w:val="0"/>
                                                                          <w:marBottom w:val="0"/>
                                                                          <w:divBdr>
                                                                            <w:top w:val="none" w:sz="0" w:space="0" w:color="auto"/>
                                                                            <w:left w:val="none" w:sz="0" w:space="0" w:color="auto"/>
                                                                            <w:bottom w:val="none" w:sz="0" w:space="0" w:color="auto"/>
                                                                            <w:right w:val="none" w:sz="0" w:space="0" w:color="auto"/>
                                                                          </w:divBdr>
                                                                          <w:divsChild>
                                                                            <w:div w:id="1494636319">
                                                                              <w:marLeft w:val="0"/>
                                                                              <w:marRight w:val="0"/>
                                                                              <w:marTop w:val="0"/>
                                                                              <w:marBottom w:val="0"/>
                                                                              <w:divBdr>
                                                                                <w:top w:val="none" w:sz="0" w:space="0" w:color="auto"/>
                                                                                <w:left w:val="none" w:sz="0" w:space="0" w:color="auto"/>
                                                                                <w:bottom w:val="none" w:sz="0" w:space="0" w:color="auto"/>
                                                                                <w:right w:val="none" w:sz="0" w:space="0" w:color="auto"/>
                                                                              </w:divBdr>
                                                                              <w:divsChild>
                                                                                <w:div w:id="2125004959">
                                                                                  <w:marLeft w:val="0"/>
                                                                                  <w:marRight w:val="0"/>
                                                                                  <w:marTop w:val="0"/>
                                                                                  <w:marBottom w:val="0"/>
                                                                                  <w:divBdr>
                                                                                    <w:top w:val="none" w:sz="0" w:space="0" w:color="auto"/>
                                                                                    <w:left w:val="none" w:sz="0" w:space="0" w:color="auto"/>
                                                                                    <w:bottom w:val="none" w:sz="0" w:space="0" w:color="auto"/>
                                                                                    <w:right w:val="none" w:sz="0" w:space="0" w:color="auto"/>
                                                                                  </w:divBdr>
                                                                                  <w:divsChild>
                                                                                    <w:div w:id="280697561">
                                                                                      <w:marLeft w:val="0"/>
                                                                                      <w:marRight w:val="0"/>
                                                                                      <w:marTop w:val="0"/>
                                                                                      <w:marBottom w:val="0"/>
                                                                                      <w:divBdr>
                                                                                        <w:top w:val="none" w:sz="0" w:space="0" w:color="auto"/>
                                                                                        <w:left w:val="none" w:sz="0" w:space="0" w:color="auto"/>
                                                                                        <w:bottom w:val="none" w:sz="0" w:space="0" w:color="auto"/>
                                                                                        <w:right w:val="none" w:sz="0" w:space="0" w:color="auto"/>
                                                                                      </w:divBdr>
                                                                                      <w:divsChild>
                                                                                        <w:div w:id="8648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761215">
                                          <w:marLeft w:val="0"/>
                                          <w:marRight w:val="0"/>
                                          <w:marTop w:val="0"/>
                                          <w:marBottom w:val="0"/>
                                          <w:divBdr>
                                            <w:top w:val="none" w:sz="0" w:space="0" w:color="auto"/>
                                            <w:left w:val="none" w:sz="0" w:space="0" w:color="auto"/>
                                            <w:bottom w:val="none" w:sz="0" w:space="0" w:color="auto"/>
                                            <w:right w:val="none" w:sz="0" w:space="0" w:color="auto"/>
                                          </w:divBdr>
                                          <w:divsChild>
                                            <w:div w:id="11219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6454223">
      <w:bodyDiv w:val="1"/>
      <w:marLeft w:val="0"/>
      <w:marRight w:val="0"/>
      <w:marTop w:val="0"/>
      <w:marBottom w:val="0"/>
      <w:divBdr>
        <w:top w:val="none" w:sz="0" w:space="0" w:color="auto"/>
        <w:left w:val="none" w:sz="0" w:space="0" w:color="auto"/>
        <w:bottom w:val="none" w:sz="0" w:space="0" w:color="auto"/>
        <w:right w:val="none" w:sz="0" w:space="0" w:color="auto"/>
      </w:divBdr>
      <w:divsChild>
        <w:div w:id="1416247793">
          <w:marLeft w:val="0"/>
          <w:marRight w:val="0"/>
          <w:marTop w:val="0"/>
          <w:marBottom w:val="0"/>
          <w:divBdr>
            <w:top w:val="none" w:sz="0" w:space="0" w:color="auto"/>
            <w:left w:val="none" w:sz="0" w:space="0" w:color="auto"/>
            <w:bottom w:val="none" w:sz="0" w:space="0" w:color="auto"/>
            <w:right w:val="none" w:sz="0" w:space="0" w:color="auto"/>
          </w:divBdr>
          <w:divsChild>
            <w:div w:id="1164978815">
              <w:marLeft w:val="0"/>
              <w:marRight w:val="0"/>
              <w:marTop w:val="0"/>
              <w:marBottom w:val="0"/>
              <w:divBdr>
                <w:top w:val="none" w:sz="0" w:space="0" w:color="auto"/>
                <w:left w:val="none" w:sz="0" w:space="0" w:color="auto"/>
                <w:bottom w:val="none" w:sz="0" w:space="0" w:color="auto"/>
                <w:right w:val="none" w:sz="0" w:space="0" w:color="auto"/>
              </w:divBdr>
              <w:divsChild>
                <w:div w:id="1701013073">
                  <w:marLeft w:val="0"/>
                  <w:marRight w:val="0"/>
                  <w:marTop w:val="0"/>
                  <w:marBottom w:val="0"/>
                  <w:divBdr>
                    <w:top w:val="none" w:sz="0" w:space="0" w:color="auto"/>
                    <w:left w:val="none" w:sz="0" w:space="0" w:color="auto"/>
                    <w:bottom w:val="none" w:sz="0" w:space="0" w:color="auto"/>
                    <w:right w:val="none" w:sz="0" w:space="0" w:color="auto"/>
                  </w:divBdr>
                  <w:divsChild>
                    <w:div w:id="1017655329">
                      <w:marLeft w:val="0"/>
                      <w:marRight w:val="0"/>
                      <w:marTop w:val="0"/>
                      <w:marBottom w:val="0"/>
                      <w:divBdr>
                        <w:top w:val="none" w:sz="0" w:space="0" w:color="auto"/>
                        <w:left w:val="none" w:sz="0" w:space="0" w:color="auto"/>
                        <w:bottom w:val="none" w:sz="0" w:space="0" w:color="auto"/>
                        <w:right w:val="none" w:sz="0" w:space="0" w:color="auto"/>
                      </w:divBdr>
                      <w:divsChild>
                        <w:div w:id="126750866">
                          <w:marLeft w:val="0"/>
                          <w:marRight w:val="0"/>
                          <w:marTop w:val="0"/>
                          <w:marBottom w:val="0"/>
                          <w:divBdr>
                            <w:top w:val="none" w:sz="0" w:space="0" w:color="auto"/>
                            <w:left w:val="none" w:sz="0" w:space="0" w:color="auto"/>
                            <w:bottom w:val="none" w:sz="0" w:space="0" w:color="auto"/>
                            <w:right w:val="none" w:sz="0" w:space="0" w:color="auto"/>
                          </w:divBdr>
                          <w:divsChild>
                            <w:div w:id="403336890">
                              <w:marLeft w:val="0"/>
                              <w:marRight w:val="0"/>
                              <w:marTop w:val="0"/>
                              <w:marBottom w:val="0"/>
                              <w:divBdr>
                                <w:top w:val="none" w:sz="0" w:space="0" w:color="auto"/>
                                <w:left w:val="none" w:sz="0" w:space="0" w:color="auto"/>
                                <w:bottom w:val="none" w:sz="0" w:space="0" w:color="auto"/>
                                <w:right w:val="none" w:sz="0" w:space="0" w:color="auto"/>
                              </w:divBdr>
                              <w:divsChild>
                                <w:div w:id="1300769609">
                                  <w:marLeft w:val="0"/>
                                  <w:marRight w:val="0"/>
                                  <w:marTop w:val="0"/>
                                  <w:marBottom w:val="0"/>
                                  <w:divBdr>
                                    <w:top w:val="none" w:sz="0" w:space="0" w:color="auto"/>
                                    <w:left w:val="none" w:sz="0" w:space="0" w:color="auto"/>
                                    <w:bottom w:val="none" w:sz="0" w:space="0" w:color="auto"/>
                                    <w:right w:val="none" w:sz="0" w:space="0" w:color="auto"/>
                                  </w:divBdr>
                                  <w:divsChild>
                                    <w:div w:id="1395472667">
                                      <w:marLeft w:val="0"/>
                                      <w:marRight w:val="0"/>
                                      <w:marTop w:val="0"/>
                                      <w:marBottom w:val="0"/>
                                      <w:divBdr>
                                        <w:top w:val="none" w:sz="0" w:space="0" w:color="auto"/>
                                        <w:left w:val="none" w:sz="0" w:space="0" w:color="auto"/>
                                        <w:bottom w:val="none" w:sz="0" w:space="0" w:color="auto"/>
                                        <w:right w:val="none" w:sz="0" w:space="0" w:color="auto"/>
                                      </w:divBdr>
                                      <w:divsChild>
                                        <w:div w:id="239796613">
                                          <w:marLeft w:val="0"/>
                                          <w:marRight w:val="0"/>
                                          <w:marTop w:val="0"/>
                                          <w:marBottom w:val="0"/>
                                          <w:divBdr>
                                            <w:top w:val="none" w:sz="0" w:space="0" w:color="auto"/>
                                            <w:left w:val="none" w:sz="0" w:space="0" w:color="auto"/>
                                            <w:bottom w:val="none" w:sz="0" w:space="0" w:color="auto"/>
                                            <w:right w:val="none" w:sz="0" w:space="0" w:color="auto"/>
                                          </w:divBdr>
                                          <w:divsChild>
                                            <w:div w:id="1994790961">
                                              <w:marLeft w:val="0"/>
                                              <w:marRight w:val="0"/>
                                              <w:marTop w:val="0"/>
                                              <w:marBottom w:val="0"/>
                                              <w:divBdr>
                                                <w:top w:val="none" w:sz="0" w:space="0" w:color="auto"/>
                                                <w:left w:val="none" w:sz="0" w:space="0" w:color="auto"/>
                                                <w:bottom w:val="none" w:sz="0" w:space="0" w:color="auto"/>
                                                <w:right w:val="none" w:sz="0" w:space="0" w:color="auto"/>
                                              </w:divBdr>
                                              <w:divsChild>
                                                <w:div w:id="171377487">
                                                  <w:marLeft w:val="0"/>
                                                  <w:marRight w:val="0"/>
                                                  <w:marTop w:val="0"/>
                                                  <w:marBottom w:val="0"/>
                                                  <w:divBdr>
                                                    <w:top w:val="none" w:sz="0" w:space="0" w:color="auto"/>
                                                    <w:left w:val="none" w:sz="0" w:space="0" w:color="auto"/>
                                                    <w:bottom w:val="none" w:sz="0" w:space="0" w:color="auto"/>
                                                    <w:right w:val="none" w:sz="0" w:space="0" w:color="auto"/>
                                                  </w:divBdr>
                                                  <w:divsChild>
                                                    <w:div w:id="245766806">
                                                      <w:marLeft w:val="0"/>
                                                      <w:marRight w:val="0"/>
                                                      <w:marTop w:val="0"/>
                                                      <w:marBottom w:val="0"/>
                                                      <w:divBdr>
                                                        <w:top w:val="none" w:sz="0" w:space="0" w:color="auto"/>
                                                        <w:left w:val="none" w:sz="0" w:space="0" w:color="auto"/>
                                                        <w:bottom w:val="none" w:sz="0" w:space="0" w:color="auto"/>
                                                        <w:right w:val="none" w:sz="0" w:space="0" w:color="auto"/>
                                                      </w:divBdr>
                                                      <w:divsChild>
                                                        <w:div w:id="7638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1909602">
          <w:marLeft w:val="0"/>
          <w:marRight w:val="0"/>
          <w:marTop w:val="0"/>
          <w:marBottom w:val="0"/>
          <w:divBdr>
            <w:top w:val="none" w:sz="0" w:space="0" w:color="auto"/>
            <w:left w:val="none" w:sz="0" w:space="0" w:color="auto"/>
            <w:bottom w:val="none" w:sz="0" w:space="0" w:color="auto"/>
            <w:right w:val="none" w:sz="0" w:space="0" w:color="auto"/>
          </w:divBdr>
          <w:divsChild>
            <w:div w:id="899363186">
              <w:marLeft w:val="0"/>
              <w:marRight w:val="0"/>
              <w:marTop w:val="0"/>
              <w:marBottom w:val="0"/>
              <w:divBdr>
                <w:top w:val="none" w:sz="0" w:space="0" w:color="auto"/>
                <w:left w:val="none" w:sz="0" w:space="0" w:color="auto"/>
                <w:bottom w:val="none" w:sz="0" w:space="0" w:color="auto"/>
                <w:right w:val="none" w:sz="0" w:space="0" w:color="auto"/>
              </w:divBdr>
              <w:divsChild>
                <w:div w:id="983969893">
                  <w:marLeft w:val="0"/>
                  <w:marRight w:val="0"/>
                  <w:marTop w:val="0"/>
                  <w:marBottom w:val="0"/>
                  <w:divBdr>
                    <w:top w:val="none" w:sz="0" w:space="0" w:color="auto"/>
                    <w:left w:val="none" w:sz="0" w:space="0" w:color="auto"/>
                    <w:bottom w:val="none" w:sz="0" w:space="0" w:color="auto"/>
                    <w:right w:val="none" w:sz="0" w:space="0" w:color="auto"/>
                  </w:divBdr>
                  <w:divsChild>
                    <w:div w:id="1853104866">
                      <w:marLeft w:val="0"/>
                      <w:marRight w:val="0"/>
                      <w:marTop w:val="0"/>
                      <w:marBottom w:val="0"/>
                      <w:divBdr>
                        <w:top w:val="none" w:sz="0" w:space="0" w:color="auto"/>
                        <w:left w:val="none" w:sz="0" w:space="0" w:color="auto"/>
                        <w:bottom w:val="none" w:sz="0" w:space="0" w:color="auto"/>
                        <w:right w:val="none" w:sz="0" w:space="0" w:color="auto"/>
                      </w:divBdr>
                      <w:divsChild>
                        <w:div w:id="624776895">
                          <w:marLeft w:val="0"/>
                          <w:marRight w:val="0"/>
                          <w:marTop w:val="0"/>
                          <w:marBottom w:val="0"/>
                          <w:divBdr>
                            <w:top w:val="none" w:sz="0" w:space="0" w:color="auto"/>
                            <w:left w:val="none" w:sz="0" w:space="0" w:color="auto"/>
                            <w:bottom w:val="none" w:sz="0" w:space="0" w:color="auto"/>
                            <w:right w:val="none" w:sz="0" w:space="0" w:color="auto"/>
                          </w:divBdr>
                          <w:divsChild>
                            <w:div w:id="2057507005">
                              <w:marLeft w:val="0"/>
                              <w:marRight w:val="0"/>
                              <w:marTop w:val="0"/>
                              <w:marBottom w:val="0"/>
                              <w:divBdr>
                                <w:top w:val="none" w:sz="0" w:space="0" w:color="auto"/>
                                <w:left w:val="none" w:sz="0" w:space="0" w:color="auto"/>
                                <w:bottom w:val="none" w:sz="0" w:space="0" w:color="auto"/>
                                <w:right w:val="none" w:sz="0" w:space="0" w:color="auto"/>
                              </w:divBdr>
                              <w:divsChild>
                                <w:div w:id="144048411">
                                  <w:marLeft w:val="0"/>
                                  <w:marRight w:val="0"/>
                                  <w:marTop w:val="0"/>
                                  <w:marBottom w:val="0"/>
                                  <w:divBdr>
                                    <w:top w:val="none" w:sz="0" w:space="0" w:color="auto"/>
                                    <w:left w:val="none" w:sz="0" w:space="0" w:color="auto"/>
                                    <w:bottom w:val="none" w:sz="0" w:space="0" w:color="auto"/>
                                    <w:right w:val="none" w:sz="0" w:space="0" w:color="auto"/>
                                  </w:divBdr>
                                  <w:divsChild>
                                    <w:div w:id="369964426">
                                      <w:marLeft w:val="0"/>
                                      <w:marRight w:val="0"/>
                                      <w:marTop w:val="0"/>
                                      <w:marBottom w:val="0"/>
                                      <w:divBdr>
                                        <w:top w:val="none" w:sz="0" w:space="0" w:color="auto"/>
                                        <w:left w:val="none" w:sz="0" w:space="0" w:color="auto"/>
                                        <w:bottom w:val="none" w:sz="0" w:space="0" w:color="auto"/>
                                        <w:right w:val="none" w:sz="0" w:space="0" w:color="auto"/>
                                      </w:divBdr>
                                      <w:divsChild>
                                        <w:div w:id="1635720395">
                                          <w:marLeft w:val="0"/>
                                          <w:marRight w:val="0"/>
                                          <w:marTop w:val="0"/>
                                          <w:marBottom w:val="0"/>
                                          <w:divBdr>
                                            <w:top w:val="none" w:sz="0" w:space="0" w:color="auto"/>
                                            <w:left w:val="none" w:sz="0" w:space="0" w:color="auto"/>
                                            <w:bottom w:val="none" w:sz="0" w:space="0" w:color="auto"/>
                                            <w:right w:val="none" w:sz="0" w:space="0" w:color="auto"/>
                                          </w:divBdr>
                                          <w:divsChild>
                                            <w:div w:id="1554734499">
                                              <w:marLeft w:val="0"/>
                                              <w:marRight w:val="0"/>
                                              <w:marTop w:val="0"/>
                                              <w:marBottom w:val="0"/>
                                              <w:divBdr>
                                                <w:top w:val="none" w:sz="0" w:space="0" w:color="auto"/>
                                                <w:left w:val="none" w:sz="0" w:space="0" w:color="auto"/>
                                                <w:bottom w:val="none" w:sz="0" w:space="0" w:color="auto"/>
                                                <w:right w:val="none" w:sz="0" w:space="0" w:color="auto"/>
                                              </w:divBdr>
                                              <w:divsChild>
                                                <w:div w:id="108360197">
                                                  <w:marLeft w:val="0"/>
                                                  <w:marRight w:val="0"/>
                                                  <w:marTop w:val="0"/>
                                                  <w:marBottom w:val="0"/>
                                                  <w:divBdr>
                                                    <w:top w:val="none" w:sz="0" w:space="0" w:color="auto"/>
                                                    <w:left w:val="none" w:sz="0" w:space="0" w:color="auto"/>
                                                    <w:bottom w:val="none" w:sz="0" w:space="0" w:color="auto"/>
                                                    <w:right w:val="none" w:sz="0" w:space="0" w:color="auto"/>
                                                  </w:divBdr>
                                                  <w:divsChild>
                                                    <w:div w:id="1253853176">
                                                      <w:marLeft w:val="0"/>
                                                      <w:marRight w:val="0"/>
                                                      <w:marTop w:val="0"/>
                                                      <w:marBottom w:val="0"/>
                                                      <w:divBdr>
                                                        <w:top w:val="none" w:sz="0" w:space="0" w:color="auto"/>
                                                        <w:left w:val="none" w:sz="0" w:space="0" w:color="auto"/>
                                                        <w:bottom w:val="none" w:sz="0" w:space="0" w:color="auto"/>
                                                        <w:right w:val="none" w:sz="0" w:space="0" w:color="auto"/>
                                                      </w:divBdr>
                                                      <w:divsChild>
                                                        <w:div w:id="20800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046071">
          <w:marLeft w:val="0"/>
          <w:marRight w:val="0"/>
          <w:marTop w:val="0"/>
          <w:marBottom w:val="0"/>
          <w:divBdr>
            <w:top w:val="none" w:sz="0" w:space="0" w:color="auto"/>
            <w:left w:val="none" w:sz="0" w:space="0" w:color="auto"/>
            <w:bottom w:val="none" w:sz="0" w:space="0" w:color="auto"/>
            <w:right w:val="none" w:sz="0" w:space="0" w:color="auto"/>
          </w:divBdr>
          <w:divsChild>
            <w:div w:id="921529209">
              <w:marLeft w:val="0"/>
              <w:marRight w:val="0"/>
              <w:marTop w:val="0"/>
              <w:marBottom w:val="0"/>
              <w:divBdr>
                <w:top w:val="none" w:sz="0" w:space="0" w:color="auto"/>
                <w:left w:val="none" w:sz="0" w:space="0" w:color="auto"/>
                <w:bottom w:val="none" w:sz="0" w:space="0" w:color="auto"/>
                <w:right w:val="none" w:sz="0" w:space="0" w:color="auto"/>
              </w:divBdr>
            </w:div>
          </w:divsChild>
        </w:div>
        <w:div w:id="94138338">
          <w:marLeft w:val="0"/>
          <w:marRight w:val="0"/>
          <w:marTop w:val="0"/>
          <w:marBottom w:val="0"/>
          <w:divBdr>
            <w:top w:val="none" w:sz="0" w:space="0" w:color="auto"/>
            <w:left w:val="none" w:sz="0" w:space="0" w:color="auto"/>
            <w:bottom w:val="none" w:sz="0" w:space="0" w:color="auto"/>
            <w:right w:val="none" w:sz="0" w:space="0" w:color="auto"/>
          </w:divBdr>
          <w:divsChild>
            <w:div w:id="134088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28482">
      <w:bodyDiv w:val="1"/>
      <w:marLeft w:val="0"/>
      <w:marRight w:val="0"/>
      <w:marTop w:val="0"/>
      <w:marBottom w:val="0"/>
      <w:divBdr>
        <w:top w:val="none" w:sz="0" w:space="0" w:color="auto"/>
        <w:left w:val="none" w:sz="0" w:space="0" w:color="auto"/>
        <w:bottom w:val="none" w:sz="0" w:space="0" w:color="auto"/>
        <w:right w:val="none" w:sz="0" w:space="0" w:color="auto"/>
      </w:divBdr>
      <w:divsChild>
        <w:div w:id="1571765533">
          <w:marLeft w:val="0"/>
          <w:marRight w:val="0"/>
          <w:marTop w:val="0"/>
          <w:marBottom w:val="0"/>
          <w:divBdr>
            <w:top w:val="none" w:sz="0" w:space="0" w:color="auto"/>
            <w:left w:val="none" w:sz="0" w:space="0" w:color="auto"/>
            <w:bottom w:val="none" w:sz="0" w:space="0" w:color="auto"/>
            <w:right w:val="none" w:sz="0" w:space="0" w:color="auto"/>
          </w:divBdr>
          <w:divsChild>
            <w:div w:id="649360882">
              <w:marLeft w:val="0"/>
              <w:marRight w:val="0"/>
              <w:marTop w:val="0"/>
              <w:marBottom w:val="0"/>
              <w:divBdr>
                <w:top w:val="none" w:sz="0" w:space="0" w:color="auto"/>
                <w:left w:val="none" w:sz="0" w:space="0" w:color="auto"/>
                <w:bottom w:val="none" w:sz="0" w:space="0" w:color="auto"/>
                <w:right w:val="none" w:sz="0" w:space="0" w:color="auto"/>
              </w:divBdr>
              <w:divsChild>
                <w:div w:id="660079977">
                  <w:marLeft w:val="0"/>
                  <w:marRight w:val="0"/>
                  <w:marTop w:val="0"/>
                  <w:marBottom w:val="0"/>
                  <w:divBdr>
                    <w:top w:val="none" w:sz="0" w:space="0" w:color="auto"/>
                    <w:left w:val="none" w:sz="0" w:space="0" w:color="auto"/>
                    <w:bottom w:val="none" w:sz="0" w:space="0" w:color="auto"/>
                    <w:right w:val="none" w:sz="0" w:space="0" w:color="auto"/>
                  </w:divBdr>
                  <w:divsChild>
                    <w:div w:id="1074469517">
                      <w:marLeft w:val="0"/>
                      <w:marRight w:val="0"/>
                      <w:marTop w:val="0"/>
                      <w:marBottom w:val="0"/>
                      <w:divBdr>
                        <w:top w:val="none" w:sz="0" w:space="0" w:color="auto"/>
                        <w:left w:val="none" w:sz="0" w:space="0" w:color="auto"/>
                        <w:bottom w:val="none" w:sz="0" w:space="0" w:color="auto"/>
                        <w:right w:val="none" w:sz="0" w:space="0" w:color="auto"/>
                      </w:divBdr>
                      <w:divsChild>
                        <w:div w:id="684593572">
                          <w:marLeft w:val="0"/>
                          <w:marRight w:val="0"/>
                          <w:marTop w:val="0"/>
                          <w:marBottom w:val="0"/>
                          <w:divBdr>
                            <w:top w:val="none" w:sz="0" w:space="0" w:color="auto"/>
                            <w:left w:val="none" w:sz="0" w:space="0" w:color="auto"/>
                            <w:bottom w:val="none" w:sz="0" w:space="0" w:color="auto"/>
                            <w:right w:val="none" w:sz="0" w:space="0" w:color="auto"/>
                          </w:divBdr>
                          <w:divsChild>
                            <w:div w:id="1679387493">
                              <w:marLeft w:val="0"/>
                              <w:marRight w:val="0"/>
                              <w:marTop w:val="0"/>
                              <w:marBottom w:val="0"/>
                              <w:divBdr>
                                <w:top w:val="none" w:sz="0" w:space="0" w:color="auto"/>
                                <w:left w:val="none" w:sz="0" w:space="0" w:color="auto"/>
                                <w:bottom w:val="none" w:sz="0" w:space="0" w:color="auto"/>
                                <w:right w:val="none" w:sz="0" w:space="0" w:color="auto"/>
                              </w:divBdr>
                              <w:divsChild>
                                <w:div w:id="669866880">
                                  <w:marLeft w:val="0"/>
                                  <w:marRight w:val="0"/>
                                  <w:marTop w:val="0"/>
                                  <w:marBottom w:val="0"/>
                                  <w:divBdr>
                                    <w:top w:val="none" w:sz="0" w:space="0" w:color="auto"/>
                                    <w:left w:val="none" w:sz="0" w:space="0" w:color="auto"/>
                                    <w:bottom w:val="none" w:sz="0" w:space="0" w:color="auto"/>
                                    <w:right w:val="none" w:sz="0" w:space="0" w:color="auto"/>
                                  </w:divBdr>
                                  <w:divsChild>
                                    <w:div w:id="782000186">
                                      <w:marLeft w:val="0"/>
                                      <w:marRight w:val="0"/>
                                      <w:marTop w:val="0"/>
                                      <w:marBottom w:val="0"/>
                                      <w:divBdr>
                                        <w:top w:val="none" w:sz="0" w:space="0" w:color="auto"/>
                                        <w:left w:val="none" w:sz="0" w:space="0" w:color="auto"/>
                                        <w:bottom w:val="none" w:sz="0" w:space="0" w:color="auto"/>
                                        <w:right w:val="none" w:sz="0" w:space="0" w:color="auto"/>
                                      </w:divBdr>
                                      <w:divsChild>
                                        <w:div w:id="2131822377">
                                          <w:marLeft w:val="0"/>
                                          <w:marRight w:val="0"/>
                                          <w:marTop w:val="0"/>
                                          <w:marBottom w:val="0"/>
                                          <w:divBdr>
                                            <w:top w:val="none" w:sz="0" w:space="0" w:color="auto"/>
                                            <w:left w:val="none" w:sz="0" w:space="0" w:color="auto"/>
                                            <w:bottom w:val="none" w:sz="0" w:space="0" w:color="auto"/>
                                            <w:right w:val="none" w:sz="0" w:space="0" w:color="auto"/>
                                          </w:divBdr>
                                          <w:divsChild>
                                            <w:div w:id="2002348646">
                                              <w:marLeft w:val="0"/>
                                              <w:marRight w:val="0"/>
                                              <w:marTop w:val="0"/>
                                              <w:marBottom w:val="0"/>
                                              <w:divBdr>
                                                <w:top w:val="none" w:sz="0" w:space="0" w:color="auto"/>
                                                <w:left w:val="none" w:sz="0" w:space="0" w:color="auto"/>
                                                <w:bottom w:val="none" w:sz="0" w:space="0" w:color="auto"/>
                                                <w:right w:val="none" w:sz="0" w:space="0" w:color="auto"/>
                                              </w:divBdr>
                                              <w:divsChild>
                                                <w:div w:id="1383364746">
                                                  <w:marLeft w:val="0"/>
                                                  <w:marRight w:val="0"/>
                                                  <w:marTop w:val="0"/>
                                                  <w:marBottom w:val="0"/>
                                                  <w:divBdr>
                                                    <w:top w:val="none" w:sz="0" w:space="0" w:color="auto"/>
                                                    <w:left w:val="none" w:sz="0" w:space="0" w:color="auto"/>
                                                    <w:bottom w:val="none" w:sz="0" w:space="0" w:color="auto"/>
                                                    <w:right w:val="none" w:sz="0" w:space="0" w:color="auto"/>
                                                  </w:divBdr>
                                                  <w:divsChild>
                                                    <w:div w:id="1904179140">
                                                      <w:marLeft w:val="0"/>
                                                      <w:marRight w:val="0"/>
                                                      <w:marTop w:val="0"/>
                                                      <w:marBottom w:val="0"/>
                                                      <w:divBdr>
                                                        <w:top w:val="none" w:sz="0" w:space="0" w:color="auto"/>
                                                        <w:left w:val="none" w:sz="0" w:space="0" w:color="auto"/>
                                                        <w:bottom w:val="none" w:sz="0" w:space="0" w:color="auto"/>
                                                        <w:right w:val="none" w:sz="0" w:space="0" w:color="auto"/>
                                                      </w:divBdr>
                                                      <w:divsChild>
                                                        <w:div w:id="20344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806839">
          <w:marLeft w:val="0"/>
          <w:marRight w:val="0"/>
          <w:marTop w:val="0"/>
          <w:marBottom w:val="0"/>
          <w:divBdr>
            <w:top w:val="none" w:sz="0" w:space="0" w:color="auto"/>
            <w:left w:val="none" w:sz="0" w:space="0" w:color="auto"/>
            <w:bottom w:val="none" w:sz="0" w:space="0" w:color="auto"/>
            <w:right w:val="none" w:sz="0" w:space="0" w:color="auto"/>
          </w:divBdr>
          <w:divsChild>
            <w:div w:id="301891274">
              <w:marLeft w:val="0"/>
              <w:marRight w:val="0"/>
              <w:marTop w:val="0"/>
              <w:marBottom w:val="0"/>
              <w:divBdr>
                <w:top w:val="none" w:sz="0" w:space="0" w:color="auto"/>
                <w:left w:val="none" w:sz="0" w:space="0" w:color="auto"/>
                <w:bottom w:val="none" w:sz="0" w:space="0" w:color="auto"/>
                <w:right w:val="none" w:sz="0" w:space="0" w:color="auto"/>
              </w:divBdr>
              <w:divsChild>
                <w:div w:id="1173376052">
                  <w:marLeft w:val="0"/>
                  <w:marRight w:val="0"/>
                  <w:marTop w:val="0"/>
                  <w:marBottom w:val="0"/>
                  <w:divBdr>
                    <w:top w:val="none" w:sz="0" w:space="0" w:color="auto"/>
                    <w:left w:val="none" w:sz="0" w:space="0" w:color="auto"/>
                    <w:bottom w:val="none" w:sz="0" w:space="0" w:color="auto"/>
                    <w:right w:val="none" w:sz="0" w:space="0" w:color="auto"/>
                  </w:divBdr>
                  <w:divsChild>
                    <w:div w:id="1347051452">
                      <w:marLeft w:val="0"/>
                      <w:marRight w:val="0"/>
                      <w:marTop w:val="0"/>
                      <w:marBottom w:val="0"/>
                      <w:divBdr>
                        <w:top w:val="none" w:sz="0" w:space="0" w:color="auto"/>
                        <w:left w:val="none" w:sz="0" w:space="0" w:color="auto"/>
                        <w:bottom w:val="none" w:sz="0" w:space="0" w:color="auto"/>
                        <w:right w:val="none" w:sz="0" w:space="0" w:color="auto"/>
                      </w:divBdr>
                      <w:divsChild>
                        <w:div w:id="939995728">
                          <w:marLeft w:val="0"/>
                          <w:marRight w:val="0"/>
                          <w:marTop w:val="0"/>
                          <w:marBottom w:val="0"/>
                          <w:divBdr>
                            <w:top w:val="none" w:sz="0" w:space="0" w:color="auto"/>
                            <w:left w:val="none" w:sz="0" w:space="0" w:color="auto"/>
                            <w:bottom w:val="none" w:sz="0" w:space="0" w:color="auto"/>
                            <w:right w:val="none" w:sz="0" w:space="0" w:color="auto"/>
                          </w:divBdr>
                          <w:divsChild>
                            <w:div w:id="972371059">
                              <w:marLeft w:val="0"/>
                              <w:marRight w:val="0"/>
                              <w:marTop w:val="0"/>
                              <w:marBottom w:val="0"/>
                              <w:divBdr>
                                <w:top w:val="none" w:sz="0" w:space="0" w:color="auto"/>
                                <w:left w:val="none" w:sz="0" w:space="0" w:color="auto"/>
                                <w:bottom w:val="none" w:sz="0" w:space="0" w:color="auto"/>
                                <w:right w:val="none" w:sz="0" w:space="0" w:color="auto"/>
                              </w:divBdr>
                              <w:divsChild>
                                <w:div w:id="1987127700">
                                  <w:marLeft w:val="0"/>
                                  <w:marRight w:val="0"/>
                                  <w:marTop w:val="0"/>
                                  <w:marBottom w:val="0"/>
                                  <w:divBdr>
                                    <w:top w:val="none" w:sz="0" w:space="0" w:color="auto"/>
                                    <w:left w:val="none" w:sz="0" w:space="0" w:color="auto"/>
                                    <w:bottom w:val="none" w:sz="0" w:space="0" w:color="auto"/>
                                    <w:right w:val="none" w:sz="0" w:space="0" w:color="auto"/>
                                  </w:divBdr>
                                  <w:divsChild>
                                    <w:div w:id="520514234">
                                      <w:marLeft w:val="0"/>
                                      <w:marRight w:val="0"/>
                                      <w:marTop w:val="0"/>
                                      <w:marBottom w:val="0"/>
                                      <w:divBdr>
                                        <w:top w:val="none" w:sz="0" w:space="0" w:color="auto"/>
                                        <w:left w:val="none" w:sz="0" w:space="0" w:color="auto"/>
                                        <w:bottom w:val="none" w:sz="0" w:space="0" w:color="auto"/>
                                        <w:right w:val="none" w:sz="0" w:space="0" w:color="auto"/>
                                      </w:divBdr>
                                      <w:divsChild>
                                        <w:div w:id="1169518030">
                                          <w:marLeft w:val="0"/>
                                          <w:marRight w:val="0"/>
                                          <w:marTop w:val="0"/>
                                          <w:marBottom w:val="0"/>
                                          <w:divBdr>
                                            <w:top w:val="none" w:sz="0" w:space="0" w:color="auto"/>
                                            <w:left w:val="none" w:sz="0" w:space="0" w:color="auto"/>
                                            <w:bottom w:val="none" w:sz="0" w:space="0" w:color="auto"/>
                                            <w:right w:val="none" w:sz="0" w:space="0" w:color="auto"/>
                                          </w:divBdr>
                                          <w:divsChild>
                                            <w:div w:id="235433123">
                                              <w:marLeft w:val="0"/>
                                              <w:marRight w:val="0"/>
                                              <w:marTop w:val="0"/>
                                              <w:marBottom w:val="0"/>
                                              <w:divBdr>
                                                <w:top w:val="none" w:sz="0" w:space="0" w:color="auto"/>
                                                <w:left w:val="none" w:sz="0" w:space="0" w:color="auto"/>
                                                <w:bottom w:val="none" w:sz="0" w:space="0" w:color="auto"/>
                                                <w:right w:val="none" w:sz="0" w:space="0" w:color="auto"/>
                                              </w:divBdr>
                                              <w:divsChild>
                                                <w:div w:id="1448350311">
                                                  <w:marLeft w:val="0"/>
                                                  <w:marRight w:val="0"/>
                                                  <w:marTop w:val="0"/>
                                                  <w:marBottom w:val="0"/>
                                                  <w:divBdr>
                                                    <w:top w:val="none" w:sz="0" w:space="0" w:color="auto"/>
                                                    <w:left w:val="none" w:sz="0" w:space="0" w:color="auto"/>
                                                    <w:bottom w:val="none" w:sz="0" w:space="0" w:color="auto"/>
                                                    <w:right w:val="none" w:sz="0" w:space="0" w:color="auto"/>
                                                  </w:divBdr>
                                                  <w:divsChild>
                                                    <w:div w:id="1126778800">
                                                      <w:marLeft w:val="0"/>
                                                      <w:marRight w:val="0"/>
                                                      <w:marTop w:val="0"/>
                                                      <w:marBottom w:val="0"/>
                                                      <w:divBdr>
                                                        <w:top w:val="none" w:sz="0" w:space="0" w:color="auto"/>
                                                        <w:left w:val="none" w:sz="0" w:space="0" w:color="auto"/>
                                                        <w:bottom w:val="none" w:sz="0" w:space="0" w:color="auto"/>
                                                        <w:right w:val="none" w:sz="0" w:space="0" w:color="auto"/>
                                                      </w:divBdr>
                                                      <w:divsChild>
                                                        <w:div w:id="35287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678166">
          <w:marLeft w:val="0"/>
          <w:marRight w:val="0"/>
          <w:marTop w:val="0"/>
          <w:marBottom w:val="0"/>
          <w:divBdr>
            <w:top w:val="none" w:sz="0" w:space="0" w:color="auto"/>
            <w:left w:val="none" w:sz="0" w:space="0" w:color="auto"/>
            <w:bottom w:val="none" w:sz="0" w:space="0" w:color="auto"/>
            <w:right w:val="none" w:sz="0" w:space="0" w:color="auto"/>
          </w:divBdr>
          <w:divsChild>
            <w:div w:id="19187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8711">
      <w:bodyDiv w:val="1"/>
      <w:marLeft w:val="0"/>
      <w:marRight w:val="0"/>
      <w:marTop w:val="0"/>
      <w:marBottom w:val="0"/>
      <w:divBdr>
        <w:top w:val="none" w:sz="0" w:space="0" w:color="auto"/>
        <w:left w:val="none" w:sz="0" w:space="0" w:color="auto"/>
        <w:bottom w:val="none" w:sz="0" w:space="0" w:color="auto"/>
        <w:right w:val="none" w:sz="0" w:space="0" w:color="auto"/>
      </w:divBdr>
      <w:divsChild>
        <w:div w:id="358362596">
          <w:marLeft w:val="0"/>
          <w:marRight w:val="0"/>
          <w:marTop w:val="0"/>
          <w:marBottom w:val="0"/>
          <w:divBdr>
            <w:top w:val="none" w:sz="0" w:space="0" w:color="auto"/>
            <w:left w:val="none" w:sz="0" w:space="0" w:color="auto"/>
            <w:bottom w:val="none" w:sz="0" w:space="0" w:color="auto"/>
            <w:right w:val="none" w:sz="0" w:space="0" w:color="auto"/>
          </w:divBdr>
          <w:divsChild>
            <w:div w:id="2539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68332">
      <w:bodyDiv w:val="1"/>
      <w:marLeft w:val="0"/>
      <w:marRight w:val="0"/>
      <w:marTop w:val="0"/>
      <w:marBottom w:val="0"/>
      <w:divBdr>
        <w:top w:val="none" w:sz="0" w:space="0" w:color="auto"/>
        <w:left w:val="none" w:sz="0" w:space="0" w:color="auto"/>
        <w:bottom w:val="none" w:sz="0" w:space="0" w:color="auto"/>
        <w:right w:val="none" w:sz="0" w:space="0" w:color="auto"/>
      </w:divBdr>
      <w:divsChild>
        <w:div w:id="1798596423">
          <w:marLeft w:val="0"/>
          <w:marRight w:val="0"/>
          <w:marTop w:val="0"/>
          <w:marBottom w:val="0"/>
          <w:divBdr>
            <w:top w:val="none" w:sz="0" w:space="0" w:color="auto"/>
            <w:left w:val="none" w:sz="0" w:space="0" w:color="auto"/>
            <w:bottom w:val="none" w:sz="0" w:space="0" w:color="auto"/>
            <w:right w:val="none" w:sz="0" w:space="0" w:color="auto"/>
          </w:divBdr>
          <w:divsChild>
            <w:div w:id="1536653096">
              <w:marLeft w:val="0"/>
              <w:marRight w:val="0"/>
              <w:marTop w:val="0"/>
              <w:marBottom w:val="0"/>
              <w:divBdr>
                <w:top w:val="none" w:sz="0" w:space="0" w:color="auto"/>
                <w:left w:val="none" w:sz="0" w:space="0" w:color="auto"/>
                <w:bottom w:val="none" w:sz="0" w:space="0" w:color="auto"/>
                <w:right w:val="none" w:sz="0" w:space="0" w:color="auto"/>
              </w:divBdr>
              <w:divsChild>
                <w:div w:id="2036420509">
                  <w:marLeft w:val="0"/>
                  <w:marRight w:val="0"/>
                  <w:marTop w:val="0"/>
                  <w:marBottom w:val="0"/>
                  <w:divBdr>
                    <w:top w:val="none" w:sz="0" w:space="0" w:color="auto"/>
                    <w:left w:val="none" w:sz="0" w:space="0" w:color="auto"/>
                    <w:bottom w:val="none" w:sz="0" w:space="0" w:color="auto"/>
                    <w:right w:val="none" w:sz="0" w:space="0" w:color="auto"/>
                  </w:divBdr>
                  <w:divsChild>
                    <w:div w:id="284778599">
                      <w:marLeft w:val="0"/>
                      <w:marRight w:val="0"/>
                      <w:marTop w:val="0"/>
                      <w:marBottom w:val="0"/>
                      <w:divBdr>
                        <w:top w:val="none" w:sz="0" w:space="0" w:color="auto"/>
                        <w:left w:val="none" w:sz="0" w:space="0" w:color="auto"/>
                        <w:bottom w:val="none" w:sz="0" w:space="0" w:color="auto"/>
                        <w:right w:val="none" w:sz="0" w:space="0" w:color="auto"/>
                      </w:divBdr>
                      <w:divsChild>
                        <w:div w:id="849375107">
                          <w:marLeft w:val="0"/>
                          <w:marRight w:val="0"/>
                          <w:marTop w:val="0"/>
                          <w:marBottom w:val="0"/>
                          <w:divBdr>
                            <w:top w:val="none" w:sz="0" w:space="0" w:color="auto"/>
                            <w:left w:val="none" w:sz="0" w:space="0" w:color="auto"/>
                            <w:bottom w:val="none" w:sz="0" w:space="0" w:color="auto"/>
                            <w:right w:val="none" w:sz="0" w:space="0" w:color="auto"/>
                          </w:divBdr>
                          <w:divsChild>
                            <w:div w:id="102963370">
                              <w:marLeft w:val="0"/>
                              <w:marRight w:val="0"/>
                              <w:marTop w:val="0"/>
                              <w:marBottom w:val="0"/>
                              <w:divBdr>
                                <w:top w:val="none" w:sz="0" w:space="0" w:color="auto"/>
                                <w:left w:val="none" w:sz="0" w:space="0" w:color="auto"/>
                                <w:bottom w:val="none" w:sz="0" w:space="0" w:color="auto"/>
                                <w:right w:val="none" w:sz="0" w:space="0" w:color="auto"/>
                              </w:divBdr>
                              <w:divsChild>
                                <w:div w:id="1230195791">
                                  <w:marLeft w:val="0"/>
                                  <w:marRight w:val="0"/>
                                  <w:marTop w:val="0"/>
                                  <w:marBottom w:val="0"/>
                                  <w:divBdr>
                                    <w:top w:val="none" w:sz="0" w:space="0" w:color="auto"/>
                                    <w:left w:val="none" w:sz="0" w:space="0" w:color="auto"/>
                                    <w:bottom w:val="none" w:sz="0" w:space="0" w:color="auto"/>
                                    <w:right w:val="none" w:sz="0" w:space="0" w:color="auto"/>
                                  </w:divBdr>
                                  <w:divsChild>
                                    <w:div w:id="570120901">
                                      <w:marLeft w:val="0"/>
                                      <w:marRight w:val="0"/>
                                      <w:marTop w:val="0"/>
                                      <w:marBottom w:val="0"/>
                                      <w:divBdr>
                                        <w:top w:val="none" w:sz="0" w:space="0" w:color="auto"/>
                                        <w:left w:val="none" w:sz="0" w:space="0" w:color="auto"/>
                                        <w:bottom w:val="none" w:sz="0" w:space="0" w:color="auto"/>
                                        <w:right w:val="none" w:sz="0" w:space="0" w:color="auto"/>
                                      </w:divBdr>
                                      <w:divsChild>
                                        <w:div w:id="929967755">
                                          <w:marLeft w:val="0"/>
                                          <w:marRight w:val="0"/>
                                          <w:marTop w:val="0"/>
                                          <w:marBottom w:val="0"/>
                                          <w:divBdr>
                                            <w:top w:val="none" w:sz="0" w:space="0" w:color="auto"/>
                                            <w:left w:val="none" w:sz="0" w:space="0" w:color="auto"/>
                                            <w:bottom w:val="none" w:sz="0" w:space="0" w:color="auto"/>
                                            <w:right w:val="none" w:sz="0" w:space="0" w:color="auto"/>
                                          </w:divBdr>
                                          <w:divsChild>
                                            <w:div w:id="97605926">
                                              <w:marLeft w:val="0"/>
                                              <w:marRight w:val="0"/>
                                              <w:marTop w:val="0"/>
                                              <w:marBottom w:val="0"/>
                                              <w:divBdr>
                                                <w:top w:val="none" w:sz="0" w:space="0" w:color="auto"/>
                                                <w:left w:val="none" w:sz="0" w:space="0" w:color="auto"/>
                                                <w:bottom w:val="none" w:sz="0" w:space="0" w:color="auto"/>
                                                <w:right w:val="none" w:sz="0" w:space="0" w:color="auto"/>
                                              </w:divBdr>
                                              <w:divsChild>
                                                <w:div w:id="1864828038">
                                                  <w:marLeft w:val="0"/>
                                                  <w:marRight w:val="0"/>
                                                  <w:marTop w:val="0"/>
                                                  <w:marBottom w:val="0"/>
                                                  <w:divBdr>
                                                    <w:top w:val="none" w:sz="0" w:space="0" w:color="auto"/>
                                                    <w:left w:val="none" w:sz="0" w:space="0" w:color="auto"/>
                                                    <w:bottom w:val="none" w:sz="0" w:space="0" w:color="auto"/>
                                                    <w:right w:val="none" w:sz="0" w:space="0" w:color="auto"/>
                                                  </w:divBdr>
                                                  <w:divsChild>
                                                    <w:div w:id="641276119">
                                                      <w:marLeft w:val="0"/>
                                                      <w:marRight w:val="0"/>
                                                      <w:marTop w:val="0"/>
                                                      <w:marBottom w:val="0"/>
                                                      <w:divBdr>
                                                        <w:top w:val="none" w:sz="0" w:space="0" w:color="auto"/>
                                                        <w:left w:val="none" w:sz="0" w:space="0" w:color="auto"/>
                                                        <w:bottom w:val="none" w:sz="0" w:space="0" w:color="auto"/>
                                                        <w:right w:val="none" w:sz="0" w:space="0" w:color="auto"/>
                                                      </w:divBdr>
                                                      <w:divsChild>
                                                        <w:div w:id="18038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638469">
          <w:marLeft w:val="0"/>
          <w:marRight w:val="0"/>
          <w:marTop w:val="0"/>
          <w:marBottom w:val="0"/>
          <w:divBdr>
            <w:top w:val="none" w:sz="0" w:space="0" w:color="auto"/>
            <w:left w:val="none" w:sz="0" w:space="0" w:color="auto"/>
            <w:bottom w:val="none" w:sz="0" w:space="0" w:color="auto"/>
            <w:right w:val="none" w:sz="0" w:space="0" w:color="auto"/>
          </w:divBdr>
          <w:divsChild>
            <w:div w:id="15582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11565">
      <w:bodyDiv w:val="1"/>
      <w:marLeft w:val="0"/>
      <w:marRight w:val="0"/>
      <w:marTop w:val="0"/>
      <w:marBottom w:val="0"/>
      <w:divBdr>
        <w:top w:val="none" w:sz="0" w:space="0" w:color="auto"/>
        <w:left w:val="none" w:sz="0" w:space="0" w:color="auto"/>
        <w:bottom w:val="none" w:sz="0" w:space="0" w:color="auto"/>
        <w:right w:val="none" w:sz="0" w:space="0" w:color="auto"/>
      </w:divBdr>
      <w:divsChild>
        <w:div w:id="589240855">
          <w:marLeft w:val="0"/>
          <w:marRight w:val="0"/>
          <w:marTop w:val="0"/>
          <w:marBottom w:val="0"/>
          <w:divBdr>
            <w:top w:val="none" w:sz="0" w:space="0" w:color="auto"/>
            <w:left w:val="none" w:sz="0" w:space="0" w:color="auto"/>
            <w:bottom w:val="none" w:sz="0" w:space="0" w:color="auto"/>
            <w:right w:val="none" w:sz="0" w:space="0" w:color="auto"/>
          </w:divBdr>
          <w:divsChild>
            <w:div w:id="1827042259">
              <w:marLeft w:val="0"/>
              <w:marRight w:val="0"/>
              <w:marTop w:val="0"/>
              <w:marBottom w:val="0"/>
              <w:divBdr>
                <w:top w:val="none" w:sz="0" w:space="0" w:color="auto"/>
                <w:left w:val="none" w:sz="0" w:space="0" w:color="auto"/>
                <w:bottom w:val="none" w:sz="0" w:space="0" w:color="auto"/>
                <w:right w:val="none" w:sz="0" w:space="0" w:color="auto"/>
              </w:divBdr>
              <w:divsChild>
                <w:div w:id="1787700836">
                  <w:marLeft w:val="0"/>
                  <w:marRight w:val="0"/>
                  <w:marTop w:val="0"/>
                  <w:marBottom w:val="0"/>
                  <w:divBdr>
                    <w:top w:val="none" w:sz="0" w:space="0" w:color="auto"/>
                    <w:left w:val="none" w:sz="0" w:space="0" w:color="auto"/>
                    <w:bottom w:val="none" w:sz="0" w:space="0" w:color="auto"/>
                    <w:right w:val="none" w:sz="0" w:space="0" w:color="auto"/>
                  </w:divBdr>
                  <w:divsChild>
                    <w:div w:id="43526153">
                      <w:marLeft w:val="0"/>
                      <w:marRight w:val="0"/>
                      <w:marTop w:val="0"/>
                      <w:marBottom w:val="0"/>
                      <w:divBdr>
                        <w:top w:val="none" w:sz="0" w:space="0" w:color="auto"/>
                        <w:left w:val="none" w:sz="0" w:space="0" w:color="auto"/>
                        <w:bottom w:val="none" w:sz="0" w:space="0" w:color="auto"/>
                        <w:right w:val="none" w:sz="0" w:space="0" w:color="auto"/>
                      </w:divBdr>
                      <w:divsChild>
                        <w:div w:id="1300915951">
                          <w:marLeft w:val="0"/>
                          <w:marRight w:val="0"/>
                          <w:marTop w:val="0"/>
                          <w:marBottom w:val="0"/>
                          <w:divBdr>
                            <w:top w:val="none" w:sz="0" w:space="0" w:color="auto"/>
                            <w:left w:val="none" w:sz="0" w:space="0" w:color="auto"/>
                            <w:bottom w:val="none" w:sz="0" w:space="0" w:color="auto"/>
                            <w:right w:val="none" w:sz="0" w:space="0" w:color="auto"/>
                          </w:divBdr>
                          <w:divsChild>
                            <w:div w:id="693850950">
                              <w:marLeft w:val="0"/>
                              <w:marRight w:val="0"/>
                              <w:marTop w:val="0"/>
                              <w:marBottom w:val="0"/>
                              <w:divBdr>
                                <w:top w:val="none" w:sz="0" w:space="0" w:color="auto"/>
                                <w:left w:val="none" w:sz="0" w:space="0" w:color="auto"/>
                                <w:bottom w:val="none" w:sz="0" w:space="0" w:color="auto"/>
                                <w:right w:val="none" w:sz="0" w:space="0" w:color="auto"/>
                              </w:divBdr>
                              <w:divsChild>
                                <w:div w:id="22052624">
                                  <w:marLeft w:val="0"/>
                                  <w:marRight w:val="0"/>
                                  <w:marTop w:val="0"/>
                                  <w:marBottom w:val="0"/>
                                  <w:divBdr>
                                    <w:top w:val="none" w:sz="0" w:space="0" w:color="auto"/>
                                    <w:left w:val="none" w:sz="0" w:space="0" w:color="auto"/>
                                    <w:bottom w:val="none" w:sz="0" w:space="0" w:color="auto"/>
                                    <w:right w:val="none" w:sz="0" w:space="0" w:color="auto"/>
                                  </w:divBdr>
                                  <w:divsChild>
                                    <w:div w:id="1596134491">
                                      <w:marLeft w:val="0"/>
                                      <w:marRight w:val="0"/>
                                      <w:marTop w:val="0"/>
                                      <w:marBottom w:val="0"/>
                                      <w:divBdr>
                                        <w:top w:val="none" w:sz="0" w:space="0" w:color="auto"/>
                                        <w:left w:val="none" w:sz="0" w:space="0" w:color="auto"/>
                                        <w:bottom w:val="none" w:sz="0" w:space="0" w:color="auto"/>
                                        <w:right w:val="none" w:sz="0" w:space="0" w:color="auto"/>
                                      </w:divBdr>
                                      <w:divsChild>
                                        <w:div w:id="1609384099">
                                          <w:marLeft w:val="0"/>
                                          <w:marRight w:val="0"/>
                                          <w:marTop w:val="0"/>
                                          <w:marBottom w:val="0"/>
                                          <w:divBdr>
                                            <w:top w:val="none" w:sz="0" w:space="0" w:color="auto"/>
                                            <w:left w:val="none" w:sz="0" w:space="0" w:color="auto"/>
                                            <w:bottom w:val="none" w:sz="0" w:space="0" w:color="auto"/>
                                            <w:right w:val="none" w:sz="0" w:space="0" w:color="auto"/>
                                          </w:divBdr>
                                          <w:divsChild>
                                            <w:div w:id="1320577134">
                                              <w:marLeft w:val="0"/>
                                              <w:marRight w:val="0"/>
                                              <w:marTop w:val="0"/>
                                              <w:marBottom w:val="0"/>
                                              <w:divBdr>
                                                <w:top w:val="none" w:sz="0" w:space="0" w:color="auto"/>
                                                <w:left w:val="none" w:sz="0" w:space="0" w:color="auto"/>
                                                <w:bottom w:val="none" w:sz="0" w:space="0" w:color="auto"/>
                                                <w:right w:val="none" w:sz="0" w:space="0" w:color="auto"/>
                                              </w:divBdr>
                                              <w:divsChild>
                                                <w:div w:id="625895804">
                                                  <w:marLeft w:val="0"/>
                                                  <w:marRight w:val="0"/>
                                                  <w:marTop w:val="0"/>
                                                  <w:marBottom w:val="0"/>
                                                  <w:divBdr>
                                                    <w:top w:val="none" w:sz="0" w:space="0" w:color="auto"/>
                                                    <w:left w:val="none" w:sz="0" w:space="0" w:color="auto"/>
                                                    <w:bottom w:val="none" w:sz="0" w:space="0" w:color="auto"/>
                                                    <w:right w:val="none" w:sz="0" w:space="0" w:color="auto"/>
                                                  </w:divBdr>
                                                  <w:divsChild>
                                                    <w:div w:id="630550330">
                                                      <w:marLeft w:val="0"/>
                                                      <w:marRight w:val="0"/>
                                                      <w:marTop w:val="0"/>
                                                      <w:marBottom w:val="0"/>
                                                      <w:divBdr>
                                                        <w:top w:val="none" w:sz="0" w:space="0" w:color="auto"/>
                                                        <w:left w:val="none" w:sz="0" w:space="0" w:color="auto"/>
                                                        <w:bottom w:val="none" w:sz="0" w:space="0" w:color="auto"/>
                                                        <w:right w:val="none" w:sz="0" w:space="0" w:color="auto"/>
                                                      </w:divBdr>
                                                      <w:divsChild>
                                                        <w:div w:id="547495659">
                                                          <w:marLeft w:val="0"/>
                                                          <w:marRight w:val="0"/>
                                                          <w:marTop w:val="0"/>
                                                          <w:marBottom w:val="0"/>
                                                          <w:divBdr>
                                                            <w:top w:val="none" w:sz="0" w:space="0" w:color="auto"/>
                                                            <w:left w:val="none" w:sz="0" w:space="0" w:color="auto"/>
                                                            <w:bottom w:val="none" w:sz="0" w:space="0" w:color="auto"/>
                                                            <w:right w:val="none" w:sz="0" w:space="0" w:color="auto"/>
                                                          </w:divBdr>
                                                          <w:divsChild>
                                                            <w:div w:id="494877721">
                                                              <w:marLeft w:val="0"/>
                                                              <w:marRight w:val="0"/>
                                                              <w:marTop w:val="0"/>
                                                              <w:marBottom w:val="0"/>
                                                              <w:divBdr>
                                                                <w:top w:val="none" w:sz="0" w:space="0" w:color="auto"/>
                                                                <w:left w:val="none" w:sz="0" w:space="0" w:color="auto"/>
                                                                <w:bottom w:val="none" w:sz="0" w:space="0" w:color="auto"/>
                                                                <w:right w:val="none" w:sz="0" w:space="0" w:color="auto"/>
                                                              </w:divBdr>
                                                              <w:divsChild>
                                                                <w:div w:id="1802384955">
                                                                  <w:marLeft w:val="0"/>
                                                                  <w:marRight w:val="0"/>
                                                                  <w:marTop w:val="0"/>
                                                                  <w:marBottom w:val="0"/>
                                                                  <w:divBdr>
                                                                    <w:top w:val="none" w:sz="0" w:space="0" w:color="auto"/>
                                                                    <w:left w:val="none" w:sz="0" w:space="0" w:color="auto"/>
                                                                    <w:bottom w:val="none" w:sz="0" w:space="0" w:color="auto"/>
                                                                    <w:right w:val="none" w:sz="0" w:space="0" w:color="auto"/>
                                                                  </w:divBdr>
                                                                  <w:divsChild>
                                                                    <w:div w:id="925260505">
                                                                      <w:marLeft w:val="0"/>
                                                                      <w:marRight w:val="0"/>
                                                                      <w:marTop w:val="0"/>
                                                                      <w:marBottom w:val="0"/>
                                                                      <w:divBdr>
                                                                        <w:top w:val="none" w:sz="0" w:space="0" w:color="auto"/>
                                                                        <w:left w:val="none" w:sz="0" w:space="0" w:color="auto"/>
                                                                        <w:bottom w:val="none" w:sz="0" w:space="0" w:color="auto"/>
                                                                        <w:right w:val="none" w:sz="0" w:space="0" w:color="auto"/>
                                                                      </w:divBdr>
                                                                      <w:divsChild>
                                                                        <w:div w:id="629168966">
                                                                          <w:marLeft w:val="0"/>
                                                                          <w:marRight w:val="0"/>
                                                                          <w:marTop w:val="0"/>
                                                                          <w:marBottom w:val="0"/>
                                                                          <w:divBdr>
                                                                            <w:top w:val="none" w:sz="0" w:space="0" w:color="auto"/>
                                                                            <w:left w:val="none" w:sz="0" w:space="0" w:color="auto"/>
                                                                            <w:bottom w:val="none" w:sz="0" w:space="0" w:color="auto"/>
                                                                            <w:right w:val="none" w:sz="0" w:space="0" w:color="auto"/>
                                                                          </w:divBdr>
                                                                          <w:divsChild>
                                                                            <w:div w:id="1397046864">
                                                                              <w:marLeft w:val="0"/>
                                                                              <w:marRight w:val="0"/>
                                                                              <w:marTop w:val="0"/>
                                                                              <w:marBottom w:val="0"/>
                                                                              <w:divBdr>
                                                                                <w:top w:val="none" w:sz="0" w:space="0" w:color="auto"/>
                                                                                <w:left w:val="none" w:sz="0" w:space="0" w:color="auto"/>
                                                                                <w:bottom w:val="none" w:sz="0" w:space="0" w:color="auto"/>
                                                                                <w:right w:val="none" w:sz="0" w:space="0" w:color="auto"/>
                                                                              </w:divBdr>
                                                                              <w:divsChild>
                                                                                <w:div w:id="225650790">
                                                                                  <w:marLeft w:val="0"/>
                                                                                  <w:marRight w:val="0"/>
                                                                                  <w:marTop w:val="0"/>
                                                                                  <w:marBottom w:val="0"/>
                                                                                  <w:divBdr>
                                                                                    <w:top w:val="none" w:sz="0" w:space="0" w:color="auto"/>
                                                                                    <w:left w:val="none" w:sz="0" w:space="0" w:color="auto"/>
                                                                                    <w:bottom w:val="none" w:sz="0" w:space="0" w:color="auto"/>
                                                                                    <w:right w:val="none" w:sz="0" w:space="0" w:color="auto"/>
                                                                                  </w:divBdr>
                                                                                  <w:divsChild>
                                                                                    <w:div w:id="107772930">
                                                                                      <w:marLeft w:val="0"/>
                                                                                      <w:marRight w:val="0"/>
                                                                                      <w:marTop w:val="0"/>
                                                                                      <w:marBottom w:val="0"/>
                                                                                      <w:divBdr>
                                                                                        <w:top w:val="none" w:sz="0" w:space="0" w:color="auto"/>
                                                                                        <w:left w:val="none" w:sz="0" w:space="0" w:color="auto"/>
                                                                                        <w:bottom w:val="none" w:sz="0" w:space="0" w:color="auto"/>
                                                                                        <w:right w:val="none" w:sz="0" w:space="0" w:color="auto"/>
                                                                                      </w:divBdr>
                                                                                      <w:divsChild>
                                                                                        <w:div w:id="98585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928411">
                                          <w:marLeft w:val="0"/>
                                          <w:marRight w:val="0"/>
                                          <w:marTop w:val="0"/>
                                          <w:marBottom w:val="0"/>
                                          <w:divBdr>
                                            <w:top w:val="none" w:sz="0" w:space="0" w:color="auto"/>
                                            <w:left w:val="none" w:sz="0" w:space="0" w:color="auto"/>
                                            <w:bottom w:val="none" w:sz="0" w:space="0" w:color="auto"/>
                                            <w:right w:val="none" w:sz="0" w:space="0" w:color="auto"/>
                                          </w:divBdr>
                                          <w:divsChild>
                                            <w:div w:id="17993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4249089">
      <w:bodyDiv w:val="1"/>
      <w:marLeft w:val="0"/>
      <w:marRight w:val="0"/>
      <w:marTop w:val="0"/>
      <w:marBottom w:val="0"/>
      <w:divBdr>
        <w:top w:val="none" w:sz="0" w:space="0" w:color="auto"/>
        <w:left w:val="none" w:sz="0" w:space="0" w:color="auto"/>
        <w:bottom w:val="none" w:sz="0" w:space="0" w:color="auto"/>
        <w:right w:val="none" w:sz="0" w:space="0" w:color="auto"/>
      </w:divBdr>
      <w:divsChild>
        <w:div w:id="1779637295">
          <w:marLeft w:val="0"/>
          <w:marRight w:val="0"/>
          <w:marTop w:val="0"/>
          <w:marBottom w:val="0"/>
          <w:divBdr>
            <w:top w:val="none" w:sz="0" w:space="0" w:color="auto"/>
            <w:left w:val="none" w:sz="0" w:space="0" w:color="auto"/>
            <w:bottom w:val="none" w:sz="0" w:space="0" w:color="auto"/>
            <w:right w:val="none" w:sz="0" w:space="0" w:color="auto"/>
          </w:divBdr>
          <w:divsChild>
            <w:div w:id="2117864134">
              <w:marLeft w:val="0"/>
              <w:marRight w:val="0"/>
              <w:marTop w:val="0"/>
              <w:marBottom w:val="0"/>
              <w:divBdr>
                <w:top w:val="none" w:sz="0" w:space="0" w:color="auto"/>
                <w:left w:val="none" w:sz="0" w:space="0" w:color="auto"/>
                <w:bottom w:val="none" w:sz="0" w:space="0" w:color="auto"/>
                <w:right w:val="none" w:sz="0" w:space="0" w:color="auto"/>
              </w:divBdr>
            </w:div>
          </w:divsChild>
        </w:div>
        <w:div w:id="1815366012">
          <w:marLeft w:val="0"/>
          <w:marRight w:val="0"/>
          <w:marTop w:val="0"/>
          <w:marBottom w:val="0"/>
          <w:divBdr>
            <w:top w:val="none" w:sz="0" w:space="0" w:color="auto"/>
            <w:left w:val="none" w:sz="0" w:space="0" w:color="auto"/>
            <w:bottom w:val="none" w:sz="0" w:space="0" w:color="auto"/>
            <w:right w:val="none" w:sz="0" w:space="0" w:color="auto"/>
          </w:divBdr>
          <w:divsChild>
            <w:div w:id="565455481">
              <w:marLeft w:val="0"/>
              <w:marRight w:val="0"/>
              <w:marTop w:val="0"/>
              <w:marBottom w:val="0"/>
              <w:divBdr>
                <w:top w:val="none" w:sz="0" w:space="0" w:color="auto"/>
                <w:left w:val="none" w:sz="0" w:space="0" w:color="auto"/>
                <w:bottom w:val="none" w:sz="0" w:space="0" w:color="auto"/>
                <w:right w:val="none" w:sz="0" w:space="0" w:color="auto"/>
              </w:divBdr>
            </w:div>
          </w:divsChild>
        </w:div>
        <w:div w:id="329216958">
          <w:marLeft w:val="0"/>
          <w:marRight w:val="0"/>
          <w:marTop w:val="0"/>
          <w:marBottom w:val="0"/>
          <w:divBdr>
            <w:top w:val="none" w:sz="0" w:space="0" w:color="auto"/>
            <w:left w:val="none" w:sz="0" w:space="0" w:color="auto"/>
            <w:bottom w:val="none" w:sz="0" w:space="0" w:color="auto"/>
            <w:right w:val="none" w:sz="0" w:space="0" w:color="auto"/>
          </w:divBdr>
          <w:divsChild>
            <w:div w:id="942037786">
              <w:marLeft w:val="0"/>
              <w:marRight w:val="0"/>
              <w:marTop w:val="0"/>
              <w:marBottom w:val="0"/>
              <w:divBdr>
                <w:top w:val="none" w:sz="0" w:space="0" w:color="auto"/>
                <w:left w:val="none" w:sz="0" w:space="0" w:color="auto"/>
                <w:bottom w:val="none" w:sz="0" w:space="0" w:color="auto"/>
                <w:right w:val="none" w:sz="0" w:space="0" w:color="auto"/>
              </w:divBdr>
            </w:div>
          </w:divsChild>
        </w:div>
        <w:div w:id="1588273278">
          <w:marLeft w:val="0"/>
          <w:marRight w:val="0"/>
          <w:marTop w:val="0"/>
          <w:marBottom w:val="0"/>
          <w:divBdr>
            <w:top w:val="none" w:sz="0" w:space="0" w:color="auto"/>
            <w:left w:val="none" w:sz="0" w:space="0" w:color="auto"/>
            <w:bottom w:val="none" w:sz="0" w:space="0" w:color="auto"/>
            <w:right w:val="none" w:sz="0" w:space="0" w:color="auto"/>
          </w:divBdr>
          <w:divsChild>
            <w:div w:id="1163353430">
              <w:marLeft w:val="0"/>
              <w:marRight w:val="0"/>
              <w:marTop w:val="0"/>
              <w:marBottom w:val="0"/>
              <w:divBdr>
                <w:top w:val="none" w:sz="0" w:space="0" w:color="auto"/>
                <w:left w:val="none" w:sz="0" w:space="0" w:color="auto"/>
                <w:bottom w:val="none" w:sz="0" w:space="0" w:color="auto"/>
                <w:right w:val="none" w:sz="0" w:space="0" w:color="auto"/>
              </w:divBdr>
            </w:div>
          </w:divsChild>
        </w:div>
        <w:div w:id="1984114724">
          <w:marLeft w:val="0"/>
          <w:marRight w:val="0"/>
          <w:marTop w:val="0"/>
          <w:marBottom w:val="0"/>
          <w:divBdr>
            <w:top w:val="none" w:sz="0" w:space="0" w:color="auto"/>
            <w:left w:val="none" w:sz="0" w:space="0" w:color="auto"/>
            <w:bottom w:val="none" w:sz="0" w:space="0" w:color="auto"/>
            <w:right w:val="none" w:sz="0" w:space="0" w:color="auto"/>
          </w:divBdr>
          <w:divsChild>
            <w:div w:id="566189579">
              <w:marLeft w:val="0"/>
              <w:marRight w:val="0"/>
              <w:marTop w:val="0"/>
              <w:marBottom w:val="0"/>
              <w:divBdr>
                <w:top w:val="none" w:sz="0" w:space="0" w:color="auto"/>
                <w:left w:val="none" w:sz="0" w:space="0" w:color="auto"/>
                <w:bottom w:val="none" w:sz="0" w:space="0" w:color="auto"/>
                <w:right w:val="none" w:sz="0" w:space="0" w:color="auto"/>
              </w:divBdr>
            </w:div>
          </w:divsChild>
        </w:div>
        <w:div w:id="1256669615">
          <w:marLeft w:val="0"/>
          <w:marRight w:val="0"/>
          <w:marTop w:val="0"/>
          <w:marBottom w:val="0"/>
          <w:divBdr>
            <w:top w:val="none" w:sz="0" w:space="0" w:color="auto"/>
            <w:left w:val="none" w:sz="0" w:space="0" w:color="auto"/>
            <w:bottom w:val="none" w:sz="0" w:space="0" w:color="auto"/>
            <w:right w:val="none" w:sz="0" w:space="0" w:color="auto"/>
          </w:divBdr>
          <w:divsChild>
            <w:div w:id="1632861248">
              <w:marLeft w:val="0"/>
              <w:marRight w:val="0"/>
              <w:marTop w:val="0"/>
              <w:marBottom w:val="0"/>
              <w:divBdr>
                <w:top w:val="none" w:sz="0" w:space="0" w:color="auto"/>
                <w:left w:val="none" w:sz="0" w:space="0" w:color="auto"/>
                <w:bottom w:val="none" w:sz="0" w:space="0" w:color="auto"/>
                <w:right w:val="none" w:sz="0" w:space="0" w:color="auto"/>
              </w:divBdr>
            </w:div>
          </w:divsChild>
        </w:div>
        <w:div w:id="1052851507">
          <w:marLeft w:val="0"/>
          <w:marRight w:val="0"/>
          <w:marTop w:val="0"/>
          <w:marBottom w:val="0"/>
          <w:divBdr>
            <w:top w:val="none" w:sz="0" w:space="0" w:color="auto"/>
            <w:left w:val="none" w:sz="0" w:space="0" w:color="auto"/>
            <w:bottom w:val="none" w:sz="0" w:space="0" w:color="auto"/>
            <w:right w:val="none" w:sz="0" w:space="0" w:color="auto"/>
          </w:divBdr>
          <w:divsChild>
            <w:div w:id="1588683948">
              <w:marLeft w:val="0"/>
              <w:marRight w:val="0"/>
              <w:marTop w:val="0"/>
              <w:marBottom w:val="0"/>
              <w:divBdr>
                <w:top w:val="none" w:sz="0" w:space="0" w:color="auto"/>
                <w:left w:val="none" w:sz="0" w:space="0" w:color="auto"/>
                <w:bottom w:val="none" w:sz="0" w:space="0" w:color="auto"/>
                <w:right w:val="none" w:sz="0" w:space="0" w:color="auto"/>
              </w:divBdr>
            </w:div>
          </w:divsChild>
        </w:div>
        <w:div w:id="1496991489">
          <w:marLeft w:val="0"/>
          <w:marRight w:val="0"/>
          <w:marTop w:val="0"/>
          <w:marBottom w:val="0"/>
          <w:divBdr>
            <w:top w:val="none" w:sz="0" w:space="0" w:color="auto"/>
            <w:left w:val="none" w:sz="0" w:space="0" w:color="auto"/>
            <w:bottom w:val="none" w:sz="0" w:space="0" w:color="auto"/>
            <w:right w:val="none" w:sz="0" w:space="0" w:color="auto"/>
          </w:divBdr>
          <w:divsChild>
            <w:div w:id="1004749244">
              <w:marLeft w:val="0"/>
              <w:marRight w:val="0"/>
              <w:marTop w:val="0"/>
              <w:marBottom w:val="0"/>
              <w:divBdr>
                <w:top w:val="none" w:sz="0" w:space="0" w:color="auto"/>
                <w:left w:val="none" w:sz="0" w:space="0" w:color="auto"/>
                <w:bottom w:val="none" w:sz="0" w:space="0" w:color="auto"/>
                <w:right w:val="none" w:sz="0" w:space="0" w:color="auto"/>
              </w:divBdr>
              <w:divsChild>
                <w:div w:id="2084258041">
                  <w:marLeft w:val="0"/>
                  <w:marRight w:val="0"/>
                  <w:marTop w:val="0"/>
                  <w:marBottom w:val="0"/>
                  <w:divBdr>
                    <w:top w:val="none" w:sz="0" w:space="0" w:color="auto"/>
                    <w:left w:val="none" w:sz="0" w:space="0" w:color="auto"/>
                    <w:bottom w:val="none" w:sz="0" w:space="0" w:color="auto"/>
                    <w:right w:val="none" w:sz="0" w:space="0" w:color="auto"/>
                  </w:divBdr>
                  <w:divsChild>
                    <w:div w:id="329145160">
                      <w:marLeft w:val="0"/>
                      <w:marRight w:val="0"/>
                      <w:marTop w:val="0"/>
                      <w:marBottom w:val="0"/>
                      <w:divBdr>
                        <w:top w:val="none" w:sz="0" w:space="0" w:color="auto"/>
                        <w:left w:val="none" w:sz="0" w:space="0" w:color="auto"/>
                        <w:bottom w:val="none" w:sz="0" w:space="0" w:color="auto"/>
                        <w:right w:val="none" w:sz="0" w:space="0" w:color="auto"/>
                      </w:divBdr>
                      <w:divsChild>
                        <w:div w:id="2062703376">
                          <w:marLeft w:val="0"/>
                          <w:marRight w:val="0"/>
                          <w:marTop w:val="0"/>
                          <w:marBottom w:val="0"/>
                          <w:divBdr>
                            <w:top w:val="none" w:sz="0" w:space="0" w:color="auto"/>
                            <w:left w:val="none" w:sz="0" w:space="0" w:color="auto"/>
                            <w:bottom w:val="none" w:sz="0" w:space="0" w:color="auto"/>
                            <w:right w:val="none" w:sz="0" w:space="0" w:color="auto"/>
                          </w:divBdr>
                          <w:divsChild>
                            <w:div w:id="1299799523">
                              <w:marLeft w:val="0"/>
                              <w:marRight w:val="0"/>
                              <w:marTop w:val="0"/>
                              <w:marBottom w:val="0"/>
                              <w:divBdr>
                                <w:top w:val="none" w:sz="0" w:space="0" w:color="auto"/>
                                <w:left w:val="none" w:sz="0" w:space="0" w:color="auto"/>
                                <w:bottom w:val="none" w:sz="0" w:space="0" w:color="auto"/>
                                <w:right w:val="none" w:sz="0" w:space="0" w:color="auto"/>
                              </w:divBdr>
                              <w:divsChild>
                                <w:div w:id="1285387968">
                                  <w:marLeft w:val="0"/>
                                  <w:marRight w:val="0"/>
                                  <w:marTop w:val="0"/>
                                  <w:marBottom w:val="0"/>
                                  <w:divBdr>
                                    <w:top w:val="none" w:sz="0" w:space="0" w:color="auto"/>
                                    <w:left w:val="none" w:sz="0" w:space="0" w:color="auto"/>
                                    <w:bottom w:val="none" w:sz="0" w:space="0" w:color="auto"/>
                                    <w:right w:val="none" w:sz="0" w:space="0" w:color="auto"/>
                                  </w:divBdr>
                                  <w:divsChild>
                                    <w:div w:id="1233542032">
                                      <w:marLeft w:val="0"/>
                                      <w:marRight w:val="0"/>
                                      <w:marTop w:val="0"/>
                                      <w:marBottom w:val="0"/>
                                      <w:divBdr>
                                        <w:top w:val="none" w:sz="0" w:space="0" w:color="auto"/>
                                        <w:left w:val="none" w:sz="0" w:space="0" w:color="auto"/>
                                        <w:bottom w:val="none" w:sz="0" w:space="0" w:color="auto"/>
                                        <w:right w:val="none" w:sz="0" w:space="0" w:color="auto"/>
                                      </w:divBdr>
                                      <w:divsChild>
                                        <w:div w:id="1815679553">
                                          <w:marLeft w:val="0"/>
                                          <w:marRight w:val="0"/>
                                          <w:marTop w:val="0"/>
                                          <w:marBottom w:val="0"/>
                                          <w:divBdr>
                                            <w:top w:val="none" w:sz="0" w:space="0" w:color="auto"/>
                                            <w:left w:val="none" w:sz="0" w:space="0" w:color="auto"/>
                                            <w:bottom w:val="none" w:sz="0" w:space="0" w:color="auto"/>
                                            <w:right w:val="none" w:sz="0" w:space="0" w:color="auto"/>
                                          </w:divBdr>
                                          <w:divsChild>
                                            <w:div w:id="1476754246">
                                              <w:marLeft w:val="0"/>
                                              <w:marRight w:val="0"/>
                                              <w:marTop w:val="0"/>
                                              <w:marBottom w:val="0"/>
                                              <w:divBdr>
                                                <w:top w:val="none" w:sz="0" w:space="0" w:color="auto"/>
                                                <w:left w:val="none" w:sz="0" w:space="0" w:color="auto"/>
                                                <w:bottom w:val="none" w:sz="0" w:space="0" w:color="auto"/>
                                                <w:right w:val="none" w:sz="0" w:space="0" w:color="auto"/>
                                              </w:divBdr>
                                              <w:divsChild>
                                                <w:div w:id="959605826">
                                                  <w:marLeft w:val="0"/>
                                                  <w:marRight w:val="0"/>
                                                  <w:marTop w:val="0"/>
                                                  <w:marBottom w:val="0"/>
                                                  <w:divBdr>
                                                    <w:top w:val="none" w:sz="0" w:space="0" w:color="auto"/>
                                                    <w:left w:val="none" w:sz="0" w:space="0" w:color="auto"/>
                                                    <w:bottom w:val="none" w:sz="0" w:space="0" w:color="auto"/>
                                                    <w:right w:val="none" w:sz="0" w:space="0" w:color="auto"/>
                                                  </w:divBdr>
                                                  <w:divsChild>
                                                    <w:div w:id="1511330879">
                                                      <w:marLeft w:val="0"/>
                                                      <w:marRight w:val="0"/>
                                                      <w:marTop w:val="0"/>
                                                      <w:marBottom w:val="0"/>
                                                      <w:divBdr>
                                                        <w:top w:val="none" w:sz="0" w:space="0" w:color="auto"/>
                                                        <w:left w:val="none" w:sz="0" w:space="0" w:color="auto"/>
                                                        <w:bottom w:val="none" w:sz="0" w:space="0" w:color="auto"/>
                                                        <w:right w:val="none" w:sz="0" w:space="0" w:color="auto"/>
                                                      </w:divBdr>
                                                      <w:divsChild>
                                                        <w:div w:id="14988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529325">
          <w:marLeft w:val="0"/>
          <w:marRight w:val="0"/>
          <w:marTop w:val="0"/>
          <w:marBottom w:val="0"/>
          <w:divBdr>
            <w:top w:val="none" w:sz="0" w:space="0" w:color="auto"/>
            <w:left w:val="none" w:sz="0" w:space="0" w:color="auto"/>
            <w:bottom w:val="none" w:sz="0" w:space="0" w:color="auto"/>
            <w:right w:val="none" w:sz="0" w:space="0" w:color="auto"/>
          </w:divBdr>
          <w:divsChild>
            <w:div w:id="1792162272">
              <w:marLeft w:val="0"/>
              <w:marRight w:val="0"/>
              <w:marTop w:val="0"/>
              <w:marBottom w:val="0"/>
              <w:divBdr>
                <w:top w:val="none" w:sz="0" w:space="0" w:color="auto"/>
                <w:left w:val="none" w:sz="0" w:space="0" w:color="auto"/>
                <w:bottom w:val="none" w:sz="0" w:space="0" w:color="auto"/>
                <w:right w:val="none" w:sz="0" w:space="0" w:color="auto"/>
              </w:divBdr>
              <w:divsChild>
                <w:div w:id="475998530">
                  <w:marLeft w:val="0"/>
                  <w:marRight w:val="0"/>
                  <w:marTop w:val="0"/>
                  <w:marBottom w:val="0"/>
                  <w:divBdr>
                    <w:top w:val="none" w:sz="0" w:space="0" w:color="auto"/>
                    <w:left w:val="none" w:sz="0" w:space="0" w:color="auto"/>
                    <w:bottom w:val="none" w:sz="0" w:space="0" w:color="auto"/>
                    <w:right w:val="none" w:sz="0" w:space="0" w:color="auto"/>
                  </w:divBdr>
                  <w:divsChild>
                    <w:div w:id="1687629745">
                      <w:marLeft w:val="0"/>
                      <w:marRight w:val="0"/>
                      <w:marTop w:val="0"/>
                      <w:marBottom w:val="0"/>
                      <w:divBdr>
                        <w:top w:val="none" w:sz="0" w:space="0" w:color="auto"/>
                        <w:left w:val="none" w:sz="0" w:space="0" w:color="auto"/>
                        <w:bottom w:val="none" w:sz="0" w:space="0" w:color="auto"/>
                        <w:right w:val="none" w:sz="0" w:space="0" w:color="auto"/>
                      </w:divBdr>
                      <w:divsChild>
                        <w:div w:id="1524368056">
                          <w:marLeft w:val="0"/>
                          <w:marRight w:val="0"/>
                          <w:marTop w:val="0"/>
                          <w:marBottom w:val="0"/>
                          <w:divBdr>
                            <w:top w:val="none" w:sz="0" w:space="0" w:color="auto"/>
                            <w:left w:val="none" w:sz="0" w:space="0" w:color="auto"/>
                            <w:bottom w:val="none" w:sz="0" w:space="0" w:color="auto"/>
                            <w:right w:val="none" w:sz="0" w:space="0" w:color="auto"/>
                          </w:divBdr>
                          <w:divsChild>
                            <w:div w:id="957682174">
                              <w:marLeft w:val="0"/>
                              <w:marRight w:val="0"/>
                              <w:marTop w:val="0"/>
                              <w:marBottom w:val="0"/>
                              <w:divBdr>
                                <w:top w:val="none" w:sz="0" w:space="0" w:color="auto"/>
                                <w:left w:val="none" w:sz="0" w:space="0" w:color="auto"/>
                                <w:bottom w:val="none" w:sz="0" w:space="0" w:color="auto"/>
                                <w:right w:val="none" w:sz="0" w:space="0" w:color="auto"/>
                              </w:divBdr>
                              <w:divsChild>
                                <w:div w:id="33967798">
                                  <w:marLeft w:val="0"/>
                                  <w:marRight w:val="0"/>
                                  <w:marTop w:val="0"/>
                                  <w:marBottom w:val="0"/>
                                  <w:divBdr>
                                    <w:top w:val="none" w:sz="0" w:space="0" w:color="auto"/>
                                    <w:left w:val="none" w:sz="0" w:space="0" w:color="auto"/>
                                    <w:bottom w:val="none" w:sz="0" w:space="0" w:color="auto"/>
                                    <w:right w:val="none" w:sz="0" w:space="0" w:color="auto"/>
                                  </w:divBdr>
                                  <w:divsChild>
                                    <w:div w:id="110049687">
                                      <w:marLeft w:val="0"/>
                                      <w:marRight w:val="0"/>
                                      <w:marTop w:val="0"/>
                                      <w:marBottom w:val="0"/>
                                      <w:divBdr>
                                        <w:top w:val="none" w:sz="0" w:space="0" w:color="auto"/>
                                        <w:left w:val="none" w:sz="0" w:space="0" w:color="auto"/>
                                        <w:bottom w:val="none" w:sz="0" w:space="0" w:color="auto"/>
                                        <w:right w:val="none" w:sz="0" w:space="0" w:color="auto"/>
                                      </w:divBdr>
                                      <w:divsChild>
                                        <w:div w:id="1562670565">
                                          <w:marLeft w:val="0"/>
                                          <w:marRight w:val="0"/>
                                          <w:marTop w:val="0"/>
                                          <w:marBottom w:val="0"/>
                                          <w:divBdr>
                                            <w:top w:val="none" w:sz="0" w:space="0" w:color="auto"/>
                                            <w:left w:val="none" w:sz="0" w:space="0" w:color="auto"/>
                                            <w:bottom w:val="none" w:sz="0" w:space="0" w:color="auto"/>
                                            <w:right w:val="none" w:sz="0" w:space="0" w:color="auto"/>
                                          </w:divBdr>
                                          <w:divsChild>
                                            <w:div w:id="766314472">
                                              <w:marLeft w:val="0"/>
                                              <w:marRight w:val="0"/>
                                              <w:marTop w:val="0"/>
                                              <w:marBottom w:val="0"/>
                                              <w:divBdr>
                                                <w:top w:val="none" w:sz="0" w:space="0" w:color="auto"/>
                                                <w:left w:val="none" w:sz="0" w:space="0" w:color="auto"/>
                                                <w:bottom w:val="none" w:sz="0" w:space="0" w:color="auto"/>
                                                <w:right w:val="none" w:sz="0" w:space="0" w:color="auto"/>
                                              </w:divBdr>
                                              <w:divsChild>
                                                <w:div w:id="1478451184">
                                                  <w:marLeft w:val="0"/>
                                                  <w:marRight w:val="0"/>
                                                  <w:marTop w:val="0"/>
                                                  <w:marBottom w:val="0"/>
                                                  <w:divBdr>
                                                    <w:top w:val="none" w:sz="0" w:space="0" w:color="auto"/>
                                                    <w:left w:val="none" w:sz="0" w:space="0" w:color="auto"/>
                                                    <w:bottom w:val="none" w:sz="0" w:space="0" w:color="auto"/>
                                                    <w:right w:val="none" w:sz="0" w:space="0" w:color="auto"/>
                                                  </w:divBdr>
                                                  <w:divsChild>
                                                    <w:div w:id="329676157">
                                                      <w:marLeft w:val="0"/>
                                                      <w:marRight w:val="0"/>
                                                      <w:marTop w:val="0"/>
                                                      <w:marBottom w:val="0"/>
                                                      <w:divBdr>
                                                        <w:top w:val="none" w:sz="0" w:space="0" w:color="auto"/>
                                                        <w:left w:val="none" w:sz="0" w:space="0" w:color="auto"/>
                                                        <w:bottom w:val="none" w:sz="0" w:space="0" w:color="auto"/>
                                                        <w:right w:val="none" w:sz="0" w:space="0" w:color="auto"/>
                                                      </w:divBdr>
                                                      <w:divsChild>
                                                        <w:div w:id="2514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32239">
          <w:marLeft w:val="0"/>
          <w:marRight w:val="0"/>
          <w:marTop w:val="0"/>
          <w:marBottom w:val="0"/>
          <w:divBdr>
            <w:top w:val="none" w:sz="0" w:space="0" w:color="auto"/>
            <w:left w:val="none" w:sz="0" w:space="0" w:color="auto"/>
            <w:bottom w:val="none" w:sz="0" w:space="0" w:color="auto"/>
            <w:right w:val="none" w:sz="0" w:space="0" w:color="auto"/>
          </w:divBdr>
          <w:divsChild>
            <w:div w:id="1684018207">
              <w:marLeft w:val="0"/>
              <w:marRight w:val="0"/>
              <w:marTop w:val="0"/>
              <w:marBottom w:val="0"/>
              <w:divBdr>
                <w:top w:val="none" w:sz="0" w:space="0" w:color="auto"/>
                <w:left w:val="none" w:sz="0" w:space="0" w:color="auto"/>
                <w:bottom w:val="none" w:sz="0" w:space="0" w:color="auto"/>
                <w:right w:val="none" w:sz="0" w:space="0" w:color="auto"/>
              </w:divBdr>
              <w:divsChild>
                <w:div w:id="2029676354">
                  <w:marLeft w:val="0"/>
                  <w:marRight w:val="0"/>
                  <w:marTop w:val="0"/>
                  <w:marBottom w:val="0"/>
                  <w:divBdr>
                    <w:top w:val="none" w:sz="0" w:space="0" w:color="auto"/>
                    <w:left w:val="none" w:sz="0" w:space="0" w:color="auto"/>
                    <w:bottom w:val="none" w:sz="0" w:space="0" w:color="auto"/>
                    <w:right w:val="none" w:sz="0" w:space="0" w:color="auto"/>
                  </w:divBdr>
                  <w:divsChild>
                    <w:div w:id="1848641396">
                      <w:marLeft w:val="0"/>
                      <w:marRight w:val="0"/>
                      <w:marTop w:val="0"/>
                      <w:marBottom w:val="0"/>
                      <w:divBdr>
                        <w:top w:val="none" w:sz="0" w:space="0" w:color="auto"/>
                        <w:left w:val="none" w:sz="0" w:space="0" w:color="auto"/>
                        <w:bottom w:val="none" w:sz="0" w:space="0" w:color="auto"/>
                        <w:right w:val="none" w:sz="0" w:space="0" w:color="auto"/>
                      </w:divBdr>
                      <w:divsChild>
                        <w:div w:id="1659768225">
                          <w:marLeft w:val="0"/>
                          <w:marRight w:val="0"/>
                          <w:marTop w:val="0"/>
                          <w:marBottom w:val="0"/>
                          <w:divBdr>
                            <w:top w:val="none" w:sz="0" w:space="0" w:color="auto"/>
                            <w:left w:val="none" w:sz="0" w:space="0" w:color="auto"/>
                            <w:bottom w:val="none" w:sz="0" w:space="0" w:color="auto"/>
                            <w:right w:val="none" w:sz="0" w:space="0" w:color="auto"/>
                          </w:divBdr>
                          <w:divsChild>
                            <w:div w:id="913859570">
                              <w:marLeft w:val="0"/>
                              <w:marRight w:val="0"/>
                              <w:marTop w:val="0"/>
                              <w:marBottom w:val="0"/>
                              <w:divBdr>
                                <w:top w:val="none" w:sz="0" w:space="0" w:color="auto"/>
                                <w:left w:val="none" w:sz="0" w:space="0" w:color="auto"/>
                                <w:bottom w:val="none" w:sz="0" w:space="0" w:color="auto"/>
                                <w:right w:val="none" w:sz="0" w:space="0" w:color="auto"/>
                              </w:divBdr>
                              <w:divsChild>
                                <w:div w:id="278689298">
                                  <w:marLeft w:val="0"/>
                                  <w:marRight w:val="0"/>
                                  <w:marTop w:val="0"/>
                                  <w:marBottom w:val="0"/>
                                  <w:divBdr>
                                    <w:top w:val="none" w:sz="0" w:space="0" w:color="auto"/>
                                    <w:left w:val="none" w:sz="0" w:space="0" w:color="auto"/>
                                    <w:bottom w:val="none" w:sz="0" w:space="0" w:color="auto"/>
                                    <w:right w:val="none" w:sz="0" w:space="0" w:color="auto"/>
                                  </w:divBdr>
                                  <w:divsChild>
                                    <w:div w:id="2054305429">
                                      <w:marLeft w:val="0"/>
                                      <w:marRight w:val="0"/>
                                      <w:marTop w:val="0"/>
                                      <w:marBottom w:val="0"/>
                                      <w:divBdr>
                                        <w:top w:val="none" w:sz="0" w:space="0" w:color="auto"/>
                                        <w:left w:val="none" w:sz="0" w:space="0" w:color="auto"/>
                                        <w:bottom w:val="none" w:sz="0" w:space="0" w:color="auto"/>
                                        <w:right w:val="none" w:sz="0" w:space="0" w:color="auto"/>
                                      </w:divBdr>
                                      <w:divsChild>
                                        <w:div w:id="1122503620">
                                          <w:marLeft w:val="0"/>
                                          <w:marRight w:val="0"/>
                                          <w:marTop w:val="0"/>
                                          <w:marBottom w:val="0"/>
                                          <w:divBdr>
                                            <w:top w:val="none" w:sz="0" w:space="0" w:color="auto"/>
                                            <w:left w:val="none" w:sz="0" w:space="0" w:color="auto"/>
                                            <w:bottom w:val="none" w:sz="0" w:space="0" w:color="auto"/>
                                            <w:right w:val="none" w:sz="0" w:space="0" w:color="auto"/>
                                          </w:divBdr>
                                          <w:divsChild>
                                            <w:div w:id="1780098963">
                                              <w:marLeft w:val="0"/>
                                              <w:marRight w:val="0"/>
                                              <w:marTop w:val="0"/>
                                              <w:marBottom w:val="0"/>
                                              <w:divBdr>
                                                <w:top w:val="none" w:sz="0" w:space="0" w:color="auto"/>
                                                <w:left w:val="none" w:sz="0" w:space="0" w:color="auto"/>
                                                <w:bottom w:val="none" w:sz="0" w:space="0" w:color="auto"/>
                                                <w:right w:val="none" w:sz="0" w:space="0" w:color="auto"/>
                                              </w:divBdr>
                                              <w:divsChild>
                                                <w:div w:id="737216535">
                                                  <w:marLeft w:val="0"/>
                                                  <w:marRight w:val="0"/>
                                                  <w:marTop w:val="0"/>
                                                  <w:marBottom w:val="0"/>
                                                  <w:divBdr>
                                                    <w:top w:val="none" w:sz="0" w:space="0" w:color="auto"/>
                                                    <w:left w:val="none" w:sz="0" w:space="0" w:color="auto"/>
                                                    <w:bottom w:val="none" w:sz="0" w:space="0" w:color="auto"/>
                                                    <w:right w:val="none" w:sz="0" w:space="0" w:color="auto"/>
                                                  </w:divBdr>
                                                  <w:divsChild>
                                                    <w:div w:id="749354003">
                                                      <w:marLeft w:val="0"/>
                                                      <w:marRight w:val="0"/>
                                                      <w:marTop w:val="0"/>
                                                      <w:marBottom w:val="0"/>
                                                      <w:divBdr>
                                                        <w:top w:val="none" w:sz="0" w:space="0" w:color="auto"/>
                                                        <w:left w:val="none" w:sz="0" w:space="0" w:color="auto"/>
                                                        <w:bottom w:val="none" w:sz="0" w:space="0" w:color="auto"/>
                                                        <w:right w:val="none" w:sz="0" w:space="0" w:color="auto"/>
                                                      </w:divBdr>
                                                      <w:divsChild>
                                                        <w:div w:id="7587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434961">
          <w:marLeft w:val="0"/>
          <w:marRight w:val="0"/>
          <w:marTop w:val="0"/>
          <w:marBottom w:val="0"/>
          <w:divBdr>
            <w:top w:val="none" w:sz="0" w:space="0" w:color="auto"/>
            <w:left w:val="none" w:sz="0" w:space="0" w:color="auto"/>
            <w:bottom w:val="none" w:sz="0" w:space="0" w:color="auto"/>
            <w:right w:val="none" w:sz="0" w:space="0" w:color="auto"/>
          </w:divBdr>
          <w:divsChild>
            <w:div w:id="1477726112">
              <w:marLeft w:val="0"/>
              <w:marRight w:val="0"/>
              <w:marTop w:val="0"/>
              <w:marBottom w:val="0"/>
              <w:divBdr>
                <w:top w:val="none" w:sz="0" w:space="0" w:color="auto"/>
                <w:left w:val="none" w:sz="0" w:space="0" w:color="auto"/>
                <w:bottom w:val="none" w:sz="0" w:space="0" w:color="auto"/>
                <w:right w:val="none" w:sz="0" w:space="0" w:color="auto"/>
              </w:divBdr>
              <w:divsChild>
                <w:div w:id="630551529">
                  <w:marLeft w:val="0"/>
                  <w:marRight w:val="0"/>
                  <w:marTop w:val="0"/>
                  <w:marBottom w:val="0"/>
                  <w:divBdr>
                    <w:top w:val="none" w:sz="0" w:space="0" w:color="auto"/>
                    <w:left w:val="none" w:sz="0" w:space="0" w:color="auto"/>
                    <w:bottom w:val="none" w:sz="0" w:space="0" w:color="auto"/>
                    <w:right w:val="none" w:sz="0" w:space="0" w:color="auto"/>
                  </w:divBdr>
                  <w:divsChild>
                    <w:div w:id="423919195">
                      <w:marLeft w:val="0"/>
                      <w:marRight w:val="0"/>
                      <w:marTop w:val="0"/>
                      <w:marBottom w:val="0"/>
                      <w:divBdr>
                        <w:top w:val="none" w:sz="0" w:space="0" w:color="auto"/>
                        <w:left w:val="none" w:sz="0" w:space="0" w:color="auto"/>
                        <w:bottom w:val="none" w:sz="0" w:space="0" w:color="auto"/>
                        <w:right w:val="none" w:sz="0" w:space="0" w:color="auto"/>
                      </w:divBdr>
                      <w:divsChild>
                        <w:div w:id="1167095296">
                          <w:marLeft w:val="0"/>
                          <w:marRight w:val="0"/>
                          <w:marTop w:val="0"/>
                          <w:marBottom w:val="0"/>
                          <w:divBdr>
                            <w:top w:val="none" w:sz="0" w:space="0" w:color="auto"/>
                            <w:left w:val="none" w:sz="0" w:space="0" w:color="auto"/>
                            <w:bottom w:val="none" w:sz="0" w:space="0" w:color="auto"/>
                            <w:right w:val="none" w:sz="0" w:space="0" w:color="auto"/>
                          </w:divBdr>
                          <w:divsChild>
                            <w:div w:id="1974629439">
                              <w:marLeft w:val="0"/>
                              <w:marRight w:val="0"/>
                              <w:marTop w:val="0"/>
                              <w:marBottom w:val="0"/>
                              <w:divBdr>
                                <w:top w:val="none" w:sz="0" w:space="0" w:color="auto"/>
                                <w:left w:val="none" w:sz="0" w:space="0" w:color="auto"/>
                                <w:bottom w:val="none" w:sz="0" w:space="0" w:color="auto"/>
                                <w:right w:val="none" w:sz="0" w:space="0" w:color="auto"/>
                              </w:divBdr>
                              <w:divsChild>
                                <w:div w:id="393168090">
                                  <w:marLeft w:val="0"/>
                                  <w:marRight w:val="0"/>
                                  <w:marTop w:val="0"/>
                                  <w:marBottom w:val="0"/>
                                  <w:divBdr>
                                    <w:top w:val="none" w:sz="0" w:space="0" w:color="auto"/>
                                    <w:left w:val="none" w:sz="0" w:space="0" w:color="auto"/>
                                    <w:bottom w:val="none" w:sz="0" w:space="0" w:color="auto"/>
                                    <w:right w:val="none" w:sz="0" w:space="0" w:color="auto"/>
                                  </w:divBdr>
                                  <w:divsChild>
                                    <w:div w:id="1168445291">
                                      <w:marLeft w:val="0"/>
                                      <w:marRight w:val="0"/>
                                      <w:marTop w:val="0"/>
                                      <w:marBottom w:val="0"/>
                                      <w:divBdr>
                                        <w:top w:val="none" w:sz="0" w:space="0" w:color="auto"/>
                                        <w:left w:val="none" w:sz="0" w:space="0" w:color="auto"/>
                                        <w:bottom w:val="none" w:sz="0" w:space="0" w:color="auto"/>
                                        <w:right w:val="none" w:sz="0" w:space="0" w:color="auto"/>
                                      </w:divBdr>
                                      <w:divsChild>
                                        <w:div w:id="1107502541">
                                          <w:marLeft w:val="0"/>
                                          <w:marRight w:val="0"/>
                                          <w:marTop w:val="0"/>
                                          <w:marBottom w:val="0"/>
                                          <w:divBdr>
                                            <w:top w:val="none" w:sz="0" w:space="0" w:color="auto"/>
                                            <w:left w:val="none" w:sz="0" w:space="0" w:color="auto"/>
                                            <w:bottom w:val="none" w:sz="0" w:space="0" w:color="auto"/>
                                            <w:right w:val="none" w:sz="0" w:space="0" w:color="auto"/>
                                          </w:divBdr>
                                          <w:divsChild>
                                            <w:div w:id="2091612387">
                                              <w:marLeft w:val="0"/>
                                              <w:marRight w:val="0"/>
                                              <w:marTop w:val="0"/>
                                              <w:marBottom w:val="0"/>
                                              <w:divBdr>
                                                <w:top w:val="none" w:sz="0" w:space="0" w:color="auto"/>
                                                <w:left w:val="none" w:sz="0" w:space="0" w:color="auto"/>
                                                <w:bottom w:val="none" w:sz="0" w:space="0" w:color="auto"/>
                                                <w:right w:val="none" w:sz="0" w:space="0" w:color="auto"/>
                                              </w:divBdr>
                                              <w:divsChild>
                                                <w:div w:id="1960142291">
                                                  <w:marLeft w:val="0"/>
                                                  <w:marRight w:val="0"/>
                                                  <w:marTop w:val="0"/>
                                                  <w:marBottom w:val="0"/>
                                                  <w:divBdr>
                                                    <w:top w:val="none" w:sz="0" w:space="0" w:color="auto"/>
                                                    <w:left w:val="none" w:sz="0" w:space="0" w:color="auto"/>
                                                    <w:bottom w:val="none" w:sz="0" w:space="0" w:color="auto"/>
                                                    <w:right w:val="none" w:sz="0" w:space="0" w:color="auto"/>
                                                  </w:divBdr>
                                                  <w:divsChild>
                                                    <w:div w:id="735474349">
                                                      <w:marLeft w:val="0"/>
                                                      <w:marRight w:val="0"/>
                                                      <w:marTop w:val="0"/>
                                                      <w:marBottom w:val="0"/>
                                                      <w:divBdr>
                                                        <w:top w:val="none" w:sz="0" w:space="0" w:color="auto"/>
                                                        <w:left w:val="none" w:sz="0" w:space="0" w:color="auto"/>
                                                        <w:bottom w:val="none" w:sz="0" w:space="0" w:color="auto"/>
                                                        <w:right w:val="none" w:sz="0" w:space="0" w:color="auto"/>
                                                      </w:divBdr>
                                                      <w:divsChild>
                                                        <w:div w:id="190016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737232">
      <w:bodyDiv w:val="1"/>
      <w:marLeft w:val="0"/>
      <w:marRight w:val="0"/>
      <w:marTop w:val="0"/>
      <w:marBottom w:val="0"/>
      <w:divBdr>
        <w:top w:val="none" w:sz="0" w:space="0" w:color="auto"/>
        <w:left w:val="none" w:sz="0" w:space="0" w:color="auto"/>
        <w:bottom w:val="none" w:sz="0" w:space="0" w:color="auto"/>
        <w:right w:val="none" w:sz="0" w:space="0" w:color="auto"/>
      </w:divBdr>
      <w:divsChild>
        <w:div w:id="1758987988">
          <w:marLeft w:val="0"/>
          <w:marRight w:val="0"/>
          <w:marTop w:val="0"/>
          <w:marBottom w:val="0"/>
          <w:divBdr>
            <w:top w:val="none" w:sz="0" w:space="0" w:color="auto"/>
            <w:left w:val="none" w:sz="0" w:space="0" w:color="auto"/>
            <w:bottom w:val="none" w:sz="0" w:space="0" w:color="auto"/>
            <w:right w:val="none" w:sz="0" w:space="0" w:color="auto"/>
          </w:divBdr>
          <w:divsChild>
            <w:div w:id="149638509">
              <w:marLeft w:val="0"/>
              <w:marRight w:val="0"/>
              <w:marTop w:val="0"/>
              <w:marBottom w:val="0"/>
              <w:divBdr>
                <w:top w:val="none" w:sz="0" w:space="0" w:color="auto"/>
                <w:left w:val="none" w:sz="0" w:space="0" w:color="auto"/>
                <w:bottom w:val="none" w:sz="0" w:space="0" w:color="auto"/>
                <w:right w:val="none" w:sz="0" w:space="0" w:color="auto"/>
              </w:divBdr>
              <w:divsChild>
                <w:div w:id="1357461908">
                  <w:marLeft w:val="0"/>
                  <w:marRight w:val="0"/>
                  <w:marTop w:val="0"/>
                  <w:marBottom w:val="0"/>
                  <w:divBdr>
                    <w:top w:val="none" w:sz="0" w:space="0" w:color="auto"/>
                    <w:left w:val="none" w:sz="0" w:space="0" w:color="auto"/>
                    <w:bottom w:val="none" w:sz="0" w:space="0" w:color="auto"/>
                    <w:right w:val="none" w:sz="0" w:space="0" w:color="auto"/>
                  </w:divBdr>
                  <w:divsChild>
                    <w:div w:id="1646012251">
                      <w:marLeft w:val="0"/>
                      <w:marRight w:val="0"/>
                      <w:marTop w:val="0"/>
                      <w:marBottom w:val="0"/>
                      <w:divBdr>
                        <w:top w:val="none" w:sz="0" w:space="0" w:color="auto"/>
                        <w:left w:val="none" w:sz="0" w:space="0" w:color="auto"/>
                        <w:bottom w:val="none" w:sz="0" w:space="0" w:color="auto"/>
                        <w:right w:val="none" w:sz="0" w:space="0" w:color="auto"/>
                      </w:divBdr>
                      <w:divsChild>
                        <w:div w:id="1971740404">
                          <w:marLeft w:val="0"/>
                          <w:marRight w:val="0"/>
                          <w:marTop w:val="0"/>
                          <w:marBottom w:val="0"/>
                          <w:divBdr>
                            <w:top w:val="none" w:sz="0" w:space="0" w:color="auto"/>
                            <w:left w:val="none" w:sz="0" w:space="0" w:color="auto"/>
                            <w:bottom w:val="none" w:sz="0" w:space="0" w:color="auto"/>
                            <w:right w:val="none" w:sz="0" w:space="0" w:color="auto"/>
                          </w:divBdr>
                          <w:divsChild>
                            <w:div w:id="907806950">
                              <w:marLeft w:val="0"/>
                              <w:marRight w:val="0"/>
                              <w:marTop w:val="0"/>
                              <w:marBottom w:val="0"/>
                              <w:divBdr>
                                <w:top w:val="none" w:sz="0" w:space="0" w:color="auto"/>
                                <w:left w:val="none" w:sz="0" w:space="0" w:color="auto"/>
                                <w:bottom w:val="none" w:sz="0" w:space="0" w:color="auto"/>
                                <w:right w:val="none" w:sz="0" w:space="0" w:color="auto"/>
                              </w:divBdr>
                              <w:divsChild>
                                <w:div w:id="1553735547">
                                  <w:marLeft w:val="0"/>
                                  <w:marRight w:val="0"/>
                                  <w:marTop w:val="0"/>
                                  <w:marBottom w:val="0"/>
                                  <w:divBdr>
                                    <w:top w:val="none" w:sz="0" w:space="0" w:color="auto"/>
                                    <w:left w:val="none" w:sz="0" w:space="0" w:color="auto"/>
                                    <w:bottom w:val="none" w:sz="0" w:space="0" w:color="auto"/>
                                    <w:right w:val="none" w:sz="0" w:space="0" w:color="auto"/>
                                  </w:divBdr>
                                  <w:divsChild>
                                    <w:div w:id="1429960775">
                                      <w:marLeft w:val="0"/>
                                      <w:marRight w:val="0"/>
                                      <w:marTop w:val="0"/>
                                      <w:marBottom w:val="0"/>
                                      <w:divBdr>
                                        <w:top w:val="none" w:sz="0" w:space="0" w:color="auto"/>
                                        <w:left w:val="none" w:sz="0" w:space="0" w:color="auto"/>
                                        <w:bottom w:val="none" w:sz="0" w:space="0" w:color="auto"/>
                                        <w:right w:val="none" w:sz="0" w:space="0" w:color="auto"/>
                                      </w:divBdr>
                                      <w:divsChild>
                                        <w:div w:id="971248436">
                                          <w:marLeft w:val="0"/>
                                          <w:marRight w:val="0"/>
                                          <w:marTop w:val="0"/>
                                          <w:marBottom w:val="0"/>
                                          <w:divBdr>
                                            <w:top w:val="none" w:sz="0" w:space="0" w:color="auto"/>
                                            <w:left w:val="none" w:sz="0" w:space="0" w:color="auto"/>
                                            <w:bottom w:val="none" w:sz="0" w:space="0" w:color="auto"/>
                                            <w:right w:val="none" w:sz="0" w:space="0" w:color="auto"/>
                                          </w:divBdr>
                                          <w:divsChild>
                                            <w:div w:id="1432581753">
                                              <w:marLeft w:val="0"/>
                                              <w:marRight w:val="0"/>
                                              <w:marTop w:val="0"/>
                                              <w:marBottom w:val="0"/>
                                              <w:divBdr>
                                                <w:top w:val="none" w:sz="0" w:space="0" w:color="auto"/>
                                                <w:left w:val="none" w:sz="0" w:space="0" w:color="auto"/>
                                                <w:bottom w:val="none" w:sz="0" w:space="0" w:color="auto"/>
                                                <w:right w:val="none" w:sz="0" w:space="0" w:color="auto"/>
                                              </w:divBdr>
                                              <w:divsChild>
                                                <w:div w:id="1119179794">
                                                  <w:marLeft w:val="0"/>
                                                  <w:marRight w:val="0"/>
                                                  <w:marTop w:val="0"/>
                                                  <w:marBottom w:val="0"/>
                                                  <w:divBdr>
                                                    <w:top w:val="none" w:sz="0" w:space="0" w:color="auto"/>
                                                    <w:left w:val="none" w:sz="0" w:space="0" w:color="auto"/>
                                                    <w:bottom w:val="none" w:sz="0" w:space="0" w:color="auto"/>
                                                    <w:right w:val="none" w:sz="0" w:space="0" w:color="auto"/>
                                                  </w:divBdr>
                                                  <w:divsChild>
                                                    <w:div w:id="741173223">
                                                      <w:marLeft w:val="0"/>
                                                      <w:marRight w:val="0"/>
                                                      <w:marTop w:val="0"/>
                                                      <w:marBottom w:val="0"/>
                                                      <w:divBdr>
                                                        <w:top w:val="none" w:sz="0" w:space="0" w:color="auto"/>
                                                        <w:left w:val="none" w:sz="0" w:space="0" w:color="auto"/>
                                                        <w:bottom w:val="none" w:sz="0" w:space="0" w:color="auto"/>
                                                        <w:right w:val="none" w:sz="0" w:space="0" w:color="auto"/>
                                                      </w:divBdr>
                                                      <w:divsChild>
                                                        <w:div w:id="1706254811">
                                                          <w:marLeft w:val="0"/>
                                                          <w:marRight w:val="0"/>
                                                          <w:marTop w:val="0"/>
                                                          <w:marBottom w:val="0"/>
                                                          <w:divBdr>
                                                            <w:top w:val="none" w:sz="0" w:space="0" w:color="auto"/>
                                                            <w:left w:val="none" w:sz="0" w:space="0" w:color="auto"/>
                                                            <w:bottom w:val="none" w:sz="0" w:space="0" w:color="auto"/>
                                                            <w:right w:val="none" w:sz="0" w:space="0" w:color="auto"/>
                                                          </w:divBdr>
                                                          <w:divsChild>
                                                            <w:div w:id="1793790229">
                                                              <w:marLeft w:val="0"/>
                                                              <w:marRight w:val="0"/>
                                                              <w:marTop w:val="0"/>
                                                              <w:marBottom w:val="0"/>
                                                              <w:divBdr>
                                                                <w:top w:val="none" w:sz="0" w:space="0" w:color="auto"/>
                                                                <w:left w:val="none" w:sz="0" w:space="0" w:color="auto"/>
                                                                <w:bottom w:val="none" w:sz="0" w:space="0" w:color="auto"/>
                                                                <w:right w:val="none" w:sz="0" w:space="0" w:color="auto"/>
                                                              </w:divBdr>
                                                              <w:divsChild>
                                                                <w:div w:id="149643143">
                                                                  <w:marLeft w:val="0"/>
                                                                  <w:marRight w:val="0"/>
                                                                  <w:marTop w:val="0"/>
                                                                  <w:marBottom w:val="0"/>
                                                                  <w:divBdr>
                                                                    <w:top w:val="none" w:sz="0" w:space="0" w:color="auto"/>
                                                                    <w:left w:val="none" w:sz="0" w:space="0" w:color="auto"/>
                                                                    <w:bottom w:val="none" w:sz="0" w:space="0" w:color="auto"/>
                                                                    <w:right w:val="none" w:sz="0" w:space="0" w:color="auto"/>
                                                                  </w:divBdr>
                                                                  <w:divsChild>
                                                                    <w:div w:id="466624598">
                                                                      <w:marLeft w:val="0"/>
                                                                      <w:marRight w:val="0"/>
                                                                      <w:marTop w:val="0"/>
                                                                      <w:marBottom w:val="0"/>
                                                                      <w:divBdr>
                                                                        <w:top w:val="none" w:sz="0" w:space="0" w:color="auto"/>
                                                                        <w:left w:val="none" w:sz="0" w:space="0" w:color="auto"/>
                                                                        <w:bottom w:val="none" w:sz="0" w:space="0" w:color="auto"/>
                                                                        <w:right w:val="none" w:sz="0" w:space="0" w:color="auto"/>
                                                                      </w:divBdr>
                                                                      <w:divsChild>
                                                                        <w:div w:id="421101124">
                                                                          <w:marLeft w:val="0"/>
                                                                          <w:marRight w:val="0"/>
                                                                          <w:marTop w:val="0"/>
                                                                          <w:marBottom w:val="0"/>
                                                                          <w:divBdr>
                                                                            <w:top w:val="none" w:sz="0" w:space="0" w:color="auto"/>
                                                                            <w:left w:val="none" w:sz="0" w:space="0" w:color="auto"/>
                                                                            <w:bottom w:val="none" w:sz="0" w:space="0" w:color="auto"/>
                                                                            <w:right w:val="none" w:sz="0" w:space="0" w:color="auto"/>
                                                                          </w:divBdr>
                                                                          <w:divsChild>
                                                                            <w:div w:id="774247743">
                                                                              <w:marLeft w:val="0"/>
                                                                              <w:marRight w:val="0"/>
                                                                              <w:marTop w:val="0"/>
                                                                              <w:marBottom w:val="0"/>
                                                                              <w:divBdr>
                                                                                <w:top w:val="none" w:sz="0" w:space="0" w:color="auto"/>
                                                                                <w:left w:val="none" w:sz="0" w:space="0" w:color="auto"/>
                                                                                <w:bottom w:val="none" w:sz="0" w:space="0" w:color="auto"/>
                                                                                <w:right w:val="none" w:sz="0" w:space="0" w:color="auto"/>
                                                                              </w:divBdr>
                                                                              <w:divsChild>
                                                                                <w:div w:id="1445349732">
                                                                                  <w:marLeft w:val="0"/>
                                                                                  <w:marRight w:val="0"/>
                                                                                  <w:marTop w:val="0"/>
                                                                                  <w:marBottom w:val="0"/>
                                                                                  <w:divBdr>
                                                                                    <w:top w:val="none" w:sz="0" w:space="0" w:color="auto"/>
                                                                                    <w:left w:val="none" w:sz="0" w:space="0" w:color="auto"/>
                                                                                    <w:bottom w:val="none" w:sz="0" w:space="0" w:color="auto"/>
                                                                                    <w:right w:val="none" w:sz="0" w:space="0" w:color="auto"/>
                                                                                  </w:divBdr>
                                                                                  <w:divsChild>
                                                                                    <w:div w:id="1104039140">
                                                                                      <w:marLeft w:val="0"/>
                                                                                      <w:marRight w:val="0"/>
                                                                                      <w:marTop w:val="0"/>
                                                                                      <w:marBottom w:val="0"/>
                                                                                      <w:divBdr>
                                                                                        <w:top w:val="none" w:sz="0" w:space="0" w:color="auto"/>
                                                                                        <w:left w:val="none" w:sz="0" w:space="0" w:color="auto"/>
                                                                                        <w:bottom w:val="none" w:sz="0" w:space="0" w:color="auto"/>
                                                                                        <w:right w:val="none" w:sz="0" w:space="0" w:color="auto"/>
                                                                                      </w:divBdr>
                                                                                      <w:divsChild>
                                                                                        <w:div w:id="16895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085620">
                                          <w:marLeft w:val="0"/>
                                          <w:marRight w:val="0"/>
                                          <w:marTop w:val="0"/>
                                          <w:marBottom w:val="0"/>
                                          <w:divBdr>
                                            <w:top w:val="none" w:sz="0" w:space="0" w:color="auto"/>
                                            <w:left w:val="none" w:sz="0" w:space="0" w:color="auto"/>
                                            <w:bottom w:val="none" w:sz="0" w:space="0" w:color="auto"/>
                                            <w:right w:val="none" w:sz="0" w:space="0" w:color="auto"/>
                                          </w:divBdr>
                                          <w:divsChild>
                                            <w:div w:id="6314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2323216">
      <w:bodyDiv w:val="1"/>
      <w:marLeft w:val="0"/>
      <w:marRight w:val="0"/>
      <w:marTop w:val="0"/>
      <w:marBottom w:val="0"/>
      <w:divBdr>
        <w:top w:val="none" w:sz="0" w:space="0" w:color="auto"/>
        <w:left w:val="none" w:sz="0" w:space="0" w:color="auto"/>
        <w:bottom w:val="none" w:sz="0" w:space="0" w:color="auto"/>
        <w:right w:val="none" w:sz="0" w:space="0" w:color="auto"/>
      </w:divBdr>
      <w:divsChild>
        <w:div w:id="1250041691">
          <w:marLeft w:val="0"/>
          <w:marRight w:val="0"/>
          <w:marTop w:val="0"/>
          <w:marBottom w:val="0"/>
          <w:divBdr>
            <w:top w:val="none" w:sz="0" w:space="0" w:color="auto"/>
            <w:left w:val="none" w:sz="0" w:space="0" w:color="auto"/>
            <w:bottom w:val="none" w:sz="0" w:space="0" w:color="auto"/>
            <w:right w:val="none" w:sz="0" w:space="0" w:color="auto"/>
          </w:divBdr>
          <w:divsChild>
            <w:div w:id="1958757346">
              <w:marLeft w:val="0"/>
              <w:marRight w:val="0"/>
              <w:marTop w:val="0"/>
              <w:marBottom w:val="0"/>
              <w:divBdr>
                <w:top w:val="none" w:sz="0" w:space="0" w:color="auto"/>
                <w:left w:val="none" w:sz="0" w:space="0" w:color="auto"/>
                <w:bottom w:val="none" w:sz="0" w:space="0" w:color="auto"/>
                <w:right w:val="none" w:sz="0" w:space="0" w:color="auto"/>
              </w:divBdr>
              <w:divsChild>
                <w:div w:id="119610560">
                  <w:marLeft w:val="0"/>
                  <w:marRight w:val="0"/>
                  <w:marTop w:val="0"/>
                  <w:marBottom w:val="0"/>
                  <w:divBdr>
                    <w:top w:val="none" w:sz="0" w:space="0" w:color="auto"/>
                    <w:left w:val="none" w:sz="0" w:space="0" w:color="auto"/>
                    <w:bottom w:val="none" w:sz="0" w:space="0" w:color="auto"/>
                    <w:right w:val="none" w:sz="0" w:space="0" w:color="auto"/>
                  </w:divBdr>
                  <w:divsChild>
                    <w:div w:id="602150370">
                      <w:marLeft w:val="0"/>
                      <w:marRight w:val="0"/>
                      <w:marTop w:val="0"/>
                      <w:marBottom w:val="0"/>
                      <w:divBdr>
                        <w:top w:val="none" w:sz="0" w:space="0" w:color="auto"/>
                        <w:left w:val="none" w:sz="0" w:space="0" w:color="auto"/>
                        <w:bottom w:val="none" w:sz="0" w:space="0" w:color="auto"/>
                        <w:right w:val="none" w:sz="0" w:space="0" w:color="auto"/>
                      </w:divBdr>
                      <w:divsChild>
                        <w:div w:id="694582171">
                          <w:marLeft w:val="0"/>
                          <w:marRight w:val="0"/>
                          <w:marTop w:val="0"/>
                          <w:marBottom w:val="0"/>
                          <w:divBdr>
                            <w:top w:val="none" w:sz="0" w:space="0" w:color="auto"/>
                            <w:left w:val="none" w:sz="0" w:space="0" w:color="auto"/>
                            <w:bottom w:val="none" w:sz="0" w:space="0" w:color="auto"/>
                            <w:right w:val="none" w:sz="0" w:space="0" w:color="auto"/>
                          </w:divBdr>
                          <w:divsChild>
                            <w:div w:id="1496070799">
                              <w:marLeft w:val="0"/>
                              <w:marRight w:val="0"/>
                              <w:marTop w:val="0"/>
                              <w:marBottom w:val="0"/>
                              <w:divBdr>
                                <w:top w:val="none" w:sz="0" w:space="0" w:color="auto"/>
                                <w:left w:val="none" w:sz="0" w:space="0" w:color="auto"/>
                                <w:bottom w:val="none" w:sz="0" w:space="0" w:color="auto"/>
                                <w:right w:val="none" w:sz="0" w:space="0" w:color="auto"/>
                              </w:divBdr>
                              <w:divsChild>
                                <w:div w:id="1965498269">
                                  <w:marLeft w:val="0"/>
                                  <w:marRight w:val="0"/>
                                  <w:marTop w:val="0"/>
                                  <w:marBottom w:val="0"/>
                                  <w:divBdr>
                                    <w:top w:val="none" w:sz="0" w:space="0" w:color="auto"/>
                                    <w:left w:val="none" w:sz="0" w:space="0" w:color="auto"/>
                                    <w:bottom w:val="none" w:sz="0" w:space="0" w:color="auto"/>
                                    <w:right w:val="none" w:sz="0" w:space="0" w:color="auto"/>
                                  </w:divBdr>
                                  <w:divsChild>
                                    <w:div w:id="40979684">
                                      <w:marLeft w:val="0"/>
                                      <w:marRight w:val="0"/>
                                      <w:marTop w:val="0"/>
                                      <w:marBottom w:val="0"/>
                                      <w:divBdr>
                                        <w:top w:val="none" w:sz="0" w:space="0" w:color="auto"/>
                                        <w:left w:val="none" w:sz="0" w:space="0" w:color="auto"/>
                                        <w:bottom w:val="none" w:sz="0" w:space="0" w:color="auto"/>
                                        <w:right w:val="none" w:sz="0" w:space="0" w:color="auto"/>
                                      </w:divBdr>
                                      <w:divsChild>
                                        <w:div w:id="227498211">
                                          <w:marLeft w:val="0"/>
                                          <w:marRight w:val="0"/>
                                          <w:marTop w:val="0"/>
                                          <w:marBottom w:val="0"/>
                                          <w:divBdr>
                                            <w:top w:val="none" w:sz="0" w:space="0" w:color="auto"/>
                                            <w:left w:val="none" w:sz="0" w:space="0" w:color="auto"/>
                                            <w:bottom w:val="none" w:sz="0" w:space="0" w:color="auto"/>
                                            <w:right w:val="none" w:sz="0" w:space="0" w:color="auto"/>
                                          </w:divBdr>
                                          <w:divsChild>
                                            <w:div w:id="1718970863">
                                              <w:marLeft w:val="0"/>
                                              <w:marRight w:val="0"/>
                                              <w:marTop w:val="0"/>
                                              <w:marBottom w:val="0"/>
                                              <w:divBdr>
                                                <w:top w:val="none" w:sz="0" w:space="0" w:color="auto"/>
                                                <w:left w:val="none" w:sz="0" w:space="0" w:color="auto"/>
                                                <w:bottom w:val="none" w:sz="0" w:space="0" w:color="auto"/>
                                                <w:right w:val="none" w:sz="0" w:space="0" w:color="auto"/>
                                              </w:divBdr>
                                              <w:divsChild>
                                                <w:div w:id="1123621122">
                                                  <w:marLeft w:val="0"/>
                                                  <w:marRight w:val="0"/>
                                                  <w:marTop w:val="0"/>
                                                  <w:marBottom w:val="0"/>
                                                  <w:divBdr>
                                                    <w:top w:val="none" w:sz="0" w:space="0" w:color="auto"/>
                                                    <w:left w:val="none" w:sz="0" w:space="0" w:color="auto"/>
                                                    <w:bottom w:val="none" w:sz="0" w:space="0" w:color="auto"/>
                                                    <w:right w:val="none" w:sz="0" w:space="0" w:color="auto"/>
                                                  </w:divBdr>
                                                  <w:divsChild>
                                                    <w:div w:id="2062820273">
                                                      <w:marLeft w:val="0"/>
                                                      <w:marRight w:val="0"/>
                                                      <w:marTop w:val="0"/>
                                                      <w:marBottom w:val="0"/>
                                                      <w:divBdr>
                                                        <w:top w:val="none" w:sz="0" w:space="0" w:color="auto"/>
                                                        <w:left w:val="none" w:sz="0" w:space="0" w:color="auto"/>
                                                        <w:bottom w:val="none" w:sz="0" w:space="0" w:color="auto"/>
                                                        <w:right w:val="none" w:sz="0" w:space="0" w:color="auto"/>
                                                      </w:divBdr>
                                                      <w:divsChild>
                                                        <w:div w:id="1383603405">
                                                          <w:marLeft w:val="0"/>
                                                          <w:marRight w:val="0"/>
                                                          <w:marTop w:val="0"/>
                                                          <w:marBottom w:val="0"/>
                                                          <w:divBdr>
                                                            <w:top w:val="none" w:sz="0" w:space="0" w:color="auto"/>
                                                            <w:left w:val="none" w:sz="0" w:space="0" w:color="auto"/>
                                                            <w:bottom w:val="none" w:sz="0" w:space="0" w:color="auto"/>
                                                            <w:right w:val="none" w:sz="0" w:space="0" w:color="auto"/>
                                                          </w:divBdr>
                                                          <w:divsChild>
                                                            <w:div w:id="1513763422">
                                                              <w:marLeft w:val="0"/>
                                                              <w:marRight w:val="0"/>
                                                              <w:marTop w:val="0"/>
                                                              <w:marBottom w:val="0"/>
                                                              <w:divBdr>
                                                                <w:top w:val="none" w:sz="0" w:space="0" w:color="auto"/>
                                                                <w:left w:val="none" w:sz="0" w:space="0" w:color="auto"/>
                                                                <w:bottom w:val="none" w:sz="0" w:space="0" w:color="auto"/>
                                                                <w:right w:val="none" w:sz="0" w:space="0" w:color="auto"/>
                                                              </w:divBdr>
                                                              <w:divsChild>
                                                                <w:div w:id="543950731">
                                                                  <w:marLeft w:val="0"/>
                                                                  <w:marRight w:val="0"/>
                                                                  <w:marTop w:val="0"/>
                                                                  <w:marBottom w:val="0"/>
                                                                  <w:divBdr>
                                                                    <w:top w:val="none" w:sz="0" w:space="0" w:color="auto"/>
                                                                    <w:left w:val="none" w:sz="0" w:space="0" w:color="auto"/>
                                                                    <w:bottom w:val="none" w:sz="0" w:space="0" w:color="auto"/>
                                                                    <w:right w:val="none" w:sz="0" w:space="0" w:color="auto"/>
                                                                  </w:divBdr>
                                                                  <w:divsChild>
                                                                    <w:div w:id="684598609">
                                                                      <w:marLeft w:val="0"/>
                                                                      <w:marRight w:val="0"/>
                                                                      <w:marTop w:val="0"/>
                                                                      <w:marBottom w:val="0"/>
                                                                      <w:divBdr>
                                                                        <w:top w:val="none" w:sz="0" w:space="0" w:color="auto"/>
                                                                        <w:left w:val="none" w:sz="0" w:space="0" w:color="auto"/>
                                                                        <w:bottom w:val="none" w:sz="0" w:space="0" w:color="auto"/>
                                                                        <w:right w:val="none" w:sz="0" w:space="0" w:color="auto"/>
                                                                      </w:divBdr>
                                                                      <w:divsChild>
                                                                        <w:div w:id="226113748">
                                                                          <w:marLeft w:val="0"/>
                                                                          <w:marRight w:val="0"/>
                                                                          <w:marTop w:val="0"/>
                                                                          <w:marBottom w:val="0"/>
                                                                          <w:divBdr>
                                                                            <w:top w:val="none" w:sz="0" w:space="0" w:color="auto"/>
                                                                            <w:left w:val="none" w:sz="0" w:space="0" w:color="auto"/>
                                                                            <w:bottom w:val="none" w:sz="0" w:space="0" w:color="auto"/>
                                                                            <w:right w:val="none" w:sz="0" w:space="0" w:color="auto"/>
                                                                          </w:divBdr>
                                                                          <w:divsChild>
                                                                            <w:div w:id="407849402">
                                                                              <w:marLeft w:val="0"/>
                                                                              <w:marRight w:val="0"/>
                                                                              <w:marTop w:val="0"/>
                                                                              <w:marBottom w:val="0"/>
                                                                              <w:divBdr>
                                                                                <w:top w:val="none" w:sz="0" w:space="0" w:color="auto"/>
                                                                                <w:left w:val="none" w:sz="0" w:space="0" w:color="auto"/>
                                                                                <w:bottom w:val="none" w:sz="0" w:space="0" w:color="auto"/>
                                                                                <w:right w:val="none" w:sz="0" w:space="0" w:color="auto"/>
                                                                              </w:divBdr>
                                                                              <w:divsChild>
                                                                                <w:div w:id="1115054754">
                                                                                  <w:marLeft w:val="0"/>
                                                                                  <w:marRight w:val="0"/>
                                                                                  <w:marTop w:val="0"/>
                                                                                  <w:marBottom w:val="0"/>
                                                                                  <w:divBdr>
                                                                                    <w:top w:val="none" w:sz="0" w:space="0" w:color="auto"/>
                                                                                    <w:left w:val="none" w:sz="0" w:space="0" w:color="auto"/>
                                                                                    <w:bottom w:val="none" w:sz="0" w:space="0" w:color="auto"/>
                                                                                    <w:right w:val="none" w:sz="0" w:space="0" w:color="auto"/>
                                                                                  </w:divBdr>
                                                                                  <w:divsChild>
                                                                                    <w:div w:id="1286540250">
                                                                                      <w:marLeft w:val="0"/>
                                                                                      <w:marRight w:val="0"/>
                                                                                      <w:marTop w:val="0"/>
                                                                                      <w:marBottom w:val="0"/>
                                                                                      <w:divBdr>
                                                                                        <w:top w:val="none" w:sz="0" w:space="0" w:color="auto"/>
                                                                                        <w:left w:val="none" w:sz="0" w:space="0" w:color="auto"/>
                                                                                        <w:bottom w:val="none" w:sz="0" w:space="0" w:color="auto"/>
                                                                                        <w:right w:val="none" w:sz="0" w:space="0" w:color="auto"/>
                                                                                      </w:divBdr>
                                                                                      <w:divsChild>
                                                                                        <w:div w:id="15332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183702">
                                          <w:marLeft w:val="0"/>
                                          <w:marRight w:val="0"/>
                                          <w:marTop w:val="0"/>
                                          <w:marBottom w:val="0"/>
                                          <w:divBdr>
                                            <w:top w:val="none" w:sz="0" w:space="0" w:color="auto"/>
                                            <w:left w:val="none" w:sz="0" w:space="0" w:color="auto"/>
                                            <w:bottom w:val="none" w:sz="0" w:space="0" w:color="auto"/>
                                            <w:right w:val="none" w:sz="0" w:space="0" w:color="auto"/>
                                          </w:divBdr>
                                          <w:divsChild>
                                            <w:div w:id="14024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7172319">
      <w:bodyDiv w:val="1"/>
      <w:marLeft w:val="0"/>
      <w:marRight w:val="0"/>
      <w:marTop w:val="0"/>
      <w:marBottom w:val="0"/>
      <w:divBdr>
        <w:top w:val="none" w:sz="0" w:space="0" w:color="auto"/>
        <w:left w:val="none" w:sz="0" w:space="0" w:color="auto"/>
        <w:bottom w:val="none" w:sz="0" w:space="0" w:color="auto"/>
        <w:right w:val="none" w:sz="0" w:space="0" w:color="auto"/>
      </w:divBdr>
      <w:divsChild>
        <w:div w:id="957681508">
          <w:marLeft w:val="0"/>
          <w:marRight w:val="0"/>
          <w:marTop w:val="0"/>
          <w:marBottom w:val="0"/>
          <w:divBdr>
            <w:top w:val="none" w:sz="0" w:space="0" w:color="auto"/>
            <w:left w:val="none" w:sz="0" w:space="0" w:color="auto"/>
            <w:bottom w:val="none" w:sz="0" w:space="0" w:color="auto"/>
            <w:right w:val="none" w:sz="0" w:space="0" w:color="auto"/>
          </w:divBdr>
          <w:divsChild>
            <w:div w:id="959847674">
              <w:marLeft w:val="0"/>
              <w:marRight w:val="0"/>
              <w:marTop w:val="0"/>
              <w:marBottom w:val="0"/>
              <w:divBdr>
                <w:top w:val="none" w:sz="0" w:space="0" w:color="auto"/>
                <w:left w:val="none" w:sz="0" w:space="0" w:color="auto"/>
                <w:bottom w:val="none" w:sz="0" w:space="0" w:color="auto"/>
                <w:right w:val="none" w:sz="0" w:space="0" w:color="auto"/>
              </w:divBdr>
              <w:divsChild>
                <w:div w:id="180318204">
                  <w:marLeft w:val="0"/>
                  <w:marRight w:val="0"/>
                  <w:marTop w:val="0"/>
                  <w:marBottom w:val="0"/>
                  <w:divBdr>
                    <w:top w:val="none" w:sz="0" w:space="0" w:color="auto"/>
                    <w:left w:val="none" w:sz="0" w:space="0" w:color="auto"/>
                    <w:bottom w:val="none" w:sz="0" w:space="0" w:color="auto"/>
                    <w:right w:val="none" w:sz="0" w:space="0" w:color="auto"/>
                  </w:divBdr>
                  <w:divsChild>
                    <w:div w:id="1777171822">
                      <w:marLeft w:val="0"/>
                      <w:marRight w:val="0"/>
                      <w:marTop w:val="0"/>
                      <w:marBottom w:val="0"/>
                      <w:divBdr>
                        <w:top w:val="none" w:sz="0" w:space="0" w:color="auto"/>
                        <w:left w:val="none" w:sz="0" w:space="0" w:color="auto"/>
                        <w:bottom w:val="none" w:sz="0" w:space="0" w:color="auto"/>
                        <w:right w:val="none" w:sz="0" w:space="0" w:color="auto"/>
                      </w:divBdr>
                      <w:divsChild>
                        <w:div w:id="1623074875">
                          <w:marLeft w:val="0"/>
                          <w:marRight w:val="0"/>
                          <w:marTop w:val="0"/>
                          <w:marBottom w:val="0"/>
                          <w:divBdr>
                            <w:top w:val="none" w:sz="0" w:space="0" w:color="auto"/>
                            <w:left w:val="none" w:sz="0" w:space="0" w:color="auto"/>
                            <w:bottom w:val="none" w:sz="0" w:space="0" w:color="auto"/>
                            <w:right w:val="none" w:sz="0" w:space="0" w:color="auto"/>
                          </w:divBdr>
                          <w:divsChild>
                            <w:div w:id="1809321570">
                              <w:marLeft w:val="0"/>
                              <w:marRight w:val="0"/>
                              <w:marTop w:val="0"/>
                              <w:marBottom w:val="0"/>
                              <w:divBdr>
                                <w:top w:val="none" w:sz="0" w:space="0" w:color="auto"/>
                                <w:left w:val="none" w:sz="0" w:space="0" w:color="auto"/>
                                <w:bottom w:val="none" w:sz="0" w:space="0" w:color="auto"/>
                                <w:right w:val="none" w:sz="0" w:space="0" w:color="auto"/>
                              </w:divBdr>
                              <w:divsChild>
                                <w:div w:id="1707757863">
                                  <w:marLeft w:val="0"/>
                                  <w:marRight w:val="0"/>
                                  <w:marTop w:val="0"/>
                                  <w:marBottom w:val="0"/>
                                  <w:divBdr>
                                    <w:top w:val="none" w:sz="0" w:space="0" w:color="auto"/>
                                    <w:left w:val="none" w:sz="0" w:space="0" w:color="auto"/>
                                    <w:bottom w:val="none" w:sz="0" w:space="0" w:color="auto"/>
                                    <w:right w:val="none" w:sz="0" w:space="0" w:color="auto"/>
                                  </w:divBdr>
                                  <w:divsChild>
                                    <w:div w:id="453645479">
                                      <w:marLeft w:val="0"/>
                                      <w:marRight w:val="0"/>
                                      <w:marTop w:val="0"/>
                                      <w:marBottom w:val="0"/>
                                      <w:divBdr>
                                        <w:top w:val="none" w:sz="0" w:space="0" w:color="auto"/>
                                        <w:left w:val="none" w:sz="0" w:space="0" w:color="auto"/>
                                        <w:bottom w:val="none" w:sz="0" w:space="0" w:color="auto"/>
                                        <w:right w:val="none" w:sz="0" w:space="0" w:color="auto"/>
                                      </w:divBdr>
                                      <w:divsChild>
                                        <w:div w:id="1704553786">
                                          <w:marLeft w:val="0"/>
                                          <w:marRight w:val="0"/>
                                          <w:marTop w:val="0"/>
                                          <w:marBottom w:val="0"/>
                                          <w:divBdr>
                                            <w:top w:val="none" w:sz="0" w:space="0" w:color="auto"/>
                                            <w:left w:val="none" w:sz="0" w:space="0" w:color="auto"/>
                                            <w:bottom w:val="none" w:sz="0" w:space="0" w:color="auto"/>
                                            <w:right w:val="none" w:sz="0" w:space="0" w:color="auto"/>
                                          </w:divBdr>
                                          <w:divsChild>
                                            <w:div w:id="127013155">
                                              <w:marLeft w:val="0"/>
                                              <w:marRight w:val="0"/>
                                              <w:marTop w:val="0"/>
                                              <w:marBottom w:val="0"/>
                                              <w:divBdr>
                                                <w:top w:val="none" w:sz="0" w:space="0" w:color="auto"/>
                                                <w:left w:val="none" w:sz="0" w:space="0" w:color="auto"/>
                                                <w:bottom w:val="none" w:sz="0" w:space="0" w:color="auto"/>
                                                <w:right w:val="none" w:sz="0" w:space="0" w:color="auto"/>
                                              </w:divBdr>
                                              <w:divsChild>
                                                <w:div w:id="291642677">
                                                  <w:marLeft w:val="0"/>
                                                  <w:marRight w:val="0"/>
                                                  <w:marTop w:val="0"/>
                                                  <w:marBottom w:val="0"/>
                                                  <w:divBdr>
                                                    <w:top w:val="none" w:sz="0" w:space="0" w:color="auto"/>
                                                    <w:left w:val="none" w:sz="0" w:space="0" w:color="auto"/>
                                                    <w:bottom w:val="none" w:sz="0" w:space="0" w:color="auto"/>
                                                    <w:right w:val="none" w:sz="0" w:space="0" w:color="auto"/>
                                                  </w:divBdr>
                                                  <w:divsChild>
                                                    <w:div w:id="13651437">
                                                      <w:marLeft w:val="0"/>
                                                      <w:marRight w:val="0"/>
                                                      <w:marTop w:val="0"/>
                                                      <w:marBottom w:val="0"/>
                                                      <w:divBdr>
                                                        <w:top w:val="none" w:sz="0" w:space="0" w:color="auto"/>
                                                        <w:left w:val="none" w:sz="0" w:space="0" w:color="auto"/>
                                                        <w:bottom w:val="none" w:sz="0" w:space="0" w:color="auto"/>
                                                        <w:right w:val="none" w:sz="0" w:space="0" w:color="auto"/>
                                                      </w:divBdr>
                                                      <w:divsChild>
                                                        <w:div w:id="591281249">
                                                          <w:marLeft w:val="0"/>
                                                          <w:marRight w:val="0"/>
                                                          <w:marTop w:val="0"/>
                                                          <w:marBottom w:val="0"/>
                                                          <w:divBdr>
                                                            <w:top w:val="none" w:sz="0" w:space="0" w:color="auto"/>
                                                            <w:left w:val="none" w:sz="0" w:space="0" w:color="auto"/>
                                                            <w:bottom w:val="none" w:sz="0" w:space="0" w:color="auto"/>
                                                            <w:right w:val="none" w:sz="0" w:space="0" w:color="auto"/>
                                                          </w:divBdr>
                                                          <w:divsChild>
                                                            <w:div w:id="162207550">
                                                              <w:marLeft w:val="0"/>
                                                              <w:marRight w:val="0"/>
                                                              <w:marTop w:val="0"/>
                                                              <w:marBottom w:val="0"/>
                                                              <w:divBdr>
                                                                <w:top w:val="none" w:sz="0" w:space="0" w:color="auto"/>
                                                                <w:left w:val="none" w:sz="0" w:space="0" w:color="auto"/>
                                                                <w:bottom w:val="none" w:sz="0" w:space="0" w:color="auto"/>
                                                                <w:right w:val="none" w:sz="0" w:space="0" w:color="auto"/>
                                                              </w:divBdr>
                                                              <w:divsChild>
                                                                <w:div w:id="1906790743">
                                                                  <w:marLeft w:val="0"/>
                                                                  <w:marRight w:val="0"/>
                                                                  <w:marTop w:val="0"/>
                                                                  <w:marBottom w:val="0"/>
                                                                  <w:divBdr>
                                                                    <w:top w:val="none" w:sz="0" w:space="0" w:color="auto"/>
                                                                    <w:left w:val="none" w:sz="0" w:space="0" w:color="auto"/>
                                                                    <w:bottom w:val="none" w:sz="0" w:space="0" w:color="auto"/>
                                                                    <w:right w:val="none" w:sz="0" w:space="0" w:color="auto"/>
                                                                  </w:divBdr>
                                                                  <w:divsChild>
                                                                    <w:div w:id="2051875645">
                                                                      <w:marLeft w:val="0"/>
                                                                      <w:marRight w:val="0"/>
                                                                      <w:marTop w:val="0"/>
                                                                      <w:marBottom w:val="0"/>
                                                                      <w:divBdr>
                                                                        <w:top w:val="none" w:sz="0" w:space="0" w:color="auto"/>
                                                                        <w:left w:val="none" w:sz="0" w:space="0" w:color="auto"/>
                                                                        <w:bottom w:val="none" w:sz="0" w:space="0" w:color="auto"/>
                                                                        <w:right w:val="none" w:sz="0" w:space="0" w:color="auto"/>
                                                                      </w:divBdr>
                                                                      <w:divsChild>
                                                                        <w:div w:id="1434591608">
                                                                          <w:marLeft w:val="0"/>
                                                                          <w:marRight w:val="0"/>
                                                                          <w:marTop w:val="0"/>
                                                                          <w:marBottom w:val="0"/>
                                                                          <w:divBdr>
                                                                            <w:top w:val="none" w:sz="0" w:space="0" w:color="auto"/>
                                                                            <w:left w:val="none" w:sz="0" w:space="0" w:color="auto"/>
                                                                            <w:bottom w:val="none" w:sz="0" w:space="0" w:color="auto"/>
                                                                            <w:right w:val="none" w:sz="0" w:space="0" w:color="auto"/>
                                                                          </w:divBdr>
                                                                          <w:divsChild>
                                                                            <w:div w:id="1662851112">
                                                                              <w:marLeft w:val="0"/>
                                                                              <w:marRight w:val="0"/>
                                                                              <w:marTop w:val="0"/>
                                                                              <w:marBottom w:val="0"/>
                                                                              <w:divBdr>
                                                                                <w:top w:val="none" w:sz="0" w:space="0" w:color="auto"/>
                                                                                <w:left w:val="none" w:sz="0" w:space="0" w:color="auto"/>
                                                                                <w:bottom w:val="none" w:sz="0" w:space="0" w:color="auto"/>
                                                                                <w:right w:val="none" w:sz="0" w:space="0" w:color="auto"/>
                                                                              </w:divBdr>
                                                                              <w:divsChild>
                                                                                <w:div w:id="1395349956">
                                                                                  <w:marLeft w:val="0"/>
                                                                                  <w:marRight w:val="0"/>
                                                                                  <w:marTop w:val="0"/>
                                                                                  <w:marBottom w:val="0"/>
                                                                                  <w:divBdr>
                                                                                    <w:top w:val="none" w:sz="0" w:space="0" w:color="auto"/>
                                                                                    <w:left w:val="none" w:sz="0" w:space="0" w:color="auto"/>
                                                                                    <w:bottom w:val="none" w:sz="0" w:space="0" w:color="auto"/>
                                                                                    <w:right w:val="none" w:sz="0" w:space="0" w:color="auto"/>
                                                                                  </w:divBdr>
                                                                                  <w:divsChild>
                                                                                    <w:div w:id="66727204">
                                                                                      <w:marLeft w:val="0"/>
                                                                                      <w:marRight w:val="0"/>
                                                                                      <w:marTop w:val="0"/>
                                                                                      <w:marBottom w:val="0"/>
                                                                                      <w:divBdr>
                                                                                        <w:top w:val="none" w:sz="0" w:space="0" w:color="auto"/>
                                                                                        <w:left w:val="none" w:sz="0" w:space="0" w:color="auto"/>
                                                                                        <w:bottom w:val="none" w:sz="0" w:space="0" w:color="auto"/>
                                                                                        <w:right w:val="none" w:sz="0" w:space="0" w:color="auto"/>
                                                                                      </w:divBdr>
                                                                                      <w:divsChild>
                                                                                        <w:div w:id="3481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447">
                                          <w:marLeft w:val="0"/>
                                          <w:marRight w:val="0"/>
                                          <w:marTop w:val="0"/>
                                          <w:marBottom w:val="0"/>
                                          <w:divBdr>
                                            <w:top w:val="none" w:sz="0" w:space="0" w:color="auto"/>
                                            <w:left w:val="none" w:sz="0" w:space="0" w:color="auto"/>
                                            <w:bottom w:val="none" w:sz="0" w:space="0" w:color="auto"/>
                                            <w:right w:val="none" w:sz="0" w:space="0" w:color="auto"/>
                                          </w:divBdr>
                                          <w:divsChild>
                                            <w:div w:id="12257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238</Pages>
  <Words>19527</Words>
  <Characters>111307</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shanif</dc:creator>
  <cp:keywords/>
  <dc:description/>
  <cp:lastModifiedBy>muhammed shanif</cp:lastModifiedBy>
  <cp:revision>4</cp:revision>
  <dcterms:created xsi:type="dcterms:W3CDTF">2026-07-10T09:26:00Z</dcterms:created>
  <dcterms:modified xsi:type="dcterms:W3CDTF">2026-07-10T10:07:00Z</dcterms:modified>
</cp:coreProperties>
</file>