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8DFE2" w14:textId="63CA1198" w:rsidR="00DB767F" w:rsidRDefault="00DB767F" w:rsidP="00DB767F">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rPr>
      </w:pPr>
      <w:r w:rsidRPr="00DB767F">
        <w:rPr>
          <w:rFonts w:ascii="Times New Roman" w:eastAsia="Times New Roman" w:hAnsi="Times New Roman" w:cs="Times New Roman"/>
          <w:b/>
          <w:bCs/>
          <w:kern w:val="36"/>
          <w:sz w:val="48"/>
          <w:szCs w:val="48"/>
          <w:u w:val="single"/>
        </w:rPr>
        <w:t xml:space="preserve">Options </w:t>
      </w:r>
      <w:proofErr w:type="spellStart"/>
      <w:r w:rsidRPr="00DB767F">
        <w:rPr>
          <w:rFonts w:ascii="Times New Roman" w:eastAsia="Times New Roman" w:hAnsi="Times New Roman" w:cs="Times New Roman"/>
          <w:b/>
          <w:bCs/>
          <w:kern w:val="36"/>
          <w:sz w:val="48"/>
          <w:szCs w:val="48"/>
          <w:u w:val="single"/>
        </w:rPr>
        <w:t>Indicatos</w:t>
      </w:r>
      <w:proofErr w:type="spellEnd"/>
    </w:p>
    <w:p w14:paraId="5A11DB78" w14:textId="77777777" w:rsidR="00DB767F" w:rsidRPr="00DB767F" w:rsidRDefault="00DB767F" w:rsidP="00DB767F">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rPr>
      </w:pPr>
    </w:p>
    <w:p w14:paraId="60E1E17B" w14:textId="03CD6ADA"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DB767F">
        <w:rPr>
          <w:rFonts w:ascii="Times New Roman" w:eastAsia="Times New Roman" w:hAnsi="Times New Roman" w:cs="Times New Roman"/>
          <w:b/>
          <w:bCs/>
          <w:color w:val="FF0000"/>
          <w:kern w:val="36"/>
          <w:sz w:val="48"/>
          <w:szCs w:val="48"/>
        </w:rPr>
        <w:t>1. Total Call Open Interest</w:t>
      </w:r>
    </w:p>
    <w:p w14:paraId="54940AC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Module:</w:t>
      </w:r>
      <w:r w:rsidRPr="00DB767F">
        <w:rPr>
          <w:rFonts w:ascii="Times New Roman" w:eastAsia="Times New Roman" w:hAnsi="Times New Roman" w:cs="Times New Roman"/>
          <w:sz w:val="24"/>
          <w:szCs w:val="24"/>
        </w:rPr>
        <w:t xml:space="preserve"> Options</w:t>
      </w:r>
      <w:r w:rsidRPr="00DB767F">
        <w:rPr>
          <w:rFonts w:ascii="Times New Roman" w:eastAsia="Times New Roman" w:hAnsi="Times New Roman" w:cs="Times New Roman"/>
          <w:sz w:val="24"/>
          <w:szCs w:val="24"/>
        </w:rPr>
        <w:br/>
      </w:r>
      <w:r w:rsidRPr="00DB767F">
        <w:rPr>
          <w:rFonts w:ascii="Times New Roman" w:eastAsia="Times New Roman" w:hAnsi="Times New Roman" w:cs="Times New Roman"/>
          <w:b/>
          <w:bCs/>
          <w:sz w:val="24"/>
          <w:szCs w:val="24"/>
        </w:rPr>
        <w:t>Category:</w:t>
      </w:r>
      <w:r w:rsidRPr="00DB767F">
        <w:rPr>
          <w:rFonts w:ascii="Times New Roman" w:eastAsia="Times New Roman" w:hAnsi="Times New Roman" w:cs="Times New Roman"/>
          <w:sz w:val="24"/>
          <w:szCs w:val="24"/>
        </w:rPr>
        <w:t xml:space="preserve"> Open Interest</w:t>
      </w:r>
      <w:r w:rsidRPr="00DB767F">
        <w:rPr>
          <w:rFonts w:ascii="Times New Roman" w:eastAsia="Times New Roman" w:hAnsi="Times New Roman" w:cs="Times New Roman"/>
          <w:sz w:val="24"/>
          <w:szCs w:val="24"/>
        </w:rPr>
        <w:br/>
      </w:r>
      <w:r w:rsidRPr="00DB767F">
        <w:rPr>
          <w:rFonts w:ascii="Times New Roman" w:eastAsia="Times New Roman" w:hAnsi="Times New Roman" w:cs="Times New Roman"/>
          <w:b/>
          <w:bCs/>
          <w:sz w:val="24"/>
          <w:szCs w:val="24"/>
        </w:rPr>
        <w:t>Status:</w:t>
      </w:r>
      <w:r w:rsidRPr="00DB767F">
        <w:rPr>
          <w:rFonts w:ascii="Times New Roman" w:eastAsia="Times New Roman" w:hAnsi="Times New Roman" w:cs="Times New Roman"/>
          <w:sz w:val="24"/>
          <w:szCs w:val="24"/>
        </w:rPr>
        <w:t xml:space="preserve"> Production Ready</w:t>
      </w:r>
    </w:p>
    <w:p w14:paraId="4E6DEE4C" w14:textId="77777777" w:rsidR="00DB767F" w:rsidRPr="00DB767F" w:rsidRDefault="00DB767F" w:rsidP="00DB767F">
      <w:pPr>
        <w:spacing w:before="100" w:beforeAutospacing="1" w:after="100" w:afterAutospacing="1" w:line="240" w:lineRule="auto"/>
        <w:outlineLvl w:val="1"/>
        <w:rPr>
          <w:rFonts w:ascii="Times New Roman" w:eastAsia="Times New Roman" w:hAnsi="Times New Roman" w:cs="Times New Roman"/>
          <w:b/>
          <w:bCs/>
          <w:sz w:val="36"/>
          <w:szCs w:val="36"/>
        </w:rPr>
      </w:pPr>
      <w:r w:rsidRPr="00DB767F">
        <w:rPr>
          <w:rFonts w:ascii="Times New Roman" w:eastAsia="Times New Roman" w:hAnsi="Times New Roman" w:cs="Times New Roman"/>
          <w:b/>
          <w:bCs/>
          <w:sz w:val="36"/>
          <w:szCs w:val="36"/>
        </w:rPr>
        <w:t>1. Overview</w:t>
      </w:r>
    </w:p>
    <w:p w14:paraId="6A5BC56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Name:</w:t>
      </w:r>
      <w:r w:rsidRPr="00DB767F">
        <w:rPr>
          <w:rFonts w:ascii="Times New Roman" w:eastAsia="Times New Roman" w:hAnsi="Times New Roman" w:cs="Times New Roman"/>
          <w:sz w:val="24"/>
          <w:szCs w:val="24"/>
        </w:rPr>
        <w:t xml:space="preserve"> Total Call Open Interest</w:t>
      </w:r>
    </w:p>
    <w:p w14:paraId="5DB1F569"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Short Name:</w:t>
      </w:r>
      <w:r w:rsidRPr="00DB767F">
        <w:rPr>
          <w:rFonts w:ascii="Times New Roman" w:eastAsia="Times New Roman" w:hAnsi="Times New Roman" w:cs="Times New Roman"/>
          <w:sz w:val="24"/>
          <w:szCs w:val="24"/>
        </w:rPr>
        <w:t xml:space="preserve"> Call OI</w:t>
      </w:r>
    </w:p>
    <w:p w14:paraId="0F209EE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Module:</w:t>
      </w:r>
      <w:r w:rsidRPr="00DB767F">
        <w:rPr>
          <w:rFonts w:ascii="Times New Roman" w:eastAsia="Times New Roman" w:hAnsi="Times New Roman" w:cs="Times New Roman"/>
          <w:sz w:val="24"/>
          <w:szCs w:val="24"/>
        </w:rPr>
        <w:t xml:space="preserve"> Options</w:t>
      </w:r>
    </w:p>
    <w:p w14:paraId="717DC58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Category:</w:t>
      </w:r>
      <w:r w:rsidRPr="00DB767F">
        <w:rPr>
          <w:rFonts w:ascii="Times New Roman" w:eastAsia="Times New Roman" w:hAnsi="Times New Roman" w:cs="Times New Roman"/>
          <w:sz w:val="24"/>
          <w:szCs w:val="24"/>
        </w:rPr>
        <w:t xml:space="preserve"> Open Interest</w:t>
      </w:r>
    </w:p>
    <w:p w14:paraId="010EFD2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Purpose:</w:t>
      </w:r>
    </w:p>
    <w:p w14:paraId="3712441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Measures the total number of outstanding Call Option contracts across selected strikes. It helps identify potential resistance zones and institutional positioning in the options market.</w:t>
      </w:r>
    </w:p>
    <w:p w14:paraId="52CB036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Based On:</w:t>
      </w:r>
    </w:p>
    <w:p w14:paraId="514EF5B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Call Open Interest (OI)</w:t>
      </w:r>
    </w:p>
    <w:p w14:paraId="5D3633A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Importance:</w:t>
      </w:r>
    </w:p>
    <w:p w14:paraId="03680E9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Segoe UI Emoji" w:eastAsia="Times New Roman" w:hAnsi="Segoe UI Emoji" w:cs="Segoe UI Emoji"/>
          <w:sz w:val="24"/>
          <w:szCs w:val="24"/>
        </w:rPr>
        <w:t>⭐⭐⭐⭐⭐</w:t>
      </w:r>
      <w:r w:rsidRPr="00DB767F">
        <w:rPr>
          <w:rFonts w:ascii="Times New Roman" w:eastAsia="Times New Roman" w:hAnsi="Times New Roman" w:cs="Times New Roman"/>
          <w:sz w:val="24"/>
          <w:szCs w:val="24"/>
        </w:rPr>
        <w:t xml:space="preserve"> (Core Options Indicator)</w:t>
      </w:r>
    </w:p>
    <w:p w14:paraId="4A03B16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Auto / Manual:</w:t>
      </w:r>
    </w:p>
    <w:p w14:paraId="0AB9CFB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Auto</w:t>
      </w:r>
    </w:p>
    <w:p w14:paraId="1562F07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Update Frequency:</w:t>
      </w:r>
    </w:p>
    <w:p w14:paraId="0FAF82D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Every Option Chain Refresh (Market Hours)</w:t>
      </w:r>
    </w:p>
    <w:p w14:paraId="5B3B0669"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Praxis Note:</w:t>
      </w:r>
    </w:p>
    <w:p w14:paraId="0271CC9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lastRenderedPageBreak/>
        <w:t>High Call Open Interest generally indicates strong resistance levels where option writers expect the market to remain below. This indicator should always be analyzed together with Put Open Interest, OI Change, PCR, and Max Pain.</w:t>
      </w:r>
    </w:p>
    <w:p w14:paraId="62C2FD58"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7747C532">
          <v:rect id="_x0000_i1025" style="width:0;height:1.5pt" o:hralign="center" o:hrstd="t" o:hr="t" fillcolor="#a0a0a0" stroked="f"/>
        </w:pict>
      </w:r>
    </w:p>
    <w:p w14:paraId="6D7E0B29"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2. Data Requirements</w:t>
      </w:r>
    </w:p>
    <w:p w14:paraId="177F0DD9"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Required Data</w:t>
      </w:r>
    </w:p>
    <w:p w14:paraId="0042EB51" w14:textId="77777777" w:rsidR="00DB767F" w:rsidRPr="00DB767F" w:rsidRDefault="00DB767F" w:rsidP="00DB767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Strike Price </w:t>
      </w:r>
    </w:p>
    <w:p w14:paraId="224A3FB8" w14:textId="77777777" w:rsidR="00DB767F" w:rsidRPr="00DB767F" w:rsidRDefault="00DB767F" w:rsidP="00DB767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Call Open Interest </w:t>
      </w:r>
    </w:p>
    <w:p w14:paraId="157B3FA7" w14:textId="77777777" w:rsidR="00DB767F" w:rsidRPr="00DB767F" w:rsidRDefault="00DB767F" w:rsidP="00DB767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Spot Price </w:t>
      </w:r>
    </w:p>
    <w:p w14:paraId="3445A84F" w14:textId="77777777" w:rsidR="00DB767F" w:rsidRPr="00DB767F" w:rsidRDefault="00DB767F" w:rsidP="00DB767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Expiry Date </w:t>
      </w:r>
    </w:p>
    <w:p w14:paraId="6F56B2D7"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Minimum Historical Data</w:t>
      </w:r>
    </w:p>
    <w:p w14:paraId="6C17E1A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5 Trading Days</w:t>
      </w:r>
    </w:p>
    <w:p w14:paraId="6B37E3A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Recommended</w:t>
      </w:r>
    </w:p>
    <w:p w14:paraId="5A2696B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30 Trading Days</w:t>
      </w:r>
    </w:p>
    <w:p w14:paraId="1570410C"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Primary Source</w:t>
      </w:r>
    </w:p>
    <w:p w14:paraId="0E7C320B" w14:textId="77777777" w:rsidR="00DB767F" w:rsidRPr="00DB767F" w:rsidRDefault="00DB767F" w:rsidP="00DB767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NSE Option Chain </w:t>
      </w:r>
    </w:p>
    <w:p w14:paraId="4D988AD0" w14:textId="77777777" w:rsidR="00DB767F" w:rsidRPr="00DB767F" w:rsidRDefault="00DB767F" w:rsidP="00DB767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Upstox API </w:t>
      </w:r>
    </w:p>
    <w:p w14:paraId="70123DF4"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1764FE36">
          <v:rect id="_x0000_i1026" style="width:0;height:1.5pt" o:hralign="center" o:hrstd="t" o:hr="t" fillcolor="#a0a0a0" stroked="f"/>
        </w:pict>
      </w:r>
    </w:p>
    <w:p w14:paraId="06DFA52B"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3. Industry Standard Calculation</w:t>
      </w:r>
    </w:p>
    <w:p w14:paraId="4CD008E9"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Formula</w:t>
      </w:r>
    </w:p>
    <w:p w14:paraId="63F2A583" w14:textId="77777777" w:rsidR="00DB767F" w:rsidRPr="00DB767F" w:rsidRDefault="00DB767F" w:rsidP="00DB7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767F">
        <w:rPr>
          <w:rFonts w:ascii="Courier New" w:eastAsia="Times New Roman" w:hAnsi="Courier New" w:cs="Courier New"/>
          <w:sz w:val="20"/>
          <w:szCs w:val="20"/>
        </w:rPr>
        <w:t>Total Call Open Interest =</w:t>
      </w:r>
    </w:p>
    <w:p w14:paraId="6EC48EBE" w14:textId="77777777" w:rsidR="00DB767F" w:rsidRPr="00DB767F" w:rsidRDefault="00DB767F" w:rsidP="00DB7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B767F">
        <w:rPr>
          <w:rFonts w:ascii="Courier New" w:eastAsia="Times New Roman" w:hAnsi="Courier New" w:cs="Courier New"/>
          <w:sz w:val="20"/>
          <w:szCs w:val="20"/>
        </w:rPr>
        <w:t>Σ(</w:t>
      </w:r>
      <w:proofErr w:type="gramEnd"/>
      <w:r w:rsidRPr="00DB767F">
        <w:rPr>
          <w:rFonts w:ascii="Courier New" w:eastAsia="Times New Roman" w:hAnsi="Courier New" w:cs="Courier New"/>
          <w:sz w:val="20"/>
          <w:szCs w:val="20"/>
        </w:rPr>
        <w:t>Call Open Interest Across Selected Strikes)</w:t>
      </w:r>
    </w:p>
    <w:p w14:paraId="05A50E68"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Implementation Steps</w:t>
      </w:r>
    </w:p>
    <w:p w14:paraId="2826572B" w14:textId="77777777" w:rsidR="00DB767F" w:rsidRPr="00DB767F" w:rsidRDefault="00DB767F" w:rsidP="00DB767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Retrieve the latest option chain. </w:t>
      </w:r>
    </w:p>
    <w:p w14:paraId="61EAC69D" w14:textId="77777777" w:rsidR="00DB767F" w:rsidRPr="00DB767F" w:rsidRDefault="00DB767F" w:rsidP="00DB767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Sum Call Open Interest across all monitored strikes. </w:t>
      </w:r>
    </w:p>
    <w:p w14:paraId="06D26582" w14:textId="77777777" w:rsidR="00DB767F" w:rsidRPr="00DB767F" w:rsidRDefault="00DB767F" w:rsidP="00DB767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Identify the strike with the highest Call OI. </w:t>
      </w:r>
    </w:p>
    <w:p w14:paraId="508CD1FD" w14:textId="77777777" w:rsidR="00DB767F" w:rsidRPr="00DB767F" w:rsidRDefault="00DB767F" w:rsidP="00DB767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Compare with previous sessions. </w:t>
      </w:r>
    </w:p>
    <w:p w14:paraId="4560C5BB" w14:textId="77777777" w:rsidR="00DB767F" w:rsidRPr="00DB767F" w:rsidRDefault="00DB767F" w:rsidP="00DB767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Generate the Options Score. </w:t>
      </w:r>
    </w:p>
    <w:p w14:paraId="2C8E6336"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lastRenderedPageBreak/>
        <w:t>Notes</w:t>
      </w:r>
    </w:p>
    <w:p w14:paraId="6D80E502" w14:textId="77777777" w:rsidR="00DB767F" w:rsidRPr="00DB767F" w:rsidRDefault="00DB767F" w:rsidP="00DB767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Use the nearest weekly expiry by default. </w:t>
      </w:r>
    </w:p>
    <w:p w14:paraId="04DE6821" w14:textId="77777777" w:rsidR="00DB767F" w:rsidRPr="00DB767F" w:rsidRDefault="00DB767F" w:rsidP="00DB767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Switch to monthly expiry after weekly expiry. </w:t>
      </w:r>
    </w:p>
    <w:p w14:paraId="634D6AC4" w14:textId="77777777" w:rsidR="00DB767F" w:rsidRPr="00DB767F" w:rsidRDefault="00DB767F" w:rsidP="00DB767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Exclude expired contracts. </w:t>
      </w:r>
    </w:p>
    <w:p w14:paraId="2C05C48F" w14:textId="77777777" w:rsidR="00DB767F" w:rsidRPr="00DB767F" w:rsidRDefault="00DB767F" w:rsidP="00DB767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Follow NSE Option Chain methodology. </w:t>
      </w:r>
    </w:p>
    <w:p w14:paraId="7452763E"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18791897">
          <v:rect id="_x0000_i1027" style="width:0;height:1.5pt" o:hralign="center" o:hrstd="t" o:hr="t" fillcolor="#a0a0a0" stroked="f"/>
        </w:pict>
      </w:r>
    </w:p>
    <w:p w14:paraId="1A8F0FA1"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4. Card Fields</w:t>
      </w:r>
    </w:p>
    <w:p w14:paraId="7D57449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Current Value</w:t>
      </w:r>
    </w:p>
    <w:p w14:paraId="17EE478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Total Call Open Interest</w:t>
      </w:r>
    </w:p>
    <w:p w14:paraId="2B3B637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Highest OI Strike</w:t>
      </w:r>
    </w:p>
    <w:p w14:paraId="20634FA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Strike with Maximum Call OI</w:t>
      </w:r>
    </w:p>
    <w:p w14:paraId="1CF4875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Change</w:t>
      </w:r>
    </w:p>
    <w:p w14:paraId="6BF84F1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Day-over-Day Change</w:t>
      </w:r>
    </w:p>
    <w:p w14:paraId="2FFE502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Score</w:t>
      </w:r>
    </w:p>
    <w:p w14:paraId="4A56210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0–100</w:t>
      </w:r>
    </w:p>
    <w:p w14:paraId="653D7469"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Bias</w:t>
      </w:r>
    </w:p>
    <w:p w14:paraId="01A7D7CF" w14:textId="77777777" w:rsidR="00DB767F" w:rsidRPr="00DB767F" w:rsidRDefault="00DB767F" w:rsidP="00DB767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Bullish </w:t>
      </w:r>
    </w:p>
    <w:p w14:paraId="1F0ED6C0" w14:textId="77777777" w:rsidR="00DB767F" w:rsidRPr="00DB767F" w:rsidRDefault="00DB767F" w:rsidP="00DB767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Neutral </w:t>
      </w:r>
    </w:p>
    <w:p w14:paraId="17514039" w14:textId="77777777" w:rsidR="00DB767F" w:rsidRPr="00DB767F" w:rsidRDefault="00DB767F" w:rsidP="00DB767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Bearish </w:t>
      </w:r>
    </w:p>
    <w:p w14:paraId="231979B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Confidence</w:t>
      </w:r>
    </w:p>
    <w:p w14:paraId="235F9A7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Open Interest Confidence</w:t>
      </w:r>
    </w:p>
    <w:p w14:paraId="25B4B649"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Impact Weight</w:t>
      </w:r>
    </w:p>
    <w:p w14:paraId="20C1C67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High</w:t>
      </w:r>
    </w:p>
    <w:p w14:paraId="44E72D9D"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78B10A74">
          <v:rect id="_x0000_i1028" style="width:0;height:1.5pt" o:hralign="center" o:hrstd="t" o:hr="t" fillcolor="#a0a0a0" stroked="f"/>
        </w:pict>
      </w:r>
    </w:p>
    <w:p w14:paraId="73CDBD95"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8"/>
        <w:gridCol w:w="634"/>
        <w:gridCol w:w="1509"/>
      </w:tblGrid>
      <w:tr w:rsidR="00DB767F" w:rsidRPr="00DB767F" w14:paraId="035ECF3A" w14:textId="77777777" w:rsidTr="00DB767F">
        <w:trPr>
          <w:tblHeader/>
          <w:tblCellSpacing w:w="15" w:type="dxa"/>
        </w:trPr>
        <w:tc>
          <w:tcPr>
            <w:tcW w:w="0" w:type="auto"/>
            <w:vAlign w:val="center"/>
            <w:hideMark/>
          </w:tcPr>
          <w:p w14:paraId="36EEE1AF" w14:textId="77777777" w:rsidR="00DB767F" w:rsidRPr="00DB767F" w:rsidRDefault="00DB767F" w:rsidP="00DB767F">
            <w:pPr>
              <w:spacing w:after="0" w:line="240" w:lineRule="auto"/>
              <w:jc w:val="center"/>
              <w:rPr>
                <w:rFonts w:ascii="Times New Roman" w:eastAsia="Times New Roman" w:hAnsi="Times New Roman" w:cs="Times New Roman"/>
                <w:b/>
                <w:bCs/>
                <w:sz w:val="24"/>
                <w:szCs w:val="24"/>
              </w:rPr>
            </w:pPr>
            <w:r w:rsidRPr="00DB767F">
              <w:rPr>
                <w:rFonts w:ascii="Times New Roman" w:eastAsia="Times New Roman" w:hAnsi="Times New Roman" w:cs="Times New Roman"/>
                <w:b/>
                <w:bCs/>
                <w:sz w:val="24"/>
                <w:szCs w:val="24"/>
              </w:rPr>
              <w:lastRenderedPageBreak/>
              <w:t>Condition</w:t>
            </w:r>
          </w:p>
        </w:tc>
        <w:tc>
          <w:tcPr>
            <w:tcW w:w="0" w:type="auto"/>
            <w:vAlign w:val="center"/>
            <w:hideMark/>
          </w:tcPr>
          <w:p w14:paraId="0554C76D" w14:textId="77777777" w:rsidR="00DB767F" w:rsidRPr="00DB767F" w:rsidRDefault="00DB767F" w:rsidP="00DB767F">
            <w:pPr>
              <w:spacing w:after="0" w:line="240" w:lineRule="auto"/>
              <w:jc w:val="center"/>
              <w:rPr>
                <w:rFonts w:ascii="Times New Roman" w:eastAsia="Times New Roman" w:hAnsi="Times New Roman" w:cs="Times New Roman"/>
                <w:b/>
                <w:bCs/>
                <w:sz w:val="24"/>
                <w:szCs w:val="24"/>
              </w:rPr>
            </w:pPr>
            <w:r w:rsidRPr="00DB767F">
              <w:rPr>
                <w:rFonts w:ascii="Times New Roman" w:eastAsia="Times New Roman" w:hAnsi="Times New Roman" w:cs="Times New Roman"/>
                <w:b/>
                <w:bCs/>
                <w:sz w:val="24"/>
                <w:szCs w:val="24"/>
              </w:rPr>
              <w:t>Score</w:t>
            </w:r>
          </w:p>
        </w:tc>
        <w:tc>
          <w:tcPr>
            <w:tcW w:w="0" w:type="auto"/>
            <w:vAlign w:val="center"/>
            <w:hideMark/>
          </w:tcPr>
          <w:p w14:paraId="207353B3" w14:textId="77777777" w:rsidR="00DB767F" w:rsidRPr="00DB767F" w:rsidRDefault="00DB767F" w:rsidP="00DB767F">
            <w:pPr>
              <w:spacing w:after="0" w:line="240" w:lineRule="auto"/>
              <w:jc w:val="center"/>
              <w:rPr>
                <w:rFonts w:ascii="Times New Roman" w:eastAsia="Times New Roman" w:hAnsi="Times New Roman" w:cs="Times New Roman"/>
                <w:b/>
                <w:bCs/>
                <w:sz w:val="24"/>
                <w:szCs w:val="24"/>
              </w:rPr>
            </w:pPr>
            <w:r w:rsidRPr="00DB767F">
              <w:rPr>
                <w:rFonts w:ascii="Times New Roman" w:eastAsia="Times New Roman" w:hAnsi="Times New Roman" w:cs="Times New Roman"/>
                <w:b/>
                <w:bCs/>
                <w:sz w:val="24"/>
                <w:szCs w:val="24"/>
              </w:rPr>
              <w:t>Bias</w:t>
            </w:r>
          </w:p>
        </w:tc>
      </w:tr>
      <w:tr w:rsidR="00DB767F" w:rsidRPr="00DB767F" w14:paraId="27C97010" w14:textId="77777777" w:rsidTr="00DB767F">
        <w:trPr>
          <w:tblCellSpacing w:w="15" w:type="dxa"/>
        </w:trPr>
        <w:tc>
          <w:tcPr>
            <w:tcW w:w="0" w:type="auto"/>
            <w:vAlign w:val="center"/>
            <w:hideMark/>
          </w:tcPr>
          <w:p w14:paraId="67408556"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Low Call OI with Rising Market</w:t>
            </w:r>
          </w:p>
        </w:tc>
        <w:tc>
          <w:tcPr>
            <w:tcW w:w="0" w:type="auto"/>
            <w:vAlign w:val="center"/>
            <w:hideMark/>
          </w:tcPr>
          <w:p w14:paraId="314826F5"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90</w:t>
            </w:r>
          </w:p>
        </w:tc>
        <w:tc>
          <w:tcPr>
            <w:tcW w:w="0" w:type="auto"/>
            <w:vAlign w:val="center"/>
            <w:hideMark/>
          </w:tcPr>
          <w:p w14:paraId="380B625E"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Bullish</w:t>
            </w:r>
          </w:p>
        </w:tc>
      </w:tr>
      <w:tr w:rsidR="00DB767F" w:rsidRPr="00DB767F" w14:paraId="33228B73" w14:textId="77777777" w:rsidTr="00DB767F">
        <w:trPr>
          <w:tblCellSpacing w:w="15" w:type="dxa"/>
        </w:trPr>
        <w:tc>
          <w:tcPr>
            <w:tcW w:w="0" w:type="auto"/>
            <w:vAlign w:val="center"/>
            <w:hideMark/>
          </w:tcPr>
          <w:p w14:paraId="75DCED53"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Stable Call OI</w:t>
            </w:r>
          </w:p>
        </w:tc>
        <w:tc>
          <w:tcPr>
            <w:tcW w:w="0" w:type="auto"/>
            <w:vAlign w:val="center"/>
            <w:hideMark/>
          </w:tcPr>
          <w:p w14:paraId="37898F5A"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70</w:t>
            </w:r>
          </w:p>
        </w:tc>
        <w:tc>
          <w:tcPr>
            <w:tcW w:w="0" w:type="auto"/>
            <w:vAlign w:val="center"/>
            <w:hideMark/>
          </w:tcPr>
          <w:p w14:paraId="334D2F76"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Neutral</w:t>
            </w:r>
          </w:p>
        </w:tc>
      </w:tr>
      <w:tr w:rsidR="00DB767F" w:rsidRPr="00DB767F" w14:paraId="7704B164" w14:textId="77777777" w:rsidTr="00DB767F">
        <w:trPr>
          <w:tblCellSpacing w:w="15" w:type="dxa"/>
        </w:trPr>
        <w:tc>
          <w:tcPr>
            <w:tcW w:w="0" w:type="auto"/>
            <w:vAlign w:val="center"/>
            <w:hideMark/>
          </w:tcPr>
          <w:p w14:paraId="4F4C7C7D"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High Call OI Near Spot</w:t>
            </w:r>
          </w:p>
        </w:tc>
        <w:tc>
          <w:tcPr>
            <w:tcW w:w="0" w:type="auto"/>
            <w:vAlign w:val="center"/>
            <w:hideMark/>
          </w:tcPr>
          <w:p w14:paraId="4450ACB7"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40</w:t>
            </w:r>
          </w:p>
        </w:tc>
        <w:tc>
          <w:tcPr>
            <w:tcW w:w="0" w:type="auto"/>
            <w:vAlign w:val="center"/>
            <w:hideMark/>
          </w:tcPr>
          <w:p w14:paraId="65FEB222"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Bearish</w:t>
            </w:r>
          </w:p>
        </w:tc>
      </w:tr>
      <w:tr w:rsidR="00DB767F" w:rsidRPr="00DB767F" w14:paraId="1EA40905" w14:textId="77777777" w:rsidTr="00DB767F">
        <w:trPr>
          <w:tblCellSpacing w:w="15" w:type="dxa"/>
        </w:trPr>
        <w:tc>
          <w:tcPr>
            <w:tcW w:w="0" w:type="auto"/>
            <w:vAlign w:val="center"/>
            <w:hideMark/>
          </w:tcPr>
          <w:p w14:paraId="0A1650E1"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Heavy Call Writing at Resistance</w:t>
            </w:r>
          </w:p>
        </w:tc>
        <w:tc>
          <w:tcPr>
            <w:tcW w:w="0" w:type="auto"/>
            <w:vAlign w:val="center"/>
            <w:hideMark/>
          </w:tcPr>
          <w:p w14:paraId="15296B7B"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15</w:t>
            </w:r>
          </w:p>
        </w:tc>
        <w:tc>
          <w:tcPr>
            <w:tcW w:w="0" w:type="auto"/>
            <w:vAlign w:val="center"/>
            <w:hideMark/>
          </w:tcPr>
          <w:p w14:paraId="710D19CF"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Strong Bearish</w:t>
            </w:r>
          </w:p>
        </w:tc>
      </w:tr>
    </w:tbl>
    <w:p w14:paraId="15FAD12C"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Notes</w:t>
      </w:r>
    </w:p>
    <w:p w14:paraId="52373BFB" w14:textId="77777777" w:rsidR="00DB767F" w:rsidRPr="00DB767F" w:rsidRDefault="00DB767F" w:rsidP="00DB767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Heavy Call writing generally increases resistance. </w:t>
      </w:r>
    </w:p>
    <w:p w14:paraId="2C04F276" w14:textId="77777777" w:rsidR="00DB767F" w:rsidRPr="00DB767F" w:rsidRDefault="00DB767F" w:rsidP="00DB767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Rising price with falling Call OI strengthens bullish conviction. </w:t>
      </w:r>
    </w:p>
    <w:p w14:paraId="54D67062" w14:textId="77777777" w:rsidR="00DB767F" w:rsidRPr="00DB767F" w:rsidRDefault="00DB767F" w:rsidP="00DB767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Confirm with Put OI and OI Change before assigning a strong bias. </w:t>
      </w:r>
    </w:p>
    <w:p w14:paraId="41A23F6F"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3AEB0DC9">
          <v:rect id="_x0000_i1029" style="width:0;height:1.5pt" o:hralign="center" o:hrstd="t" o:hr="t" fillcolor="#a0a0a0" stroked="f"/>
        </w:pict>
      </w:r>
    </w:p>
    <w:p w14:paraId="08686B61"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6. Bias Rules</w:t>
      </w:r>
    </w:p>
    <w:p w14:paraId="28EC2AD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Low Call OI</w:t>
      </w:r>
    </w:p>
    <w:p w14:paraId="0734B30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Bullish</w:t>
      </w:r>
    </w:p>
    <w:p w14:paraId="0BC4F87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Balanced Call OI</w:t>
      </w:r>
    </w:p>
    <w:p w14:paraId="1E7D072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Neutral</w:t>
      </w:r>
    </w:p>
    <w:p w14:paraId="3D8780A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High Call OI</w:t>
      </w:r>
    </w:p>
    <w:p w14:paraId="125ECC8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Bearish</w:t>
      </w:r>
    </w:p>
    <w:p w14:paraId="59D90C5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Aggressive Call Writing</w:t>
      </w:r>
    </w:p>
    <w:p w14:paraId="76BA5EE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Strong Bearish</w:t>
      </w:r>
    </w:p>
    <w:p w14:paraId="66D6EDAC"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667CA56B">
          <v:rect id="_x0000_i1030" style="width:0;height:1.5pt" o:hralign="center" o:hrstd="t" o:hr="t" fillcolor="#a0a0a0" stroked="f"/>
        </w:pict>
      </w:r>
    </w:p>
    <w:p w14:paraId="5E68DD23"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7. Confidence Logic</w:t>
      </w:r>
    </w:p>
    <w:p w14:paraId="77F8790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Base Confidence</w:t>
      </w:r>
    </w:p>
    <w:p w14:paraId="12470DC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85%</w:t>
      </w:r>
    </w:p>
    <w:p w14:paraId="4AE87338"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Increase Confidence</w:t>
      </w:r>
    </w:p>
    <w:p w14:paraId="529902B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+5% High OI concentration</w:t>
      </w:r>
    </w:p>
    <w:p w14:paraId="5309D20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lastRenderedPageBreak/>
        <w:t>+5% Confirmation from PCR</w:t>
      </w:r>
    </w:p>
    <w:p w14:paraId="3ACAAB6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+5% Confirmation from Max Pain</w:t>
      </w:r>
    </w:p>
    <w:p w14:paraId="0C1DB6D5"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Decrease Confidence</w:t>
      </w:r>
    </w:p>
    <w:p w14:paraId="6AFBAFE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-10% Low market volume</w:t>
      </w:r>
    </w:p>
    <w:p w14:paraId="5497A59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-5% Incomplete option chain</w:t>
      </w:r>
    </w:p>
    <w:p w14:paraId="58B8F4D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-5% Expiry-day volatility</w:t>
      </w:r>
    </w:p>
    <w:p w14:paraId="4A94B0A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Minimum</w:t>
      </w:r>
    </w:p>
    <w:p w14:paraId="454A798C"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60%</w:t>
      </w:r>
    </w:p>
    <w:p w14:paraId="5525B92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Maximum</w:t>
      </w:r>
    </w:p>
    <w:p w14:paraId="233C664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98%</w:t>
      </w:r>
    </w:p>
    <w:p w14:paraId="5F2CA794"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56E2EC10">
          <v:rect id="_x0000_i1031" style="width:0;height:1.5pt" o:hralign="center" o:hrstd="t" o:hr="t" fillcolor="#a0a0a0" stroked="f"/>
        </w:pict>
      </w:r>
    </w:p>
    <w:p w14:paraId="4F25C749"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8. Score Range Bar</w:t>
      </w:r>
    </w:p>
    <w:p w14:paraId="775B1249"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Minimum</w:t>
      </w:r>
    </w:p>
    <w:p w14:paraId="7BD9616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0</w:t>
      </w:r>
    </w:p>
    <w:p w14:paraId="5D7A48A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Maximum</w:t>
      </w:r>
    </w:p>
    <w:p w14:paraId="37428E0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100</w:t>
      </w:r>
    </w:p>
    <w:p w14:paraId="0F4F8E7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Pointer</w:t>
      </w:r>
    </w:p>
    <w:p w14:paraId="7A184E1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Current Score</w:t>
      </w:r>
    </w:p>
    <w:p w14:paraId="11793F79"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Average Marker</w:t>
      </w:r>
    </w:p>
    <w:p w14:paraId="7384BA8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30-Day Average Score</w:t>
      </w:r>
    </w:p>
    <w:p w14:paraId="45F4C860"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Color Zones</w:t>
      </w:r>
    </w:p>
    <w:p w14:paraId="5AB7E41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0–30 → Strong Resistance</w:t>
      </w:r>
    </w:p>
    <w:p w14:paraId="5BB7133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30–60 → Moderate Resistance</w:t>
      </w:r>
    </w:p>
    <w:p w14:paraId="1967EC6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lastRenderedPageBreak/>
        <w:t>60–80 → Neutral</w:t>
      </w:r>
    </w:p>
    <w:p w14:paraId="42E6298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80–100 → Weak Resistance</w:t>
      </w:r>
    </w:p>
    <w:p w14:paraId="12D4EE27"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5A86F4C2">
          <v:rect id="_x0000_i1032" style="width:0;height:1.5pt" o:hralign="center" o:hrstd="t" o:hr="t" fillcolor="#a0a0a0" stroked="f"/>
        </w:pict>
      </w:r>
    </w:p>
    <w:p w14:paraId="0DC0FF2D"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9. Dual Trend Chart</w:t>
      </w:r>
    </w:p>
    <w:p w14:paraId="400A0CE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Chart Type</w:t>
      </w:r>
    </w:p>
    <w:p w14:paraId="5C9D020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Dual Line</w:t>
      </w:r>
    </w:p>
    <w:p w14:paraId="0E63D52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Line 1</w:t>
      </w:r>
    </w:p>
    <w:p w14:paraId="26F4463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Total Call Open Interest</w:t>
      </w:r>
    </w:p>
    <w:p w14:paraId="043706D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Line 2</w:t>
      </w:r>
    </w:p>
    <w:p w14:paraId="4E0E7C4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Praxis Score</w:t>
      </w:r>
    </w:p>
    <w:p w14:paraId="1CC1F07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History</w:t>
      </w:r>
    </w:p>
    <w:p w14:paraId="573365D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30 Trading Days</w:t>
      </w:r>
    </w:p>
    <w:p w14:paraId="69D7BE8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Update</w:t>
      </w:r>
    </w:p>
    <w:p w14:paraId="14B61D5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Every option chain refresh.</w:t>
      </w:r>
    </w:p>
    <w:p w14:paraId="298F43BB"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0668933E">
          <v:rect id="_x0000_i1033" style="width:0;height:1.5pt" o:hralign="center" o:hrstd="t" o:hr="t" fillcolor="#a0a0a0" stroked="f"/>
        </w:pict>
      </w:r>
    </w:p>
    <w:p w14:paraId="78262337"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10. AI Insight Rules</w:t>
      </w:r>
    </w:p>
    <w:p w14:paraId="6A21DD5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Heavy Call Writing</w:t>
      </w:r>
    </w:p>
    <w:p w14:paraId="3035C6F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Explain that option writers are building resistance near current price levels.</w:t>
      </w:r>
    </w:p>
    <w:p w14:paraId="1A1E186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Stable Call OI</w:t>
      </w:r>
    </w:p>
    <w:p w14:paraId="0F9B86E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Explain that resistance remains relatively unchanged.</w:t>
      </w:r>
    </w:p>
    <w:p w14:paraId="5C942BE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Declining Call OI</w:t>
      </w:r>
    </w:p>
    <w:p w14:paraId="3B6630A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Explain that resistance is weakening as Call writers unwind positions.</w:t>
      </w:r>
    </w:p>
    <w:p w14:paraId="5A64BBA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lastRenderedPageBreak/>
        <w:t>Sharp Increase in Call OI</w:t>
      </w:r>
    </w:p>
    <w:p w14:paraId="657EBDD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Explain that fresh Call writing indicates increasing resistance expectations.</w:t>
      </w:r>
    </w:p>
    <w:p w14:paraId="4A46D832"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74E5600D">
          <v:rect id="_x0000_i1034" style="width:0;height:1.5pt" o:hralign="center" o:hrstd="t" o:hr="t" fillcolor="#a0a0a0" stroked="f"/>
        </w:pict>
      </w:r>
    </w:p>
    <w:p w14:paraId="1AE0DB3F"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11. Why It Matters</w:t>
      </w:r>
    </w:p>
    <w:p w14:paraId="3F47B4A3" w14:textId="77777777" w:rsidR="00DB767F" w:rsidRPr="00DB767F" w:rsidRDefault="00DB767F" w:rsidP="00DB767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Identifies potential resistance zones. </w:t>
      </w:r>
    </w:p>
    <w:p w14:paraId="3CE9A642" w14:textId="77777777" w:rsidR="00DB767F" w:rsidRPr="00DB767F" w:rsidRDefault="00DB767F" w:rsidP="00DB767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Tracks institutional option writing. </w:t>
      </w:r>
    </w:p>
    <w:p w14:paraId="6A9C1208" w14:textId="77777777" w:rsidR="00DB767F" w:rsidRPr="00DB767F" w:rsidRDefault="00DB767F" w:rsidP="00DB767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Measures market positioning. </w:t>
      </w:r>
    </w:p>
    <w:p w14:paraId="006CB7DE" w14:textId="77777777" w:rsidR="00DB767F" w:rsidRPr="00DB767F" w:rsidRDefault="00DB767F" w:rsidP="00DB767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Confirms trend strength. </w:t>
      </w:r>
    </w:p>
    <w:p w14:paraId="65D675E5" w14:textId="77777777" w:rsidR="00DB767F" w:rsidRPr="00DB767F" w:rsidRDefault="00DB767F" w:rsidP="00DB767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Supports options-based market analysis. </w:t>
      </w:r>
    </w:p>
    <w:p w14:paraId="6F75BF83"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1EA2CB36">
          <v:rect id="_x0000_i1035" style="width:0;height:1.5pt" o:hralign="center" o:hrstd="t" o:hr="t" fillcolor="#a0a0a0" stroked="f"/>
        </w:pict>
      </w:r>
    </w:p>
    <w:p w14:paraId="1340EA6C"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12. Trading Impact</w:t>
      </w:r>
    </w:p>
    <w:p w14:paraId="3C6DDF0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Intraday</w:t>
      </w:r>
    </w:p>
    <w:p w14:paraId="5E11759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Segoe UI Symbol" w:eastAsia="Times New Roman" w:hAnsi="Segoe UI Symbol" w:cs="Segoe UI Symbol"/>
          <w:sz w:val="24"/>
          <w:szCs w:val="24"/>
        </w:rPr>
        <w:t>★★★★☆</w:t>
      </w:r>
    </w:p>
    <w:p w14:paraId="5EDA0E1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Swing Trading</w:t>
      </w:r>
    </w:p>
    <w:p w14:paraId="6E5B13B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Segoe UI Symbol" w:eastAsia="Times New Roman" w:hAnsi="Segoe UI Symbol" w:cs="Segoe UI Symbol"/>
          <w:sz w:val="24"/>
          <w:szCs w:val="24"/>
        </w:rPr>
        <w:t>★★★★☆</w:t>
      </w:r>
    </w:p>
    <w:p w14:paraId="3711513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Positional Trading</w:t>
      </w:r>
    </w:p>
    <w:p w14:paraId="2E667CA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Segoe UI Symbol" w:eastAsia="Times New Roman" w:hAnsi="Segoe UI Symbol" w:cs="Segoe UI Symbol"/>
          <w:sz w:val="24"/>
          <w:szCs w:val="24"/>
        </w:rPr>
        <w:t>★★★☆☆</w:t>
      </w:r>
    </w:p>
    <w:p w14:paraId="2CCA122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Options Trading</w:t>
      </w:r>
    </w:p>
    <w:p w14:paraId="5F272E1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Segoe UI Symbol" w:eastAsia="Times New Roman" w:hAnsi="Segoe UI Symbol" w:cs="Segoe UI Symbol"/>
          <w:sz w:val="24"/>
          <w:szCs w:val="24"/>
        </w:rPr>
        <w:t>★★★★★</w:t>
      </w:r>
    </w:p>
    <w:p w14:paraId="7D1F427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Best Use</w:t>
      </w:r>
    </w:p>
    <w:p w14:paraId="334534C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Identifying resistance and institutional positioning.</w:t>
      </w:r>
    </w:p>
    <w:p w14:paraId="0106B20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Avoid Using Alone</w:t>
      </w:r>
    </w:p>
    <w:p w14:paraId="78E77F9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Yes</w:t>
      </w:r>
    </w:p>
    <w:p w14:paraId="6415C826"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665A8D17">
          <v:rect id="_x0000_i1036" style="width:0;height:1.5pt" o:hralign="center" o:hrstd="t" o:hr="t" fillcolor="#a0a0a0" stroked="f"/>
        </w:pict>
      </w:r>
    </w:p>
    <w:p w14:paraId="32AC4388"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lastRenderedPageBreak/>
        <w:t>13. Supporting Indicators</w:t>
      </w:r>
    </w:p>
    <w:p w14:paraId="15A77733" w14:textId="77777777" w:rsidR="00DB767F" w:rsidRPr="00DB767F" w:rsidRDefault="00DB767F" w:rsidP="00DB767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Total Put Open Interest </w:t>
      </w:r>
    </w:p>
    <w:p w14:paraId="54949B3F" w14:textId="77777777" w:rsidR="00DB767F" w:rsidRPr="00DB767F" w:rsidRDefault="00DB767F" w:rsidP="00DB767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OI Change </w:t>
      </w:r>
    </w:p>
    <w:p w14:paraId="641490CF" w14:textId="77777777" w:rsidR="00DB767F" w:rsidRPr="00DB767F" w:rsidRDefault="00DB767F" w:rsidP="00DB767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PCR (OI) </w:t>
      </w:r>
    </w:p>
    <w:p w14:paraId="040435A3" w14:textId="77777777" w:rsidR="00DB767F" w:rsidRPr="00DB767F" w:rsidRDefault="00DB767F" w:rsidP="00DB767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Max Pain </w:t>
      </w:r>
    </w:p>
    <w:p w14:paraId="308A58ED" w14:textId="77777777" w:rsidR="00DB767F" w:rsidRPr="00DB767F" w:rsidRDefault="00DB767F" w:rsidP="00DB767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ATM IV </w:t>
      </w:r>
    </w:p>
    <w:p w14:paraId="4682441B"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3AE38738">
          <v:rect id="_x0000_i1037" style="width:0;height:1.5pt" o:hralign="center" o:hrstd="t" o:hr="t" fillcolor="#a0a0a0" stroked="f"/>
        </w:pict>
      </w:r>
    </w:p>
    <w:p w14:paraId="0E7B88A4"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14. Metadata</w:t>
      </w:r>
    </w:p>
    <w:p w14:paraId="3435C45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Source</w:t>
      </w:r>
    </w:p>
    <w:p w14:paraId="0DB9D90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NSE Option Chain / Upstox API</w:t>
      </w:r>
    </w:p>
    <w:p w14:paraId="2DC7CDD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Calculation</w:t>
      </w:r>
    </w:p>
    <w:p w14:paraId="652F907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Backend</w:t>
      </w:r>
    </w:p>
    <w:p w14:paraId="6CC5C7E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Updated</w:t>
      </w:r>
    </w:p>
    <w:p w14:paraId="7A93866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Every Option Chain Refresh</w:t>
      </w:r>
    </w:p>
    <w:p w14:paraId="0897ACA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proofErr w:type="spellStart"/>
      <w:r w:rsidRPr="00DB767F">
        <w:rPr>
          <w:rFonts w:ascii="Times New Roman" w:eastAsia="Times New Roman" w:hAnsi="Times New Roman" w:cs="Times New Roman"/>
          <w:b/>
          <w:bCs/>
          <w:sz w:val="24"/>
          <w:szCs w:val="24"/>
        </w:rPr>
        <w:t>Timezone</w:t>
      </w:r>
      <w:proofErr w:type="spellEnd"/>
    </w:p>
    <w:p w14:paraId="3DC6718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Asia/Kolkata</w:t>
      </w:r>
    </w:p>
    <w:p w14:paraId="00FE4E7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Storage</w:t>
      </w:r>
    </w:p>
    <w:p w14:paraId="3714FFD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Local Electron Database</w:t>
      </w:r>
    </w:p>
    <w:p w14:paraId="3BA71E44"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45C73D58">
          <v:rect id="_x0000_i1038" style="width:0;height:1.5pt" o:hralign="center" o:hrstd="t" o:hr="t" fillcolor="#a0a0a0" stroked="f"/>
        </w:pict>
      </w:r>
    </w:p>
    <w:p w14:paraId="1540E921"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15. Developer Notes</w:t>
      </w:r>
    </w:p>
    <w:p w14:paraId="763C42F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Store:</w:t>
      </w:r>
    </w:p>
    <w:p w14:paraId="00E215D7" w14:textId="77777777" w:rsidR="00DB767F" w:rsidRPr="00DB767F" w:rsidRDefault="00DB767F" w:rsidP="00DB767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Total Call OI </w:t>
      </w:r>
    </w:p>
    <w:p w14:paraId="7C6C8263" w14:textId="77777777" w:rsidR="00DB767F" w:rsidRPr="00DB767F" w:rsidRDefault="00DB767F" w:rsidP="00DB767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Highest Call OI Strike </w:t>
      </w:r>
    </w:p>
    <w:p w14:paraId="69D31363" w14:textId="77777777" w:rsidR="00DB767F" w:rsidRPr="00DB767F" w:rsidRDefault="00DB767F" w:rsidP="00DB767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Historical Call OI </w:t>
      </w:r>
    </w:p>
    <w:p w14:paraId="619BB945" w14:textId="77777777" w:rsidR="00DB767F" w:rsidRPr="00DB767F" w:rsidRDefault="00DB767F" w:rsidP="00DB767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Current Score </w:t>
      </w:r>
    </w:p>
    <w:p w14:paraId="2E1F7305" w14:textId="77777777" w:rsidR="00DB767F" w:rsidRPr="00DB767F" w:rsidRDefault="00DB767F" w:rsidP="00DB767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Confidence </w:t>
      </w:r>
    </w:p>
    <w:p w14:paraId="078C5053" w14:textId="77777777" w:rsidR="00DB767F" w:rsidRPr="00DB767F" w:rsidRDefault="00DB767F" w:rsidP="00DB767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lastRenderedPageBreak/>
        <w:t xml:space="preserve">Last Updated </w:t>
      </w:r>
    </w:p>
    <w:p w14:paraId="2CF23AE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Refresh automatically with each option chain update. Cache historical values for trend analysis and identify major resistance shifts over time.</w:t>
      </w:r>
    </w:p>
    <w:p w14:paraId="63CA4C9D"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0789362F">
          <v:rect id="_x0000_i1039" style="width:0;height:1.5pt" o:hralign="center" o:hrstd="t" o:hr="t" fillcolor="#a0a0a0" stroked="f"/>
        </w:pict>
      </w:r>
    </w:p>
    <w:p w14:paraId="62EA12AD"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 xml:space="preserve">16. Praxis Engine Integration </w:t>
      </w:r>
      <w:r w:rsidRPr="00DB767F">
        <w:rPr>
          <w:rFonts w:ascii="Segoe UI Emoji" w:eastAsia="Times New Roman" w:hAnsi="Segoe UI Emoji" w:cs="Segoe UI Emoji"/>
          <w:b/>
          <w:bCs/>
          <w:kern w:val="36"/>
          <w:sz w:val="48"/>
          <w:szCs w:val="48"/>
        </w:rPr>
        <w:t>⭐</w:t>
      </w:r>
    </w:p>
    <w:p w14:paraId="48DB696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Engine Weight</w:t>
      </w:r>
    </w:p>
    <w:p w14:paraId="2467D6E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Configurable</w:t>
      </w:r>
    </w:p>
    <w:p w14:paraId="3EAD56F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Relative Importance</w:t>
      </w:r>
    </w:p>
    <w:p w14:paraId="1AEEB1F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High</w:t>
      </w:r>
    </w:p>
    <w:p w14:paraId="522D9E2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Decision Engine Role</w:t>
      </w:r>
    </w:p>
    <w:p w14:paraId="3B19271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Resistance &amp; Institutional Positioning Assessment</w:t>
      </w:r>
    </w:p>
    <w:p w14:paraId="4EFC9C6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Primary Use</w:t>
      </w:r>
    </w:p>
    <w:p w14:paraId="4C09047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Measure resistance strength based on Call Open Interest concentration.</w:t>
      </w:r>
    </w:p>
    <w:p w14:paraId="10FD3C6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Bullish Confirmation</w:t>
      </w:r>
    </w:p>
    <w:p w14:paraId="5E02CF7F" w14:textId="77777777" w:rsidR="00DB767F" w:rsidRPr="00DB767F" w:rsidRDefault="00DB767F" w:rsidP="00DB767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Declining Call OI </w:t>
      </w:r>
    </w:p>
    <w:p w14:paraId="2CDF2F0D" w14:textId="77777777" w:rsidR="00DB767F" w:rsidRPr="00DB767F" w:rsidRDefault="00DB767F" w:rsidP="00DB767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Rising Put OI </w:t>
      </w:r>
    </w:p>
    <w:p w14:paraId="091CDF7E" w14:textId="77777777" w:rsidR="00DB767F" w:rsidRPr="00DB767F" w:rsidRDefault="00DB767F" w:rsidP="00DB767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Bullish PCR </w:t>
      </w:r>
    </w:p>
    <w:p w14:paraId="33B6891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Bearish Confirmation</w:t>
      </w:r>
    </w:p>
    <w:p w14:paraId="7CB6FB0B" w14:textId="77777777" w:rsidR="00DB767F" w:rsidRPr="00DB767F" w:rsidRDefault="00DB767F" w:rsidP="00DB767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Heavy Call Writing </w:t>
      </w:r>
    </w:p>
    <w:p w14:paraId="12C9C937" w14:textId="77777777" w:rsidR="00DB767F" w:rsidRPr="00DB767F" w:rsidRDefault="00DB767F" w:rsidP="00DB767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Rising Call OI </w:t>
      </w:r>
    </w:p>
    <w:p w14:paraId="6238EBF7" w14:textId="77777777" w:rsidR="00DB767F" w:rsidRPr="00DB767F" w:rsidRDefault="00DB767F" w:rsidP="00DB767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Bearish PCR </w:t>
      </w:r>
    </w:p>
    <w:p w14:paraId="3CC14A4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Display Priority</w:t>
      </w:r>
    </w:p>
    <w:p w14:paraId="5E4B870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High</w:t>
      </w:r>
    </w:p>
    <w:p w14:paraId="12889780"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35F05B0D">
          <v:rect id="_x0000_i1040" style="width:0;height:1.5pt" o:hralign="center" o:hrstd="t" o:hr="t" fillcolor="#a0a0a0" stroked="f"/>
        </w:pict>
      </w:r>
    </w:p>
    <w:p w14:paraId="7B2A0FD3" w14:textId="77777777" w:rsidR="00A5115D" w:rsidRDefault="00A5115D"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D28CF8F" w14:textId="4FBC0574"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lastRenderedPageBreak/>
        <w:t>17. Praxis Recommendation</w:t>
      </w:r>
    </w:p>
    <w:p w14:paraId="41AF746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Total Call Open Interest should serve as the </w:t>
      </w:r>
      <w:r w:rsidRPr="00DB767F">
        <w:rPr>
          <w:rFonts w:ascii="Times New Roman" w:eastAsia="Times New Roman" w:hAnsi="Times New Roman" w:cs="Times New Roman"/>
          <w:b/>
          <w:bCs/>
          <w:sz w:val="24"/>
          <w:szCs w:val="24"/>
        </w:rPr>
        <w:t>primary resistance indicator</w:t>
      </w:r>
      <w:r w:rsidRPr="00DB767F">
        <w:rPr>
          <w:rFonts w:ascii="Times New Roman" w:eastAsia="Times New Roman" w:hAnsi="Times New Roman" w:cs="Times New Roman"/>
          <w:sz w:val="24"/>
          <w:szCs w:val="24"/>
        </w:rPr>
        <w:t xml:space="preserve"> within the Open Interest category.</w:t>
      </w:r>
    </w:p>
    <w:p w14:paraId="0312140D"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Open Interest Hierarchy</w:t>
      </w:r>
    </w:p>
    <w:p w14:paraId="6797EEC4" w14:textId="77777777" w:rsidR="00DB767F" w:rsidRPr="00DB767F" w:rsidRDefault="00DB767F" w:rsidP="00DB767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B767F">
        <w:rPr>
          <w:rFonts w:ascii="Segoe UI Emoji" w:eastAsia="Times New Roman" w:hAnsi="Segoe UI Emoji" w:cs="Segoe UI Emoji"/>
          <w:sz w:val="24"/>
          <w:szCs w:val="24"/>
        </w:rPr>
        <w:t>⭐⭐⭐⭐⭐</w:t>
      </w:r>
      <w:r w:rsidRPr="00DB767F">
        <w:rPr>
          <w:rFonts w:ascii="Times New Roman" w:eastAsia="Times New Roman" w:hAnsi="Times New Roman" w:cs="Times New Roman"/>
          <w:sz w:val="24"/>
          <w:szCs w:val="24"/>
        </w:rPr>
        <w:t xml:space="preserve"> Total Call Open Interest </w:t>
      </w:r>
    </w:p>
    <w:p w14:paraId="4AAFD050" w14:textId="77777777" w:rsidR="00DB767F" w:rsidRPr="00DB767F" w:rsidRDefault="00DB767F" w:rsidP="00DB767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B767F">
        <w:rPr>
          <w:rFonts w:ascii="Segoe UI Emoji" w:eastAsia="Times New Roman" w:hAnsi="Segoe UI Emoji" w:cs="Segoe UI Emoji"/>
          <w:sz w:val="24"/>
          <w:szCs w:val="24"/>
        </w:rPr>
        <w:t>⭐⭐⭐⭐⭐</w:t>
      </w:r>
      <w:r w:rsidRPr="00DB767F">
        <w:rPr>
          <w:rFonts w:ascii="Times New Roman" w:eastAsia="Times New Roman" w:hAnsi="Times New Roman" w:cs="Times New Roman"/>
          <w:sz w:val="24"/>
          <w:szCs w:val="24"/>
        </w:rPr>
        <w:t xml:space="preserve"> Total Put Open Interest </w:t>
      </w:r>
    </w:p>
    <w:p w14:paraId="55D76840" w14:textId="77777777" w:rsidR="00DB767F" w:rsidRPr="00DB767F" w:rsidRDefault="00DB767F" w:rsidP="00DB767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B767F">
        <w:rPr>
          <w:rFonts w:ascii="Segoe UI Emoji" w:eastAsia="Times New Roman" w:hAnsi="Segoe UI Emoji" w:cs="Segoe UI Emoji"/>
          <w:sz w:val="24"/>
          <w:szCs w:val="24"/>
        </w:rPr>
        <w:t>⭐⭐⭐⭐</w:t>
      </w:r>
      <w:r w:rsidRPr="00DB767F">
        <w:rPr>
          <w:rFonts w:ascii="Segoe UI Symbol" w:eastAsia="Times New Roman" w:hAnsi="Segoe UI Symbol" w:cs="Segoe UI Symbol"/>
          <w:sz w:val="24"/>
          <w:szCs w:val="24"/>
        </w:rPr>
        <w:t>☆</w:t>
      </w:r>
      <w:r w:rsidRPr="00DB767F">
        <w:rPr>
          <w:rFonts w:ascii="Times New Roman" w:eastAsia="Times New Roman" w:hAnsi="Times New Roman" w:cs="Times New Roman"/>
          <w:sz w:val="24"/>
          <w:szCs w:val="24"/>
        </w:rPr>
        <w:t xml:space="preserve"> OI Change </w:t>
      </w:r>
    </w:p>
    <w:p w14:paraId="43C73B43"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Engine Rules</w:t>
      </w:r>
    </w:p>
    <w:p w14:paraId="4D395547" w14:textId="77777777" w:rsidR="00DB767F" w:rsidRPr="00DB767F" w:rsidRDefault="00DB767F" w:rsidP="00DB767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Increasing Call OI near the current spot price → Strengthen Resistance Score. </w:t>
      </w:r>
    </w:p>
    <w:p w14:paraId="2B8959C3" w14:textId="77777777" w:rsidR="00DB767F" w:rsidRPr="00DB767F" w:rsidRDefault="00DB767F" w:rsidP="00DB767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Falling Call OI with rising prices → Increase Bullish Options Score. </w:t>
      </w:r>
    </w:p>
    <w:p w14:paraId="4F4566EE" w14:textId="77777777" w:rsidR="00DB767F" w:rsidRPr="00DB767F" w:rsidRDefault="00DB767F" w:rsidP="00DB767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Heavy Call Writing confirmed by PCR and Max Pain → Increase bearish conviction. </w:t>
      </w:r>
    </w:p>
    <w:p w14:paraId="348A912D" w14:textId="17AE05F2" w:rsidR="00DB767F" w:rsidRDefault="00DB767F" w:rsidP="00DB767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Always evaluate Call OI together with Put OI and OI Change before generating the final Options Score.</w:t>
      </w:r>
    </w:p>
    <w:p w14:paraId="0A26C4CC" w14:textId="0C587C36"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39A1DCA3" w14:textId="119A3BD3"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64F5C2A0" w14:textId="43385E13"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647DD298" w14:textId="4A050D4D"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3EDC1505" w14:textId="1C1F36B0"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7481B78E" w14:textId="2F6BB694"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52480622" w14:textId="3020334C"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5E5CC87E" w14:textId="28847A78"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7D5B0842" w14:textId="2858D4CC"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72E863A8" w14:textId="58442428"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492C03BF" w14:textId="77777777" w:rsidR="00A5115D" w:rsidRPr="00DB767F"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47E788BF" w14:textId="7A1D6FF8" w:rsidR="00307831" w:rsidRDefault="00307831"/>
    <w:p w14:paraId="1B67D7DF"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DB767F">
        <w:rPr>
          <w:rFonts w:ascii="Times New Roman" w:eastAsia="Times New Roman" w:hAnsi="Times New Roman" w:cs="Times New Roman"/>
          <w:b/>
          <w:bCs/>
          <w:color w:val="FF0000"/>
          <w:kern w:val="36"/>
          <w:sz w:val="48"/>
          <w:szCs w:val="48"/>
        </w:rPr>
        <w:lastRenderedPageBreak/>
        <w:t>2. Total Put Open Interest</w:t>
      </w:r>
    </w:p>
    <w:p w14:paraId="79D14F5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Module:</w:t>
      </w:r>
      <w:r w:rsidRPr="00DB767F">
        <w:rPr>
          <w:rFonts w:ascii="Times New Roman" w:eastAsia="Times New Roman" w:hAnsi="Times New Roman" w:cs="Times New Roman"/>
          <w:sz w:val="24"/>
          <w:szCs w:val="24"/>
        </w:rPr>
        <w:t xml:space="preserve"> Options</w:t>
      </w:r>
      <w:r w:rsidRPr="00DB767F">
        <w:rPr>
          <w:rFonts w:ascii="Times New Roman" w:eastAsia="Times New Roman" w:hAnsi="Times New Roman" w:cs="Times New Roman"/>
          <w:sz w:val="24"/>
          <w:szCs w:val="24"/>
        </w:rPr>
        <w:br/>
      </w:r>
      <w:r w:rsidRPr="00DB767F">
        <w:rPr>
          <w:rFonts w:ascii="Times New Roman" w:eastAsia="Times New Roman" w:hAnsi="Times New Roman" w:cs="Times New Roman"/>
          <w:b/>
          <w:bCs/>
          <w:sz w:val="24"/>
          <w:szCs w:val="24"/>
        </w:rPr>
        <w:t>Category:</w:t>
      </w:r>
      <w:r w:rsidRPr="00DB767F">
        <w:rPr>
          <w:rFonts w:ascii="Times New Roman" w:eastAsia="Times New Roman" w:hAnsi="Times New Roman" w:cs="Times New Roman"/>
          <w:sz w:val="24"/>
          <w:szCs w:val="24"/>
        </w:rPr>
        <w:t xml:space="preserve"> Open Interest</w:t>
      </w:r>
      <w:r w:rsidRPr="00DB767F">
        <w:rPr>
          <w:rFonts w:ascii="Times New Roman" w:eastAsia="Times New Roman" w:hAnsi="Times New Roman" w:cs="Times New Roman"/>
          <w:sz w:val="24"/>
          <w:szCs w:val="24"/>
        </w:rPr>
        <w:br/>
      </w:r>
      <w:r w:rsidRPr="00DB767F">
        <w:rPr>
          <w:rFonts w:ascii="Times New Roman" w:eastAsia="Times New Roman" w:hAnsi="Times New Roman" w:cs="Times New Roman"/>
          <w:b/>
          <w:bCs/>
          <w:sz w:val="24"/>
          <w:szCs w:val="24"/>
        </w:rPr>
        <w:t>Status:</w:t>
      </w:r>
      <w:r w:rsidRPr="00DB767F">
        <w:rPr>
          <w:rFonts w:ascii="Times New Roman" w:eastAsia="Times New Roman" w:hAnsi="Times New Roman" w:cs="Times New Roman"/>
          <w:sz w:val="24"/>
          <w:szCs w:val="24"/>
        </w:rPr>
        <w:t xml:space="preserve"> Production Ready</w:t>
      </w:r>
    </w:p>
    <w:p w14:paraId="6DDEB352" w14:textId="77777777" w:rsidR="00DB767F" w:rsidRPr="00DB767F" w:rsidRDefault="00DB767F" w:rsidP="00DB767F">
      <w:pPr>
        <w:spacing w:before="100" w:beforeAutospacing="1" w:after="100" w:afterAutospacing="1" w:line="240" w:lineRule="auto"/>
        <w:outlineLvl w:val="1"/>
        <w:rPr>
          <w:rFonts w:ascii="Times New Roman" w:eastAsia="Times New Roman" w:hAnsi="Times New Roman" w:cs="Times New Roman"/>
          <w:b/>
          <w:bCs/>
          <w:sz w:val="36"/>
          <w:szCs w:val="36"/>
        </w:rPr>
      </w:pPr>
      <w:r w:rsidRPr="00DB767F">
        <w:rPr>
          <w:rFonts w:ascii="Times New Roman" w:eastAsia="Times New Roman" w:hAnsi="Times New Roman" w:cs="Times New Roman"/>
          <w:b/>
          <w:bCs/>
          <w:sz w:val="36"/>
          <w:szCs w:val="36"/>
        </w:rPr>
        <w:t>1. Overview</w:t>
      </w:r>
    </w:p>
    <w:p w14:paraId="1392397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Name:</w:t>
      </w:r>
      <w:r w:rsidRPr="00DB767F">
        <w:rPr>
          <w:rFonts w:ascii="Times New Roman" w:eastAsia="Times New Roman" w:hAnsi="Times New Roman" w:cs="Times New Roman"/>
          <w:sz w:val="24"/>
          <w:szCs w:val="24"/>
        </w:rPr>
        <w:t xml:space="preserve"> Total Put Open Interest</w:t>
      </w:r>
    </w:p>
    <w:p w14:paraId="6BB35AA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Short Name:</w:t>
      </w:r>
      <w:r w:rsidRPr="00DB767F">
        <w:rPr>
          <w:rFonts w:ascii="Times New Roman" w:eastAsia="Times New Roman" w:hAnsi="Times New Roman" w:cs="Times New Roman"/>
          <w:sz w:val="24"/>
          <w:szCs w:val="24"/>
        </w:rPr>
        <w:t xml:space="preserve"> Put OI</w:t>
      </w:r>
    </w:p>
    <w:p w14:paraId="5AA8A88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Module:</w:t>
      </w:r>
      <w:r w:rsidRPr="00DB767F">
        <w:rPr>
          <w:rFonts w:ascii="Times New Roman" w:eastAsia="Times New Roman" w:hAnsi="Times New Roman" w:cs="Times New Roman"/>
          <w:sz w:val="24"/>
          <w:szCs w:val="24"/>
        </w:rPr>
        <w:t xml:space="preserve"> Options</w:t>
      </w:r>
    </w:p>
    <w:p w14:paraId="13554AC9"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Category:</w:t>
      </w:r>
      <w:r w:rsidRPr="00DB767F">
        <w:rPr>
          <w:rFonts w:ascii="Times New Roman" w:eastAsia="Times New Roman" w:hAnsi="Times New Roman" w:cs="Times New Roman"/>
          <w:sz w:val="24"/>
          <w:szCs w:val="24"/>
        </w:rPr>
        <w:t xml:space="preserve"> Open Interest</w:t>
      </w:r>
    </w:p>
    <w:p w14:paraId="4A22C66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Purpose:</w:t>
      </w:r>
    </w:p>
    <w:p w14:paraId="33223EE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Measures the total number of outstanding Put Option contracts across selected strikes. It helps identify potential support zones and institutional positioning in the options market.</w:t>
      </w:r>
    </w:p>
    <w:p w14:paraId="43D3E37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Based On:</w:t>
      </w:r>
    </w:p>
    <w:p w14:paraId="32C9DA8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Put Open Interest (OI)</w:t>
      </w:r>
    </w:p>
    <w:p w14:paraId="04D1D49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Importance:</w:t>
      </w:r>
    </w:p>
    <w:p w14:paraId="00D4C939"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Segoe UI Emoji" w:eastAsia="Times New Roman" w:hAnsi="Segoe UI Emoji" w:cs="Segoe UI Emoji"/>
          <w:sz w:val="24"/>
          <w:szCs w:val="24"/>
        </w:rPr>
        <w:t>⭐⭐⭐⭐⭐</w:t>
      </w:r>
      <w:r w:rsidRPr="00DB767F">
        <w:rPr>
          <w:rFonts w:ascii="Times New Roman" w:eastAsia="Times New Roman" w:hAnsi="Times New Roman" w:cs="Times New Roman"/>
          <w:sz w:val="24"/>
          <w:szCs w:val="24"/>
        </w:rPr>
        <w:t xml:space="preserve"> (Core Options Indicator)</w:t>
      </w:r>
    </w:p>
    <w:p w14:paraId="7E383D8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Auto / Manual:</w:t>
      </w:r>
    </w:p>
    <w:p w14:paraId="4E9E9D7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Auto</w:t>
      </w:r>
    </w:p>
    <w:p w14:paraId="360B059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Update Frequency:</w:t>
      </w:r>
    </w:p>
    <w:p w14:paraId="5FE2504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Every Option Chain Refresh (Market Hours)</w:t>
      </w:r>
    </w:p>
    <w:p w14:paraId="082E157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Praxis Note:</w:t>
      </w:r>
    </w:p>
    <w:p w14:paraId="6AF9A0F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High Put Open Interest generally indicates strong support levels where option writers expect the market to remain above. This indicator should always be analyzed together with Call Open Interest, OI Change, PCR, and Max Pain.</w:t>
      </w:r>
    </w:p>
    <w:p w14:paraId="05A0E273"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433B2053">
          <v:rect id="_x0000_i1057" style="width:0;height:1.5pt" o:hralign="center" o:hrstd="t" o:hr="t" fillcolor="#a0a0a0" stroked="f"/>
        </w:pict>
      </w:r>
    </w:p>
    <w:p w14:paraId="081C0A9B"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lastRenderedPageBreak/>
        <w:t>2. Data Requirements</w:t>
      </w:r>
    </w:p>
    <w:p w14:paraId="36CF91F5"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Required Data</w:t>
      </w:r>
    </w:p>
    <w:p w14:paraId="541F3FF1" w14:textId="77777777" w:rsidR="00DB767F" w:rsidRPr="00DB767F" w:rsidRDefault="00DB767F" w:rsidP="00DB767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Strike Price </w:t>
      </w:r>
    </w:p>
    <w:p w14:paraId="4DE4D585" w14:textId="77777777" w:rsidR="00DB767F" w:rsidRPr="00DB767F" w:rsidRDefault="00DB767F" w:rsidP="00DB767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Put Open Interest </w:t>
      </w:r>
    </w:p>
    <w:p w14:paraId="5EE02868" w14:textId="77777777" w:rsidR="00DB767F" w:rsidRPr="00DB767F" w:rsidRDefault="00DB767F" w:rsidP="00DB767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Spot Price </w:t>
      </w:r>
    </w:p>
    <w:p w14:paraId="587AF67F" w14:textId="77777777" w:rsidR="00DB767F" w:rsidRPr="00DB767F" w:rsidRDefault="00DB767F" w:rsidP="00DB767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Expiry Date </w:t>
      </w:r>
    </w:p>
    <w:p w14:paraId="004F4261"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Minimum Historical Data</w:t>
      </w:r>
    </w:p>
    <w:p w14:paraId="7BB2275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5 Trading Days</w:t>
      </w:r>
    </w:p>
    <w:p w14:paraId="7C9C96A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Recommended</w:t>
      </w:r>
    </w:p>
    <w:p w14:paraId="1E4CE06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30 Trading Days</w:t>
      </w:r>
    </w:p>
    <w:p w14:paraId="064AD2BA"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Primary Source</w:t>
      </w:r>
    </w:p>
    <w:p w14:paraId="7F82D939" w14:textId="77777777" w:rsidR="00DB767F" w:rsidRPr="00DB767F" w:rsidRDefault="00DB767F" w:rsidP="00DB767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NSE Option Chain </w:t>
      </w:r>
    </w:p>
    <w:p w14:paraId="59D44DA0" w14:textId="77777777" w:rsidR="00DB767F" w:rsidRPr="00DB767F" w:rsidRDefault="00DB767F" w:rsidP="00DB767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Upstox API </w:t>
      </w:r>
    </w:p>
    <w:p w14:paraId="40B2DEF2"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4E53E379">
          <v:rect id="_x0000_i1058" style="width:0;height:1.5pt" o:hralign="center" o:hrstd="t" o:hr="t" fillcolor="#a0a0a0" stroked="f"/>
        </w:pict>
      </w:r>
    </w:p>
    <w:p w14:paraId="291FD25E"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3. Industry Standard Calculation</w:t>
      </w:r>
    </w:p>
    <w:p w14:paraId="44D61B91"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Formula</w:t>
      </w:r>
    </w:p>
    <w:p w14:paraId="64EC6516" w14:textId="77777777" w:rsidR="00DB767F" w:rsidRPr="00DB767F" w:rsidRDefault="00DB767F" w:rsidP="00DB7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767F">
        <w:rPr>
          <w:rFonts w:ascii="Courier New" w:eastAsia="Times New Roman" w:hAnsi="Courier New" w:cs="Courier New"/>
          <w:sz w:val="20"/>
          <w:szCs w:val="20"/>
        </w:rPr>
        <w:t>Total Put Open Interest =</w:t>
      </w:r>
    </w:p>
    <w:p w14:paraId="5BEEEDE8" w14:textId="77777777" w:rsidR="00DB767F" w:rsidRPr="00DB767F" w:rsidRDefault="00DB767F" w:rsidP="00DB7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B767F">
        <w:rPr>
          <w:rFonts w:ascii="Courier New" w:eastAsia="Times New Roman" w:hAnsi="Courier New" w:cs="Courier New"/>
          <w:sz w:val="20"/>
          <w:szCs w:val="20"/>
        </w:rPr>
        <w:t>Σ(</w:t>
      </w:r>
      <w:proofErr w:type="gramEnd"/>
      <w:r w:rsidRPr="00DB767F">
        <w:rPr>
          <w:rFonts w:ascii="Courier New" w:eastAsia="Times New Roman" w:hAnsi="Courier New" w:cs="Courier New"/>
          <w:sz w:val="20"/>
          <w:szCs w:val="20"/>
        </w:rPr>
        <w:t>Put Open Interest Across Selected Strikes)</w:t>
      </w:r>
    </w:p>
    <w:p w14:paraId="7829D337"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Implementation Steps</w:t>
      </w:r>
    </w:p>
    <w:p w14:paraId="7798E16F" w14:textId="77777777" w:rsidR="00DB767F" w:rsidRPr="00DB767F" w:rsidRDefault="00DB767F" w:rsidP="00DB767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Retrieve the latest option chain. </w:t>
      </w:r>
    </w:p>
    <w:p w14:paraId="3F0D544A" w14:textId="77777777" w:rsidR="00DB767F" w:rsidRPr="00DB767F" w:rsidRDefault="00DB767F" w:rsidP="00DB767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Sum Put Open Interest across all monitored strikes. </w:t>
      </w:r>
    </w:p>
    <w:p w14:paraId="7D67632F" w14:textId="77777777" w:rsidR="00DB767F" w:rsidRPr="00DB767F" w:rsidRDefault="00DB767F" w:rsidP="00DB767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Identify the strike with the highest Put OI. </w:t>
      </w:r>
    </w:p>
    <w:p w14:paraId="02550D25" w14:textId="77777777" w:rsidR="00DB767F" w:rsidRPr="00DB767F" w:rsidRDefault="00DB767F" w:rsidP="00DB767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Compare with previous sessions. </w:t>
      </w:r>
    </w:p>
    <w:p w14:paraId="13E5FCB7" w14:textId="77777777" w:rsidR="00DB767F" w:rsidRPr="00DB767F" w:rsidRDefault="00DB767F" w:rsidP="00DB767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Generate the Options Score. </w:t>
      </w:r>
    </w:p>
    <w:p w14:paraId="791CBBC4"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Notes</w:t>
      </w:r>
    </w:p>
    <w:p w14:paraId="5E5C4364" w14:textId="77777777" w:rsidR="00DB767F" w:rsidRPr="00DB767F" w:rsidRDefault="00DB767F" w:rsidP="00DB767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Use the nearest weekly expiry by default. </w:t>
      </w:r>
    </w:p>
    <w:p w14:paraId="14923078" w14:textId="77777777" w:rsidR="00DB767F" w:rsidRPr="00DB767F" w:rsidRDefault="00DB767F" w:rsidP="00DB767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Switch to monthly expiry after weekly expiry. </w:t>
      </w:r>
    </w:p>
    <w:p w14:paraId="475A169A" w14:textId="77777777" w:rsidR="00DB767F" w:rsidRPr="00DB767F" w:rsidRDefault="00DB767F" w:rsidP="00DB767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Exclude expired contracts. </w:t>
      </w:r>
    </w:p>
    <w:p w14:paraId="6621F5D3" w14:textId="77777777" w:rsidR="00DB767F" w:rsidRPr="00DB767F" w:rsidRDefault="00DB767F" w:rsidP="00DB767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lastRenderedPageBreak/>
        <w:t xml:space="preserve">Follow NSE Option Chain methodology. </w:t>
      </w:r>
    </w:p>
    <w:p w14:paraId="3FE07E5D"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034A7233">
          <v:rect id="_x0000_i1059" style="width:0;height:1.5pt" o:hralign="center" o:hrstd="t" o:hr="t" fillcolor="#a0a0a0" stroked="f"/>
        </w:pict>
      </w:r>
    </w:p>
    <w:p w14:paraId="225C800B"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4. Card Fields</w:t>
      </w:r>
    </w:p>
    <w:p w14:paraId="51A8D9B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Current Value</w:t>
      </w:r>
    </w:p>
    <w:p w14:paraId="55B4683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Total Put Open Interest</w:t>
      </w:r>
    </w:p>
    <w:p w14:paraId="050FDF8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Highest OI Strike</w:t>
      </w:r>
    </w:p>
    <w:p w14:paraId="4CFFF39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Strike with Maximum Put OI</w:t>
      </w:r>
    </w:p>
    <w:p w14:paraId="12300F9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Change</w:t>
      </w:r>
    </w:p>
    <w:p w14:paraId="58D2EEB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Day-over-Day Change</w:t>
      </w:r>
    </w:p>
    <w:p w14:paraId="2F1DD58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Score</w:t>
      </w:r>
    </w:p>
    <w:p w14:paraId="2695621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0–100</w:t>
      </w:r>
    </w:p>
    <w:p w14:paraId="4BE152E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Bias</w:t>
      </w:r>
    </w:p>
    <w:p w14:paraId="1E36C230" w14:textId="77777777" w:rsidR="00DB767F" w:rsidRPr="00DB767F" w:rsidRDefault="00DB767F" w:rsidP="00DB767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Bullish </w:t>
      </w:r>
    </w:p>
    <w:p w14:paraId="35C4637C" w14:textId="77777777" w:rsidR="00DB767F" w:rsidRPr="00DB767F" w:rsidRDefault="00DB767F" w:rsidP="00DB767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Neutral </w:t>
      </w:r>
    </w:p>
    <w:p w14:paraId="4A2960CA" w14:textId="77777777" w:rsidR="00DB767F" w:rsidRPr="00DB767F" w:rsidRDefault="00DB767F" w:rsidP="00DB767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Bearish </w:t>
      </w:r>
    </w:p>
    <w:p w14:paraId="30730FE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Confidence</w:t>
      </w:r>
    </w:p>
    <w:p w14:paraId="4937028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Open Interest Confidence</w:t>
      </w:r>
    </w:p>
    <w:p w14:paraId="5E69433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Impact Weight</w:t>
      </w:r>
    </w:p>
    <w:p w14:paraId="07459CE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High</w:t>
      </w:r>
    </w:p>
    <w:p w14:paraId="14A23686"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5A0BCED1">
          <v:rect id="_x0000_i1060" style="width:0;height:1.5pt" o:hralign="center" o:hrstd="t" o:hr="t" fillcolor="#a0a0a0" stroked="f"/>
        </w:pict>
      </w:r>
    </w:p>
    <w:p w14:paraId="2E1260E9"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2"/>
        <w:gridCol w:w="634"/>
        <w:gridCol w:w="1509"/>
      </w:tblGrid>
      <w:tr w:rsidR="00DB767F" w:rsidRPr="00DB767F" w14:paraId="6D78E9AC" w14:textId="77777777" w:rsidTr="00DB767F">
        <w:trPr>
          <w:tblHeader/>
          <w:tblCellSpacing w:w="15" w:type="dxa"/>
        </w:trPr>
        <w:tc>
          <w:tcPr>
            <w:tcW w:w="0" w:type="auto"/>
            <w:vAlign w:val="center"/>
            <w:hideMark/>
          </w:tcPr>
          <w:p w14:paraId="121CA742" w14:textId="77777777" w:rsidR="00DB767F" w:rsidRPr="00DB767F" w:rsidRDefault="00DB767F" w:rsidP="00DB767F">
            <w:pPr>
              <w:spacing w:after="0" w:line="240" w:lineRule="auto"/>
              <w:jc w:val="center"/>
              <w:rPr>
                <w:rFonts w:ascii="Times New Roman" w:eastAsia="Times New Roman" w:hAnsi="Times New Roman" w:cs="Times New Roman"/>
                <w:b/>
                <w:bCs/>
                <w:sz w:val="24"/>
                <w:szCs w:val="24"/>
              </w:rPr>
            </w:pPr>
            <w:r w:rsidRPr="00DB767F">
              <w:rPr>
                <w:rFonts w:ascii="Times New Roman" w:eastAsia="Times New Roman" w:hAnsi="Times New Roman" w:cs="Times New Roman"/>
                <w:b/>
                <w:bCs/>
                <w:sz w:val="24"/>
                <w:szCs w:val="24"/>
              </w:rPr>
              <w:t>Condition</w:t>
            </w:r>
          </w:p>
        </w:tc>
        <w:tc>
          <w:tcPr>
            <w:tcW w:w="0" w:type="auto"/>
            <w:vAlign w:val="center"/>
            <w:hideMark/>
          </w:tcPr>
          <w:p w14:paraId="704955EE" w14:textId="77777777" w:rsidR="00DB767F" w:rsidRPr="00DB767F" w:rsidRDefault="00DB767F" w:rsidP="00DB767F">
            <w:pPr>
              <w:spacing w:after="0" w:line="240" w:lineRule="auto"/>
              <w:jc w:val="center"/>
              <w:rPr>
                <w:rFonts w:ascii="Times New Roman" w:eastAsia="Times New Roman" w:hAnsi="Times New Roman" w:cs="Times New Roman"/>
                <w:b/>
                <w:bCs/>
                <w:sz w:val="24"/>
                <w:szCs w:val="24"/>
              </w:rPr>
            </w:pPr>
            <w:r w:rsidRPr="00DB767F">
              <w:rPr>
                <w:rFonts w:ascii="Times New Roman" w:eastAsia="Times New Roman" w:hAnsi="Times New Roman" w:cs="Times New Roman"/>
                <w:b/>
                <w:bCs/>
                <w:sz w:val="24"/>
                <w:szCs w:val="24"/>
              </w:rPr>
              <w:t>Score</w:t>
            </w:r>
          </w:p>
        </w:tc>
        <w:tc>
          <w:tcPr>
            <w:tcW w:w="0" w:type="auto"/>
            <w:vAlign w:val="center"/>
            <w:hideMark/>
          </w:tcPr>
          <w:p w14:paraId="48728C30" w14:textId="77777777" w:rsidR="00DB767F" w:rsidRPr="00DB767F" w:rsidRDefault="00DB767F" w:rsidP="00DB767F">
            <w:pPr>
              <w:spacing w:after="0" w:line="240" w:lineRule="auto"/>
              <w:jc w:val="center"/>
              <w:rPr>
                <w:rFonts w:ascii="Times New Roman" w:eastAsia="Times New Roman" w:hAnsi="Times New Roman" w:cs="Times New Roman"/>
                <w:b/>
                <w:bCs/>
                <w:sz w:val="24"/>
                <w:szCs w:val="24"/>
              </w:rPr>
            </w:pPr>
            <w:r w:rsidRPr="00DB767F">
              <w:rPr>
                <w:rFonts w:ascii="Times New Roman" w:eastAsia="Times New Roman" w:hAnsi="Times New Roman" w:cs="Times New Roman"/>
                <w:b/>
                <w:bCs/>
                <w:sz w:val="24"/>
                <w:szCs w:val="24"/>
              </w:rPr>
              <w:t>Bias</w:t>
            </w:r>
          </w:p>
        </w:tc>
      </w:tr>
      <w:tr w:rsidR="00DB767F" w:rsidRPr="00DB767F" w14:paraId="0A1E7041" w14:textId="77777777" w:rsidTr="00DB767F">
        <w:trPr>
          <w:tblCellSpacing w:w="15" w:type="dxa"/>
        </w:trPr>
        <w:tc>
          <w:tcPr>
            <w:tcW w:w="0" w:type="auto"/>
            <w:vAlign w:val="center"/>
            <w:hideMark/>
          </w:tcPr>
          <w:p w14:paraId="52A95C53"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Heavy Put Writing at Support</w:t>
            </w:r>
          </w:p>
        </w:tc>
        <w:tc>
          <w:tcPr>
            <w:tcW w:w="0" w:type="auto"/>
            <w:vAlign w:val="center"/>
            <w:hideMark/>
          </w:tcPr>
          <w:p w14:paraId="4647CB45"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95</w:t>
            </w:r>
          </w:p>
        </w:tc>
        <w:tc>
          <w:tcPr>
            <w:tcW w:w="0" w:type="auto"/>
            <w:vAlign w:val="center"/>
            <w:hideMark/>
          </w:tcPr>
          <w:p w14:paraId="4B4DFE37"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Strong Bullish</w:t>
            </w:r>
          </w:p>
        </w:tc>
      </w:tr>
      <w:tr w:rsidR="00DB767F" w:rsidRPr="00DB767F" w14:paraId="4CAD59EA" w14:textId="77777777" w:rsidTr="00DB767F">
        <w:trPr>
          <w:tblCellSpacing w:w="15" w:type="dxa"/>
        </w:trPr>
        <w:tc>
          <w:tcPr>
            <w:tcW w:w="0" w:type="auto"/>
            <w:vAlign w:val="center"/>
            <w:hideMark/>
          </w:tcPr>
          <w:p w14:paraId="4CC53325"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Increasing Put OI</w:t>
            </w:r>
          </w:p>
        </w:tc>
        <w:tc>
          <w:tcPr>
            <w:tcW w:w="0" w:type="auto"/>
            <w:vAlign w:val="center"/>
            <w:hideMark/>
          </w:tcPr>
          <w:p w14:paraId="444801DC"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85</w:t>
            </w:r>
          </w:p>
        </w:tc>
        <w:tc>
          <w:tcPr>
            <w:tcW w:w="0" w:type="auto"/>
            <w:vAlign w:val="center"/>
            <w:hideMark/>
          </w:tcPr>
          <w:p w14:paraId="197C3296"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Bullish</w:t>
            </w:r>
          </w:p>
        </w:tc>
      </w:tr>
      <w:tr w:rsidR="00DB767F" w:rsidRPr="00DB767F" w14:paraId="5F93C7C2" w14:textId="77777777" w:rsidTr="00DB767F">
        <w:trPr>
          <w:tblCellSpacing w:w="15" w:type="dxa"/>
        </w:trPr>
        <w:tc>
          <w:tcPr>
            <w:tcW w:w="0" w:type="auto"/>
            <w:vAlign w:val="center"/>
            <w:hideMark/>
          </w:tcPr>
          <w:p w14:paraId="315F5368"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lastRenderedPageBreak/>
              <w:t>Stable Put OI</w:t>
            </w:r>
          </w:p>
        </w:tc>
        <w:tc>
          <w:tcPr>
            <w:tcW w:w="0" w:type="auto"/>
            <w:vAlign w:val="center"/>
            <w:hideMark/>
          </w:tcPr>
          <w:p w14:paraId="310F77C0"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60</w:t>
            </w:r>
          </w:p>
        </w:tc>
        <w:tc>
          <w:tcPr>
            <w:tcW w:w="0" w:type="auto"/>
            <w:vAlign w:val="center"/>
            <w:hideMark/>
          </w:tcPr>
          <w:p w14:paraId="3971D8B7"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Neutral</w:t>
            </w:r>
          </w:p>
        </w:tc>
      </w:tr>
      <w:tr w:rsidR="00DB767F" w:rsidRPr="00DB767F" w14:paraId="7FEFAE22" w14:textId="77777777" w:rsidTr="00DB767F">
        <w:trPr>
          <w:tblCellSpacing w:w="15" w:type="dxa"/>
        </w:trPr>
        <w:tc>
          <w:tcPr>
            <w:tcW w:w="0" w:type="auto"/>
            <w:vAlign w:val="center"/>
            <w:hideMark/>
          </w:tcPr>
          <w:p w14:paraId="4363512A"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Put Unwinding Near Spot</w:t>
            </w:r>
          </w:p>
        </w:tc>
        <w:tc>
          <w:tcPr>
            <w:tcW w:w="0" w:type="auto"/>
            <w:vAlign w:val="center"/>
            <w:hideMark/>
          </w:tcPr>
          <w:p w14:paraId="542DA37B"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35</w:t>
            </w:r>
          </w:p>
        </w:tc>
        <w:tc>
          <w:tcPr>
            <w:tcW w:w="0" w:type="auto"/>
            <w:vAlign w:val="center"/>
            <w:hideMark/>
          </w:tcPr>
          <w:p w14:paraId="75E57CBF"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Bearish</w:t>
            </w:r>
          </w:p>
        </w:tc>
      </w:tr>
      <w:tr w:rsidR="00DB767F" w:rsidRPr="00DB767F" w14:paraId="3A587A9D" w14:textId="77777777" w:rsidTr="00DB767F">
        <w:trPr>
          <w:tblCellSpacing w:w="15" w:type="dxa"/>
        </w:trPr>
        <w:tc>
          <w:tcPr>
            <w:tcW w:w="0" w:type="auto"/>
            <w:vAlign w:val="center"/>
            <w:hideMark/>
          </w:tcPr>
          <w:p w14:paraId="28F84D35"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Heavy Put Unwinding</w:t>
            </w:r>
          </w:p>
        </w:tc>
        <w:tc>
          <w:tcPr>
            <w:tcW w:w="0" w:type="auto"/>
            <w:vAlign w:val="center"/>
            <w:hideMark/>
          </w:tcPr>
          <w:p w14:paraId="58B6B1A9"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10</w:t>
            </w:r>
          </w:p>
        </w:tc>
        <w:tc>
          <w:tcPr>
            <w:tcW w:w="0" w:type="auto"/>
            <w:vAlign w:val="center"/>
            <w:hideMark/>
          </w:tcPr>
          <w:p w14:paraId="73CA7E34"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Strong Bearish</w:t>
            </w:r>
          </w:p>
        </w:tc>
      </w:tr>
    </w:tbl>
    <w:p w14:paraId="6F64BE43"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Notes</w:t>
      </w:r>
    </w:p>
    <w:p w14:paraId="06E3F965" w14:textId="77777777" w:rsidR="00DB767F" w:rsidRPr="00DB767F" w:rsidRDefault="00DB767F" w:rsidP="00DB767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Heavy Put writing strengthens support. </w:t>
      </w:r>
    </w:p>
    <w:p w14:paraId="72E33E47" w14:textId="77777777" w:rsidR="00DB767F" w:rsidRPr="00DB767F" w:rsidRDefault="00DB767F" w:rsidP="00DB767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Rising Put OI with stable or rising prices confirms bullish sentiment. </w:t>
      </w:r>
    </w:p>
    <w:p w14:paraId="12D9188A" w14:textId="77777777" w:rsidR="00DB767F" w:rsidRPr="00DB767F" w:rsidRDefault="00DB767F" w:rsidP="00DB767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Confirm with Call OI and PCR before assigning a strong bias. </w:t>
      </w:r>
    </w:p>
    <w:p w14:paraId="2D8F2B98"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1209FBED">
          <v:rect id="_x0000_i1061" style="width:0;height:1.5pt" o:hralign="center" o:hrstd="t" o:hr="t" fillcolor="#a0a0a0" stroked="f"/>
        </w:pict>
      </w:r>
    </w:p>
    <w:p w14:paraId="6888284E"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6. Bias Rules</w:t>
      </w:r>
    </w:p>
    <w:p w14:paraId="4A7F1A1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Heavy Put Writing</w:t>
      </w:r>
    </w:p>
    <w:p w14:paraId="0919CC5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Bullish</w:t>
      </w:r>
    </w:p>
    <w:p w14:paraId="3DBFE39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Stable Put OI</w:t>
      </w:r>
    </w:p>
    <w:p w14:paraId="058BF3F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Neutral</w:t>
      </w:r>
    </w:p>
    <w:p w14:paraId="651B6D8C"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Put Unwinding</w:t>
      </w:r>
    </w:p>
    <w:p w14:paraId="684688B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Bearish</w:t>
      </w:r>
    </w:p>
    <w:p w14:paraId="74F8EF0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Aggressive Put Unwinding</w:t>
      </w:r>
    </w:p>
    <w:p w14:paraId="0CF627F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Strong Bearish</w:t>
      </w:r>
    </w:p>
    <w:p w14:paraId="5A675172"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24126EF8">
          <v:rect id="_x0000_i1062" style="width:0;height:1.5pt" o:hralign="center" o:hrstd="t" o:hr="t" fillcolor="#a0a0a0" stroked="f"/>
        </w:pict>
      </w:r>
    </w:p>
    <w:p w14:paraId="48AC56C8"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7. Confidence Logic</w:t>
      </w:r>
    </w:p>
    <w:p w14:paraId="168A24B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Base Confidence</w:t>
      </w:r>
    </w:p>
    <w:p w14:paraId="4CAFC6E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85%</w:t>
      </w:r>
    </w:p>
    <w:p w14:paraId="0E6DF212"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Increase Confidence</w:t>
      </w:r>
    </w:p>
    <w:p w14:paraId="2AEC5CD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+5% High Put OI concentration</w:t>
      </w:r>
    </w:p>
    <w:p w14:paraId="48B2050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lastRenderedPageBreak/>
        <w:t>+5% Bullish PCR confirmation</w:t>
      </w:r>
    </w:p>
    <w:p w14:paraId="70770F5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+5% Max Pain alignment</w:t>
      </w:r>
    </w:p>
    <w:p w14:paraId="22937E5A"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Decrease Confidence</w:t>
      </w:r>
    </w:p>
    <w:p w14:paraId="0F631A2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-10% Low market volume</w:t>
      </w:r>
    </w:p>
    <w:p w14:paraId="67EE899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-5% Incomplete option chain</w:t>
      </w:r>
    </w:p>
    <w:p w14:paraId="4520DCF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-5% Expiry-day volatility</w:t>
      </w:r>
    </w:p>
    <w:p w14:paraId="18C8CBC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Minimum</w:t>
      </w:r>
    </w:p>
    <w:p w14:paraId="6A3ECDBC"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60%</w:t>
      </w:r>
    </w:p>
    <w:p w14:paraId="06679ED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Maximum</w:t>
      </w:r>
    </w:p>
    <w:p w14:paraId="50451CA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98%</w:t>
      </w:r>
    </w:p>
    <w:p w14:paraId="066A2E1C"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7237D896">
          <v:rect id="_x0000_i1063" style="width:0;height:1.5pt" o:hralign="center" o:hrstd="t" o:hr="t" fillcolor="#a0a0a0" stroked="f"/>
        </w:pict>
      </w:r>
    </w:p>
    <w:p w14:paraId="3277950E"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8. Score Range Bar</w:t>
      </w:r>
    </w:p>
    <w:p w14:paraId="309E0C5C"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Minimum</w:t>
      </w:r>
    </w:p>
    <w:p w14:paraId="3A4CE9D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0</w:t>
      </w:r>
    </w:p>
    <w:p w14:paraId="33B3640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Maximum</w:t>
      </w:r>
    </w:p>
    <w:p w14:paraId="041022C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100</w:t>
      </w:r>
    </w:p>
    <w:p w14:paraId="7A11F5E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Pointer</w:t>
      </w:r>
    </w:p>
    <w:p w14:paraId="1E140DD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Current Score</w:t>
      </w:r>
    </w:p>
    <w:p w14:paraId="0264BAD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Average Marker</w:t>
      </w:r>
    </w:p>
    <w:p w14:paraId="6D61997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30-Day Average Score</w:t>
      </w:r>
    </w:p>
    <w:p w14:paraId="544A04C9"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Color Zones</w:t>
      </w:r>
    </w:p>
    <w:p w14:paraId="36A6829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0–30 → Weak Support</w:t>
      </w:r>
    </w:p>
    <w:p w14:paraId="2CECA01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30–60 → Neutral</w:t>
      </w:r>
    </w:p>
    <w:p w14:paraId="0CC665E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lastRenderedPageBreak/>
        <w:t>60–80 → Strong Support</w:t>
      </w:r>
    </w:p>
    <w:p w14:paraId="324016B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80–100 → Very Strong Support</w:t>
      </w:r>
    </w:p>
    <w:p w14:paraId="5FB3AB50"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637CF10B">
          <v:rect id="_x0000_i1064" style="width:0;height:1.5pt" o:hralign="center" o:hrstd="t" o:hr="t" fillcolor="#a0a0a0" stroked="f"/>
        </w:pict>
      </w:r>
    </w:p>
    <w:p w14:paraId="0AC0178C"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9. Dual Trend Chart</w:t>
      </w:r>
    </w:p>
    <w:p w14:paraId="0654168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Chart Type</w:t>
      </w:r>
    </w:p>
    <w:p w14:paraId="62F0E32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Dual Line</w:t>
      </w:r>
    </w:p>
    <w:p w14:paraId="4E472C2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Line 1</w:t>
      </w:r>
    </w:p>
    <w:p w14:paraId="1B75BDF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Total Put Open Interest</w:t>
      </w:r>
    </w:p>
    <w:p w14:paraId="0F0598D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Line 2</w:t>
      </w:r>
    </w:p>
    <w:p w14:paraId="64C5C12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Praxis Score</w:t>
      </w:r>
    </w:p>
    <w:p w14:paraId="118FECD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History</w:t>
      </w:r>
    </w:p>
    <w:p w14:paraId="597D5DE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30 Trading Days</w:t>
      </w:r>
    </w:p>
    <w:p w14:paraId="39892FE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Update</w:t>
      </w:r>
    </w:p>
    <w:p w14:paraId="5F00875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Every option chain refresh.</w:t>
      </w:r>
    </w:p>
    <w:p w14:paraId="3254F231"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4B382B41">
          <v:rect id="_x0000_i1065" style="width:0;height:1.5pt" o:hralign="center" o:hrstd="t" o:hr="t" fillcolor="#a0a0a0" stroked="f"/>
        </w:pict>
      </w:r>
    </w:p>
    <w:p w14:paraId="7FDC169E"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10. AI Insight Rules</w:t>
      </w:r>
    </w:p>
    <w:p w14:paraId="395C9CE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Heavy Put Writing</w:t>
      </w:r>
    </w:p>
    <w:p w14:paraId="30FC9E0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Explain that option writers are building strong support below current price levels.</w:t>
      </w:r>
    </w:p>
    <w:p w14:paraId="6647C81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Increasing Put OI</w:t>
      </w:r>
    </w:p>
    <w:p w14:paraId="6AD3E7C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Explain that buyers continue defending lower price levels.</w:t>
      </w:r>
    </w:p>
    <w:p w14:paraId="5E6EC94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Stable Put OI</w:t>
      </w:r>
    </w:p>
    <w:p w14:paraId="5B2D884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Explain that market support remains relatively unchanged.</w:t>
      </w:r>
    </w:p>
    <w:p w14:paraId="7CD20EE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lastRenderedPageBreak/>
        <w:t>Heavy Put Unwinding</w:t>
      </w:r>
    </w:p>
    <w:p w14:paraId="2193224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Explain that support is weakening as Put writers close their positions.</w:t>
      </w:r>
    </w:p>
    <w:p w14:paraId="24965CE7"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44E04AE8">
          <v:rect id="_x0000_i1066" style="width:0;height:1.5pt" o:hralign="center" o:hrstd="t" o:hr="t" fillcolor="#a0a0a0" stroked="f"/>
        </w:pict>
      </w:r>
    </w:p>
    <w:p w14:paraId="3776C75C"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11. Why It Matters</w:t>
      </w:r>
    </w:p>
    <w:p w14:paraId="62CAEC29" w14:textId="77777777" w:rsidR="00DB767F" w:rsidRPr="00DB767F" w:rsidRDefault="00DB767F" w:rsidP="00DB767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Identifies potential support zones. </w:t>
      </w:r>
    </w:p>
    <w:p w14:paraId="1DD2D5A3" w14:textId="77777777" w:rsidR="00DB767F" w:rsidRPr="00DB767F" w:rsidRDefault="00DB767F" w:rsidP="00DB767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Tracks institutional Put writing. </w:t>
      </w:r>
    </w:p>
    <w:p w14:paraId="3C5A818B" w14:textId="77777777" w:rsidR="00DB767F" w:rsidRPr="00DB767F" w:rsidRDefault="00DB767F" w:rsidP="00DB767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Measures bullish market positioning. </w:t>
      </w:r>
    </w:p>
    <w:p w14:paraId="7728753A" w14:textId="77777777" w:rsidR="00DB767F" w:rsidRPr="00DB767F" w:rsidRDefault="00DB767F" w:rsidP="00DB767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Confirms trend continuation. </w:t>
      </w:r>
    </w:p>
    <w:p w14:paraId="66263A10" w14:textId="77777777" w:rsidR="00DB767F" w:rsidRPr="00DB767F" w:rsidRDefault="00DB767F" w:rsidP="00DB767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Improves options market analysis. </w:t>
      </w:r>
    </w:p>
    <w:p w14:paraId="638E6BBA"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6BA68E81">
          <v:rect id="_x0000_i1067" style="width:0;height:1.5pt" o:hralign="center" o:hrstd="t" o:hr="t" fillcolor="#a0a0a0" stroked="f"/>
        </w:pict>
      </w:r>
    </w:p>
    <w:p w14:paraId="69C79855"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12. Trading Impact</w:t>
      </w:r>
    </w:p>
    <w:p w14:paraId="292BE5F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Intraday</w:t>
      </w:r>
    </w:p>
    <w:p w14:paraId="1421526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Segoe UI Symbol" w:eastAsia="Times New Roman" w:hAnsi="Segoe UI Symbol" w:cs="Segoe UI Symbol"/>
          <w:sz w:val="24"/>
          <w:szCs w:val="24"/>
        </w:rPr>
        <w:t>★★★★☆</w:t>
      </w:r>
    </w:p>
    <w:p w14:paraId="5D63ED7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Swing Trading</w:t>
      </w:r>
    </w:p>
    <w:p w14:paraId="5D99240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Segoe UI Symbol" w:eastAsia="Times New Roman" w:hAnsi="Segoe UI Symbol" w:cs="Segoe UI Symbol"/>
          <w:sz w:val="24"/>
          <w:szCs w:val="24"/>
        </w:rPr>
        <w:t>★★★★☆</w:t>
      </w:r>
    </w:p>
    <w:p w14:paraId="5708E74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Positional Trading</w:t>
      </w:r>
    </w:p>
    <w:p w14:paraId="0B9E7A59"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Segoe UI Symbol" w:eastAsia="Times New Roman" w:hAnsi="Segoe UI Symbol" w:cs="Segoe UI Symbol"/>
          <w:sz w:val="24"/>
          <w:szCs w:val="24"/>
        </w:rPr>
        <w:t>★★★☆☆</w:t>
      </w:r>
    </w:p>
    <w:p w14:paraId="59C8681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Options Trading</w:t>
      </w:r>
    </w:p>
    <w:p w14:paraId="784E50A9"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Segoe UI Symbol" w:eastAsia="Times New Roman" w:hAnsi="Segoe UI Symbol" w:cs="Segoe UI Symbol"/>
          <w:sz w:val="24"/>
          <w:szCs w:val="24"/>
        </w:rPr>
        <w:t>★★★★★</w:t>
      </w:r>
    </w:p>
    <w:p w14:paraId="6F794B7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Best Use</w:t>
      </w:r>
    </w:p>
    <w:p w14:paraId="1B511FF9"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Identifying support and institutional positioning.</w:t>
      </w:r>
    </w:p>
    <w:p w14:paraId="1244642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Avoid Using Alone</w:t>
      </w:r>
    </w:p>
    <w:p w14:paraId="64C31E0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Yes</w:t>
      </w:r>
    </w:p>
    <w:p w14:paraId="2C6502E3"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6FB5DE1A">
          <v:rect id="_x0000_i1068" style="width:0;height:1.5pt" o:hralign="center" o:hrstd="t" o:hr="t" fillcolor="#a0a0a0" stroked="f"/>
        </w:pict>
      </w:r>
    </w:p>
    <w:p w14:paraId="3A2C8559"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lastRenderedPageBreak/>
        <w:t>13. Supporting Indicators</w:t>
      </w:r>
    </w:p>
    <w:p w14:paraId="59047ABA" w14:textId="77777777" w:rsidR="00DB767F" w:rsidRPr="00DB767F" w:rsidRDefault="00DB767F" w:rsidP="00DB767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Total Call Open Interest </w:t>
      </w:r>
    </w:p>
    <w:p w14:paraId="1BE511C8" w14:textId="77777777" w:rsidR="00DB767F" w:rsidRPr="00DB767F" w:rsidRDefault="00DB767F" w:rsidP="00DB767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OI Change </w:t>
      </w:r>
    </w:p>
    <w:p w14:paraId="3DE7E1D3" w14:textId="77777777" w:rsidR="00DB767F" w:rsidRPr="00DB767F" w:rsidRDefault="00DB767F" w:rsidP="00DB767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PCR (OI) </w:t>
      </w:r>
    </w:p>
    <w:p w14:paraId="03CF3007" w14:textId="77777777" w:rsidR="00DB767F" w:rsidRPr="00DB767F" w:rsidRDefault="00DB767F" w:rsidP="00DB767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Max Pain </w:t>
      </w:r>
    </w:p>
    <w:p w14:paraId="3E721DE3" w14:textId="77777777" w:rsidR="00DB767F" w:rsidRPr="00DB767F" w:rsidRDefault="00DB767F" w:rsidP="00DB767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ATM IV </w:t>
      </w:r>
    </w:p>
    <w:p w14:paraId="3AF160C9"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2F16735F">
          <v:rect id="_x0000_i1069" style="width:0;height:1.5pt" o:hralign="center" o:hrstd="t" o:hr="t" fillcolor="#a0a0a0" stroked="f"/>
        </w:pict>
      </w:r>
    </w:p>
    <w:p w14:paraId="591AD842"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14. Metadata</w:t>
      </w:r>
    </w:p>
    <w:p w14:paraId="75E742A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Source</w:t>
      </w:r>
    </w:p>
    <w:p w14:paraId="43F3EE7C"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NSE Option Chain / Upstox API</w:t>
      </w:r>
    </w:p>
    <w:p w14:paraId="0010D65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Calculation</w:t>
      </w:r>
    </w:p>
    <w:p w14:paraId="20FC033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Backend</w:t>
      </w:r>
    </w:p>
    <w:p w14:paraId="7F149B5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Updated</w:t>
      </w:r>
    </w:p>
    <w:p w14:paraId="5497525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Every Option Chain Refresh</w:t>
      </w:r>
    </w:p>
    <w:p w14:paraId="4C3E73E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proofErr w:type="spellStart"/>
      <w:r w:rsidRPr="00DB767F">
        <w:rPr>
          <w:rFonts w:ascii="Times New Roman" w:eastAsia="Times New Roman" w:hAnsi="Times New Roman" w:cs="Times New Roman"/>
          <w:b/>
          <w:bCs/>
          <w:sz w:val="24"/>
          <w:szCs w:val="24"/>
        </w:rPr>
        <w:t>Timezone</w:t>
      </w:r>
      <w:proofErr w:type="spellEnd"/>
    </w:p>
    <w:p w14:paraId="12F12369"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Asia/Kolkata</w:t>
      </w:r>
    </w:p>
    <w:p w14:paraId="47E8395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Storage</w:t>
      </w:r>
    </w:p>
    <w:p w14:paraId="32ED131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Local Electron Database</w:t>
      </w:r>
    </w:p>
    <w:p w14:paraId="4C02AB61"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0B54DAF5">
          <v:rect id="_x0000_i1070" style="width:0;height:1.5pt" o:hralign="center" o:hrstd="t" o:hr="t" fillcolor="#a0a0a0" stroked="f"/>
        </w:pict>
      </w:r>
    </w:p>
    <w:p w14:paraId="1D758766"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15. Developer Notes</w:t>
      </w:r>
    </w:p>
    <w:p w14:paraId="40D821C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Store:</w:t>
      </w:r>
    </w:p>
    <w:p w14:paraId="3E93D0D0" w14:textId="77777777" w:rsidR="00DB767F" w:rsidRPr="00DB767F" w:rsidRDefault="00DB767F" w:rsidP="00DB767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Total Put OI </w:t>
      </w:r>
    </w:p>
    <w:p w14:paraId="47BEA463" w14:textId="77777777" w:rsidR="00DB767F" w:rsidRPr="00DB767F" w:rsidRDefault="00DB767F" w:rsidP="00DB767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Highest Put OI Strike </w:t>
      </w:r>
    </w:p>
    <w:p w14:paraId="77B54839" w14:textId="77777777" w:rsidR="00DB767F" w:rsidRPr="00DB767F" w:rsidRDefault="00DB767F" w:rsidP="00DB767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Historical Put OI </w:t>
      </w:r>
    </w:p>
    <w:p w14:paraId="00A09FE2" w14:textId="77777777" w:rsidR="00DB767F" w:rsidRPr="00DB767F" w:rsidRDefault="00DB767F" w:rsidP="00DB767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Current Score </w:t>
      </w:r>
    </w:p>
    <w:p w14:paraId="2D22473E" w14:textId="77777777" w:rsidR="00DB767F" w:rsidRPr="00DB767F" w:rsidRDefault="00DB767F" w:rsidP="00DB767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Confidence </w:t>
      </w:r>
    </w:p>
    <w:p w14:paraId="1713DA76" w14:textId="77777777" w:rsidR="00DB767F" w:rsidRPr="00DB767F" w:rsidRDefault="00DB767F" w:rsidP="00DB767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lastRenderedPageBreak/>
        <w:t xml:space="preserve">Last Updated </w:t>
      </w:r>
    </w:p>
    <w:p w14:paraId="6FB0A40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Refresh automatically with each option chain update. Cache historical values to identify evolving support zones and institutional accumulation.</w:t>
      </w:r>
    </w:p>
    <w:p w14:paraId="6691FA8B"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51609B81">
          <v:rect id="_x0000_i1071" style="width:0;height:1.5pt" o:hralign="center" o:hrstd="t" o:hr="t" fillcolor="#a0a0a0" stroked="f"/>
        </w:pict>
      </w:r>
    </w:p>
    <w:p w14:paraId="0945A61A"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 xml:space="preserve">16. Praxis Engine Integration </w:t>
      </w:r>
      <w:r w:rsidRPr="00DB767F">
        <w:rPr>
          <w:rFonts w:ascii="Segoe UI Emoji" w:eastAsia="Times New Roman" w:hAnsi="Segoe UI Emoji" w:cs="Segoe UI Emoji"/>
          <w:b/>
          <w:bCs/>
          <w:kern w:val="36"/>
          <w:sz w:val="48"/>
          <w:szCs w:val="48"/>
        </w:rPr>
        <w:t>⭐</w:t>
      </w:r>
    </w:p>
    <w:p w14:paraId="5001F3BC"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Engine Weight</w:t>
      </w:r>
    </w:p>
    <w:p w14:paraId="75F0474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Configurable</w:t>
      </w:r>
    </w:p>
    <w:p w14:paraId="1DEBD37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Relative Importance</w:t>
      </w:r>
    </w:p>
    <w:p w14:paraId="7B1CB0E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High</w:t>
      </w:r>
    </w:p>
    <w:p w14:paraId="16BAA579"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Decision Engine Role</w:t>
      </w:r>
    </w:p>
    <w:p w14:paraId="116ABEA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Support &amp; Institutional Positioning Assessment</w:t>
      </w:r>
    </w:p>
    <w:p w14:paraId="47206F7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Primary Use</w:t>
      </w:r>
    </w:p>
    <w:p w14:paraId="4260486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Measure support strength based on Put Open Interest concentration.</w:t>
      </w:r>
    </w:p>
    <w:p w14:paraId="02C63EA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Bullish Confirmation</w:t>
      </w:r>
    </w:p>
    <w:p w14:paraId="0A5F79F2" w14:textId="77777777" w:rsidR="00DB767F" w:rsidRPr="00DB767F" w:rsidRDefault="00DB767F" w:rsidP="00DB767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Rising Put OI </w:t>
      </w:r>
    </w:p>
    <w:p w14:paraId="0BD5FF81" w14:textId="77777777" w:rsidR="00DB767F" w:rsidRPr="00DB767F" w:rsidRDefault="00DB767F" w:rsidP="00DB767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Falling Call OI </w:t>
      </w:r>
    </w:p>
    <w:p w14:paraId="2BB7A004" w14:textId="77777777" w:rsidR="00DB767F" w:rsidRPr="00DB767F" w:rsidRDefault="00DB767F" w:rsidP="00DB767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Bullish PCR </w:t>
      </w:r>
    </w:p>
    <w:p w14:paraId="3E8291D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Bearish Confirmation</w:t>
      </w:r>
    </w:p>
    <w:p w14:paraId="32210C77" w14:textId="77777777" w:rsidR="00DB767F" w:rsidRPr="00DB767F" w:rsidRDefault="00DB767F" w:rsidP="00DB767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Put Unwinding </w:t>
      </w:r>
    </w:p>
    <w:p w14:paraId="38E80FA4" w14:textId="77777777" w:rsidR="00DB767F" w:rsidRPr="00DB767F" w:rsidRDefault="00DB767F" w:rsidP="00DB767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Rising Call OI </w:t>
      </w:r>
    </w:p>
    <w:p w14:paraId="39ACDB53" w14:textId="77777777" w:rsidR="00DB767F" w:rsidRPr="00DB767F" w:rsidRDefault="00DB767F" w:rsidP="00DB767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Bearish PCR </w:t>
      </w:r>
    </w:p>
    <w:p w14:paraId="3766C35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Display Priority</w:t>
      </w:r>
    </w:p>
    <w:p w14:paraId="7C609F5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High</w:t>
      </w:r>
    </w:p>
    <w:p w14:paraId="21CCE7E7"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023A8E0A">
          <v:rect id="_x0000_i1072" style="width:0;height:1.5pt" o:hralign="center" o:hrstd="t" o:hr="t" fillcolor="#a0a0a0" stroked="f"/>
        </w:pict>
      </w:r>
    </w:p>
    <w:p w14:paraId="4CE95DF6"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17. Praxis Recommendation</w:t>
      </w:r>
    </w:p>
    <w:p w14:paraId="2FC6866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lastRenderedPageBreak/>
        <w:t xml:space="preserve">Total Put Open Interest should serve as the </w:t>
      </w:r>
      <w:r w:rsidRPr="00DB767F">
        <w:rPr>
          <w:rFonts w:ascii="Times New Roman" w:eastAsia="Times New Roman" w:hAnsi="Times New Roman" w:cs="Times New Roman"/>
          <w:b/>
          <w:bCs/>
          <w:sz w:val="24"/>
          <w:szCs w:val="24"/>
        </w:rPr>
        <w:t>primary support indicator</w:t>
      </w:r>
      <w:r w:rsidRPr="00DB767F">
        <w:rPr>
          <w:rFonts w:ascii="Times New Roman" w:eastAsia="Times New Roman" w:hAnsi="Times New Roman" w:cs="Times New Roman"/>
          <w:sz w:val="24"/>
          <w:szCs w:val="24"/>
        </w:rPr>
        <w:t xml:space="preserve"> within the Open Interest category.</w:t>
      </w:r>
    </w:p>
    <w:p w14:paraId="6E1FD830"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Open Interest Hierarchy</w:t>
      </w:r>
    </w:p>
    <w:p w14:paraId="56B5AC69" w14:textId="77777777" w:rsidR="00DB767F" w:rsidRPr="00DB767F" w:rsidRDefault="00DB767F" w:rsidP="00DB767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B767F">
        <w:rPr>
          <w:rFonts w:ascii="Segoe UI Emoji" w:eastAsia="Times New Roman" w:hAnsi="Segoe UI Emoji" w:cs="Segoe UI Emoji"/>
          <w:sz w:val="24"/>
          <w:szCs w:val="24"/>
        </w:rPr>
        <w:t>⭐⭐⭐⭐⭐</w:t>
      </w:r>
      <w:r w:rsidRPr="00DB767F">
        <w:rPr>
          <w:rFonts w:ascii="Times New Roman" w:eastAsia="Times New Roman" w:hAnsi="Times New Roman" w:cs="Times New Roman"/>
          <w:sz w:val="24"/>
          <w:szCs w:val="24"/>
        </w:rPr>
        <w:t xml:space="preserve"> Total Call Open Interest </w:t>
      </w:r>
    </w:p>
    <w:p w14:paraId="12A42578" w14:textId="77777777" w:rsidR="00DB767F" w:rsidRPr="00DB767F" w:rsidRDefault="00DB767F" w:rsidP="00DB767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B767F">
        <w:rPr>
          <w:rFonts w:ascii="Segoe UI Emoji" w:eastAsia="Times New Roman" w:hAnsi="Segoe UI Emoji" w:cs="Segoe UI Emoji"/>
          <w:sz w:val="24"/>
          <w:szCs w:val="24"/>
        </w:rPr>
        <w:t>⭐⭐⭐⭐⭐</w:t>
      </w:r>
      <w:r w:rsidRPr="00DB767F">
        <w:rPr>
          <w:rFonts w:ascii="Times New Roman" w:eastAsia="Times New Roman" w:hAnsi="Times New Roman" w:cs="Times New Roman"/>
          <w:sz w:val="24"/>
          <w:szCs w:val="24"/>
        </w:rPr>
        <w:t xml:space="preserve"> Total Put Open Interest </w:t>
      </w:r>
    </w:p>
    <w:p w14:paraId="3E3E2098" w14:textId="77777777" w:rsidR="00DB767F" w:rsidRPr="00DB767F" w:rsidRDefault="00DB767F" w:rsidP="00DB767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B767F">
        <w:rPr>
          <w:rFonts w:ascii="Segoe UI Emoji" w:eastAsia="Times New Roman" w:hAnsi="Segoe UI Emoji" w:cs="Segoe UI Emoji"/>
          <w:sz w:val="24"/>
          <w:szCs w:val="24"/>
        </w:rPr>
        <w:t>⭐⭐⭐⭐</w:t>
      </w:r>
      <w:r w:rsidRPr="00DB767F">
        <w:rPr>
          <w:rFonts w:ascii="Segoe UI Symbol" w:eastAsia="Times New Roman" w:hAnsi="Segoe UI Symbol" w:cs="Segoe UI Symbol"/>
          <w:sz w:val="24"/>
          <w:szCs w:val="24"/>
        </w:rPr>
        <w:t>☆</w:t>
      </w:r>
      <w:r w:rsidRPr="00DB767F">
        <w:rPr>
          <w:rFonts w:ascii="Times New Roman" w:eastAsia="Times New Roman" w:hAnsi="Times New Roman" w:cs="Times New Roman"/>
          <w:sz w:val="24"/>
          <w:szCs w:val="24"/>
        </w:rPr>
        <w:t xml:space="preserve"> OI Change </w:t>
      </w:r>
    </w:p>
    <w:p w14:paraId="7075434E"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Engine Rules</w:t>
      </w:r>
    </w:p>
    <w:p w14:paraId="5DA3EA3D" w14:textId="77777777" w:rsidR="00DB767F" w:rsidRPr="00DB767F" w:rsidRDefault="00DB767F" w:rsidP="00DB767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Increasing Put OI near the current spot price → Strengthen Support Score. </w:t>
      </w:r>
    </w:p>
    <w:p w14:paraId="745E1D5E" w14:textId="77777777" w:rsidR="00DB767F" w:rsidRPr="00DB767F" w:rsidRDefault="00DB767F" w:rsidP="00DB767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Heavy Put Writing confirmed by PCR and Max Pain → Increase bullish conviction. </w:t>
      </w:r>
    </w:p>
    <w:p w14:paraId="59999EFA" w14:textId="77777777" w:rsidR="00DB767F" w:rsidRPr="00DB767F" w:rsidRDefault="00DB767F" w:rsidP="00DB767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Put Unwinding with rising Call OI → Reduce Options Score. </w:t>
      </w:r>
    </w:p>
    <w:p w14:paraId="7574B229" w14:textId="3898A1D6" w:rsidR="00DB767F" w:rsidRDefault="00DB767F" w:rsidP="00DB767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Always evaluate Put OI together with Call OI and OI Change before generating the final Options Score.</w:t>
      </w:r>
    </w:p>
    <w:p w14:paraId="5285545A" w14:textId="6001D0B8"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40B0FC62" w14:textId="60CF17C3"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03CF7DB8" w14:textId="4A16A235"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6159A517" w14:textId="471F5B64"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1901E4B8" w14:textId="78B03511"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1AF0BF4B" w14:textId="20E76C4D"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69328775" w14:textId="52838A44"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1B5C28B9" w14:textId="399308C4"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58C40C96" w14:textId="7423B7F9"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1955B15D" w14:textId="0781F177"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1F1909F2" w14:textId="1E9F46BB"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5F694827" w14:textId="6501E04D"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1406C58A" w14:textId="62D4F142"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1E385EAD" w14:textId="77777777" w:rsidR="00A5115D" w:rsidRPr="00DB767F"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55539078"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DB767F">
        <w:rPr>
          <w:rFonts w:ascii="Times New Roman" w:eastAsia="Times New Roman" w:hAnsi="Times New Roman" w:cs="Times New Roman"/>
          <w:b/>
          <w:bCs/>
          <w:color w:val="FF0000"/>
          <w:kern w:val="36"/>
          <w:sz w:val="48"/>
          <w:szCs w:val="48"/>
        </w:rPr>
        <w:lastRenderedPageBreak/>
        <w:t>3. Open Interest Change (OI Change)</w:t>
      </w:r>
    </w:p>
    <w:p w14:paraId="01DA24B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Module:</w:t>
      </w:r>
      <w:r w:rsidRPr="00DB767F">
        <w:rPr>
          <w:rFonts w:ascii="Times New Roman" w:eastAsia="Times New Roman" w:hAnsi="Times New Roman" w:cs="Times New Roman"/>
          <w:sz w:val="24"/>
          <w:szCs w:val="24"/>
        </w:rPr>
        <w:t xml:space="preserve"> Options</w:t>
      </w:r>
      <w:r w:rsidRPr="00DB767F">
        <w:rPr>
          <w:rFonts w:ascii="Times New Roman" w:eastAsia="Times New Roman" w:hAnsi="Times New Roman" w:cs="Times New Roman"/>
          <w:sz w:val="24"/>
          <w:szCs w:val="24"/>
        </w:rPr>
        <w:br/>
      </w:r>
      <w:r w:rsidRPr="00DB767F">
        <w:rPr>
          <w:rFonts w:ascii="Times New Roman" w:eastAsia="Times New Roman" w:hAnsi="Times New Roman" w:cs="Times New Roman"/>
          <w:b/>
          <w:bCs/>
          <w:sz w:val="24"/>
          <w:szCs w:val="24"/>
        </w:rPr>
        <w:t>Category:</w:t>
      </w:r>
      <w:r w:rsidRPr="00DB767F">
        <w:rPr>
          <w:rFonts w:ascii="Times New Roman" w:eastAsia="Times New Roman" w:hAnsi="Times New Roman" w:cs="Times New Roman"/>
          <w:sz w:val="24"/>
          <w:szCs w:val="24"/>
        </w:rPr>
        <w:t xml:space="preserve"> Open Interest</w:t>
      </w:r>
      <w:r w:rsidRPr="00DB767F">
        <w:rPr>
          <w:rFonts w:ascii="Times New Roman" w:eastAsia="Times New Roman" w:hAnsi="Times New Roman" w:cs="Times New Roman"/>
          <w:sz w:val="24"/>
          <w:szCs w:val="24"/>
        </w:rPr>
        <w:br/>
      </w:r>
      <w:r w:rsidRPr="00DB767F">
        <w:rPr>
          <w:rFonts w:ascii="Times New Roman" w:eastAsia="Times New Roman" w:hAnsi="Times New Roman" w:cs="Times New Roman"/>
          <w:b/>
          <w:bCs/>
          <w:sz w:val="24"/>
          <w:szCs w:val="24"/>
        </w:rPr>
        <w:t>Status:</w:t>
      </w:r>
      <w:r w:rsidRPr="00DB767F">
        <w:rPr>
          <w:rFonts w:ascii="Times New Roman" w:eastAsia="Times New Roman" w:hAnsi="Times New Roman" w:cs="Times New Roman"/>
          <w:sz w:val="24"/>
          <w:szCs w:val="24"/>
        </w:rPr>
        <w:t xml:space="preserve"> Production Ready</w:t>
      </w:r>
    </w:p>
    <w:p w14:paraId="28BE264B" w14:textId="77777777" w:rsidR="00DB767F" w:rsidRPr="00DB767F" w:rsidRDefault="00DB767F" w:rsidP="00DB767F">
      <w:pPr>
        <w:spacing w:before="100" w:beforeAutospacing="1" w:after="100" w:afterAutospacing="1" w:line="240" w:lineRule="auto"/>
        <w:outlineLvl w:val="1"/>
        <w:rPr>
          <w:rFonts w:ascii="Times New Roman" w:eastAsia="Times New Roman" w:hAnsi="Times New Roman" w:cs="Times New Roman"/>
          <w:b/>
          <w:bCs/>
          <w:sz w:val="36"/>
          <w:szCs w:val="36"/>
        </w:rPr>
      </w:pPr>
      <w:r w:rsidRPr="00DB767F">
        <w:rPr>
          <w:rFonts w:ascii="Times New Roman" w:eastAsia="Times New Roman" w:hAnsi="Times New Roman" w:cs="Times New Roman"/>
          <w:b/>
          <w:bCs/>
          <w:sz w:val="36"/>
          <w:szCs w:val="36"/>
        </w:rPr>
        <w:t>1. Overview</w:t>
      </w:r>
    </w:p>
    <w:p w14:paraId="21CFC12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Name:</w:t>
      </w:r>
      <w:r w:rsidRPr="00DB767F">
        <w:rPr>
          <w:rFonts w:ascii="Times New Roman" w:eastAsia="Times New Roman" w:hAnsi="Times New Roman" w:cs="Times New Roman"/>
          <w:sz w:val="24"/>
          <w:szCs w:val="24"/>
        </w:rPr>
        <w:t xml:space="preserve"> Open Interest Change</w:t>
      </w:r>
    </w:p>
    <w:p w14:paraId="3A30A3B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Short Name:</w:t>
      </w:r>
      <w:r w:rsidRPr="00DB767F">
        <w:rPr>
          <w:rFonts w:ascii="Times New Roman" w:eastAsia="Times New Roman" w:hAnsi="Times New Roman" w:cs="Times New Roman"/>
          <w:sz w:val="24"/>
          <w:szCs w:val="24"/>
        </w:rPr>
        <w:t xml:space="preserve"> OI Change</w:t>
      </w:r>
    </w:p>
    <w:p w14:paraId="770695EC"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Module:</w:t>
      </w:r>
      <w:r w:rsidRPr="00DB767F">
        <w:rPr>
          <w:rFonts w:ascii="Times New Roman" w:eastAsia="Times New Roman" w:hAnsi="Times New Roman" w:cs="Times New Roman"/>
          <w:sz w:val="24"/>
          <w:szCs w:val="24"/>
        </w:rPr>
        <w:t xml:space="preserve"> Options</w:t>
      </w:r>
    </w:p>
    <w:p w14:paraId="52B2802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Category:</w:t>
      </w:r>
      <w:r w:rsidRPr="00DB767F">
        <w:rPr>
          <w:rFonts w:ascii="Times New Roman" w:eastAsia="Times New Roman" w:hAnsi="Times New Roman" w:cs="Times New Roman"/>
          <w:sz w:val="24"/>
          <w:szCs w:val="24"/>
        </w:rPr>
        <w:t xml:space="preserve"> Open Interest</w:t>
      </w:r>
    </w:p>
    <w:p w14:paraId="24EA8CD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Purpose:</w:t>
      </w:r>
    </w:p>
    <w:p w14:paraId="552AE56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Measures the change in Open Interest between consecutive trading sessions or option chain updates. It helps identify whether new positions are being created or existing positions are being closed, providing insight into market participation and trend strength.</w:t>
      </w:r>
    </w:p>
    <w:p w14:paraId="69B0A36C"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Based On:</w:t>
      </w:r>
    </w:p>
    <w:p w14:paraId="387A46B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Current Open Interest and Previous Open Interest</w:t>
      </w:r>
    </w:p>
    <w:p w14:paraId="45F8BF1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Importance:</w:t>
      </w:r>
    </w:p>
    <w:p w14:paraId="72C6B30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Segoe UI Emoji" w:eastAsia="Times New Roman" w:hAnsi="Segoe UI Emoji" w:cs="Segoe UI Emoji"/>
          <w:sz w:val="24"/>
          <w:szCs w:val="24"/>
        </w:rPr>
        <w:t>⭐⭐⭐⭐⭐</w:t>
      </w:r>
      <w:r w:rsidRPr="00DB767F">
        <w:rPr>
          <w:rFonts w:ascii="Times New Roman" w:eastAsia="Times New Roman" w:hAnsi="Times New Roman" w:cs="Times New Roman"/>
          <w:sz w:val="24"/>
          <w:szCs w:val="24"/>
        </w:rPr>
        <w:t xml:space="preserve"> (Core Positioning Indicator)</w:t>
      </w:r>
    </w:p>
    <w:p w14:paraId="4BD0360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Auto / Manual:</w:t>
      </w:r>
    </w:p>
    <w:p w14:paraId="0DB5232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Auto</w:t>
      </w:r>
    </w:p>
    <w:p w14:paraId="79115D2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Update Frequency:</w:t>
      </w:r>
    </w:p>
    <w:p w14:paraId="2A2EF1B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Every Option Chain Refresh (Market Hours)</w:t>
      </w:r>
    </w:p>
    <w:p w14:paraId="65FCBA6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Praxis Note:</w:t>
      </w:r>
    </w:p>
    <w:p w14:paraId="2B87B39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OI Change is most effective when analyzed together with price movement. Rising OI with rising prices generally indicates Long Build-up, while rising OI with falling prices indicates Short Build-up.</w:t>
      </w:r>
    </w:p>
    <w:p w14:paraId="1002A911"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2B02EEC2">
          <v:rect id="_x0000_i1089" style="width:0;height:1.5pt" o:hralign="center" o:hrstd="t" o:hr="t" fillcolor="#a0a0a0" stroked="f"/>
        </w:pict>
      </w:r>
    </w:p>
    <w:p w14:paraId="511C9D88"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lastRenderedPageBreak/>
        <w:t>2. Data Requirements</w:t>
      </w:r>
    </w:p>
    <w:p w14:paraId="51D458A0"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Required Data</w:t>
      </w:r>
    </w:p>
    <w:p w14:paraId="5A58D361" w14:textId="77777777" w:rsidR="00DB767F" w:rsidRPr="00DB767F" w:rsidRDefault="00DB767F" w:rsidP="00DB767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Current Open Interest </w:t>
      </w:r>
    </w:p>
    <w:p w14:paraId="1CB2279A" w14:textId="77777777" w:rsidR="00DB767F" w:rsidRPr="00DB767F" w:rsidRDefault="00DB767F" w:rsidP="00DB767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Previous Open Interest </w:t>
      </w:r>
    </w:p>
    <w:p w14:paraId="79A5FFFB" w14:textId="77777777" w:rsidR="00DB767F" w:rsidRPr="00DB767F" w:rsidRDefault="00DB767F" w:rsidP="00DB767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Current Spot Price </w:t>
      </w:r>
    </w:p>
    <w:p w14:paraId="705A337F" w14:textId="77777777" w:rsidR="00DB767F" w:rsidRPr="00DB767F" w:rsidRDefault="00DB767F" w:rsidP="00DB767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Previous Spot Price </w:t>
      </w:r>
    </w:p>
    <w:p w14:paraId="4F767DF4" w14:textId="77777777" w:rsidR="00DB767F" w:rsidRPr="00DB767F" w:rsidRDefault="00DB767F" w:rsidP="00DB767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Expiry Date </w:t>
      </w:r>
    </w:p>
    <w:p w14:paraId="0FCAEC5C"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Minimum Historical Data</w:t>
      </w:r>
    </w:p>
    <w:p w14:paraId="76DA3C6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5 Trading Days</w:t>
      </w:r>
    </w:p>
    <w:p w14:paraId="2D4CBB2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Recommended</w:t>
      </w:r>
    </w:p>
    <w:p w14:paraId="73B4786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30 Trading Days</w:t>
      </w:r>
    </w:p>
    <w:p w14:paraId="6D7BA17E"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Primary Source</w:t>
      </w:r>
    </w:p>
    <w:p w14:paraId="3AEF40B5" w14:textId="77777777" w:rsidR="00DB767F" w:rsidRPr="00DB767F" w:rsidRDefault="00DB767F" w:rsidP="00DB767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NSE Option Chain </w:t>
      </w:r>
    </w:p>
    <w:p w14:paraId="079222D2" w14:textId="77777777" w:rsidR="00DB767F" w:rsidRPr="00DB767F" w:rsidRDefault="00DB767F" w:rsidP="00DB767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Upstox API </w:t>
      </w:r>
    </w:p>
    <w:p w14:paraId="0C4E7536"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2A8E5B20">
          <v:rect id="_x0000_i1090" style="width:0;height:1.5pt" o:hralign="center" o:hrstd="t" o:hr="t" fillcolor="#a0a0a0" stroked="f"/>
        </w:pict>
      </w:r>
    </w:p>
    <w:p w14:paraId="38F33E75"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3. Industry Standard Calculation</w:t>
      </w:r>
    </w:p>
    <w:p w14:paraId="66AFDDED"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Formula</w:t>
      </w:r>
    </w:p>
    <w:p w14:paraId="03E1BB9F" w14:textId="77777777" w:rsidR="00DB767F" w:rsidRPr="00DB767F" w:rsidRDefault="00DB767F" w:rsidP="00DB7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767F">
        <w:rPr>
          <w:rFonts w:ascii="Courier New" w:eastAsia="Times New Roman" w:hAnsi="Courier New" w:cs="Courier New"/>
          <w:sz w:val="20"/>
          <w:szCs w:val="20"/>
        </w:rPr>
        <w:t>OI Change =</w:t>
      </w:r>
    </w:p>
    <w:p w14:paraId="05E7732B" w14:textId="77777777" w:rsidR="00DB767F" w:rsidRPr="00DB767F" w:rsidRDefault="00DB767F" w:rsidP="00DB7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767F">
        <w:rPr>
          <w:rFonts w:ascii="Courier New" w:eastAsia="Times New Roman" w:hAnsi="Courier New" w:cs="Courier New"/>
          <w:sz w:val="20"/>
          <w:szCs w:val="20"/>
        </w:rPr>
        <w:t>Current Open Interest − Previous Open Interest</w:t>
      </w:r>
    </w:p>
    <w:p w14:paraId="1B39F923" w14:textId="77777777" w:rsidR="00DB767F" w:rsidRPr="00DB767F" w:rsidRDefault="00DB767F" w:rsidP="00DB7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767F">
        <w:rPr>
          <w:rFonts w:ascii="Courier New" w:eastAsia="Times New Roman" w:hAnsi="Courier New" w:cs="Courier New"/>
          <w:sz w:val="20"/>
          <w:szCs w:val="20"/>
        </w:rPr>
        <w:t>OI Change (%) =</w:t>
      </w:r>
    </w:p>
    <w:p w14:paraId="1A177641" w14:textId="77777777" w:rsidR="00DB767F" w:rsidRPr="00DB767F" w:rsidRDefault="00DB767F" w:rsidP="00DB7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767F">
        <w:rPr>
          <w:rFonts w:ascii="Courier New" w:eastAsia="Times New Roman" w:hAnsi="Courier New" w:cs="Courier New"/>
          <w:sz w:val="20"/>
          <w:szCs w:val="20"/>
        </w:rPr>
        <w:t>((Current OI − Previous OI) ÷ Previous OI) × 100</w:t>
      </w:r>
    </w:p>
    <w:p w14:paraId="11205A7B"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Implementation Steps</w:t>
      </w:r>
    </w:p>
    <w:p w14:paraId="213BE35F" w14:textId="77777777" w:rsidR="00DB767F" w:rsidRPr="00DB767F" w:rsidRDefault="00DB767F" w:rsidP="00DB767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Retrieve the latest option chain. </w:t>
      </w:r>
    </w:p>
    <w:p w14:paraId="118E8051" w14:textId="77777777" w:rsidR="00DB767F" w:rsidRPr="00DB767F" w:rsidRDefault="00DB767F" w:rsidP="00DB767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Compare current OI with previous OI. </w:t>
      </w:r>
    </w:p>
    <w:p w14:paraId="22DD5DDF" w14:textId="77777777" w:rsidR="00DB767F" w:rsidRPr="00DB767F" w:rsidRDefault="00DB767F" w:rsidP="00DB767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Calculate absolute and percentage change. </w:t>
      </w:r>
    </w:p>
    <w:p w14:paraId="21670191" w14:textId="77777777" w:rsidR="00DB767F" w:rsidRPr="00DB767F" w:rsidRDefault="00DB767F" w:rsidP="00DB767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Compare OI movement with price movement. </w:t>
      </w:r>
    </w:p>
    <w:p w14:paraId="07B3CB15" w14:textId="77777777" w:rsidR="00DB767F" w:rsidRPr="00DB767F" w:rsidRDefault="00DB767F" w:rsidP="00DB767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Classify market positioning. </w:t>
      </w:r>
    </w:p>
    <w:p w14:paraId="178288F9" w14:textId="77777777" w:rsidR="00DB767F" w:rsidRPr="00DB767F" w:rsidRDefault="00DB767F" w:rsidP="00DB767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Generate the Options Score. </w:t>
      </w:r>
    </w:p>
    <w:p w14:paraId="05CD6F9C"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OI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341"/>
        <w:gridCol w:w="1722"/>
      </w:tblGrid>
      <w:tr w:rsidR="00DB767F" w:rsidRPr="00DB767F" w14:paraId="259FCEE7" w14:textId="77777777" w:rsidTr="00DB767F">
        <w:trPr>
          <w:tblHeader/>
          <w:tblCellSpacing w:w="15" w:type="dxa"/>
        </w:trPr>
        <w:tc>
          <w:tcPr>
            <w:tcW w:w="0" w:type="auto"/>
            <w:vAlign w:val="center"/>
            <w:hideMark/>
          </w:tcPr>
          <w:p w14:paraId="353F5B29" w14:textId="77777777" w:rsidR="00DB767F" w:rsidRPr="00DB767F" w:rsidRDefault="00DB767F" w:rsidP="00DB767F">
            <w:pPr>
              <w:spacing w:after="0" w:line="240" w:lineRule="auto"/>
              <w:jc w:val="center"/>
              <w:rPr>
                <w:rFonts w:ascii="Times New Roman" w:eastAsia="Times New Roman" w:hAnsi="Times New Roman" w:cs="Times New Roman"/>
                <w:b/>
                <w:bCs/>
                <w:sz w:val="24"/>
                <w:szCs w:val="24"/>
              </w:rPr>
            </w:pPr>
            <w:r w:rsidRPr="00DB767F">
              <w:rPr>
                <w:rFonts w:ascii="Times New Roman" w:eastAsia="Times New Roman" w:hAnsi="Times New Roman" w:cs="Times New Roman"/>
                <w:b/>
                <w:bCs/>
                <w:sz w:val="24"/>
                <w:szCs w:val="24"/>
              </w:rPr>
              <w:lastRenderedPageBreak/>
              <w:t>Price</w:t>
            </w:r>
          </w:p>
        </w:tc>
        <w:tc>
          <w:tcPr>
            <w:tcW w:w="0" w:type="auto"/>
            <w:vAlign w:val="center"/>
            <w:hideMark/>
          </w:tcPr>
          <w:p w14:paraId="5A99032B" w14:textId="77777777" w:rsidR="00DB767F" w:rsidRPr="00DB767F" w:rsidRDefault="00DB767F" w:rsidP="00DB767F">
            <w:pPr>
              <w:spacing w:after="0" w:line="240" w:lineRule="auto"/>
              <w:jc w:val="center"/>
              <w:rPr>
                <w:rFonts w:ascii="Times New Roman" w:eastAsia="Times New Roman" w:hAnsi="Times New Roman" w:cs="Times New Roman"/>
                <w:b/>
                <w:bCs/>
                <w:sz w:val="24"/>
                <w:szCs w:val="24"/>
              </w:rPr>
            </w:pPr>
            <w:r w:rsidRPr="00DB767F">
              <w:rPr>
                <w:rFonts w:ascii="Times New Roman" w:eastAsia="Times New Roman" w:hAnsi="Times New Roman" w:cs="Times New Roman"/>
                <w:b/>
                <w:bCs/>
                <w:sz w:val="24"/>
                <w:szCs w:val="24"/>
              </w:rPr>
              <w:t>OI</w:t>
            </w:r>
          </w:p>
        </w:tc>
        <w:tc>
          <w:tcPr>
            <w:tcW w:w="0" w:type="auto"/>
            <w:vAlign w:val="center"/>
            <w:hideMark/>
          </w:tcPr>
          <w:p w14:paraId="3B1B6934" w14:textId="77777777" w:rsidR="00DB767F" w:rsidRPr="00DB767F" w:rsidRDefault="00DB767F" w:rsidP="00DB767F">
            <w:pPr>
              <w:spacing w:after="0" w:line="240" w:lineRule="auto"/>
              <w:jc w:val="center"/>
              <w:rPr>
                <w:rFonts w:ascii="Times New Roman" w:eastAsia="Times New Roman" w:hAnsi="Times New Roman" w:cs="Times New Roman"/>
                <w:b/>
                <w:bCs/>
                <w:sz w:val="24"/>
                <w:szCs w:val="24"/>
              </w:rPr>
            </w:pPr>
            <w:r w:rsidRPr="00DB767F">
              <w:rPr>
                <w:rFonts w:ascii="Times New Roman" w:eastAsia="Times New Roman" w:hAnsi="Times New Roman" w:cs="Times New Roman"/>
                <w:b/>
                <w:bCs/>
                <w:sz w:val="24"/>
                <w:szCs w:val="24"/>
              </w:rPr>
              <w:t>Market Signal</w:t>
            </w:r>
          </w:p>
        </w:tc>
      </w:tr>
      <w:tr w:rsidR="00DB767F" w:rsidRPr="00DB767F" w14:paraId="08320992" w14:textId="77777777" w:rsidTr="00DB767F">
        <w:trPr>
          <w:tblCellSpacing w:w="15" w:type="dxa"/>
        </w:trPr>
        <w:tc>
          <w:tcPr>
            <w:tcW w:w="0" w:type="auto"/>
            <w:vAlign w:val="center"/>
            <w:hideMark/>
          </w:tcPr>
          <w:p w14:paraId="7ED133AE"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w:t>
            </w:r>
          </w:p>
        </w:tc>
        <w:tc>
          <w:tcPr>
            <w:tcW w:w="0" w:type="auto"/>
            <w:vAlign w:val="center"/>
            <w:hideMark/>
          </w:tcPr>
          <w:p w14:paraId="3AB88A28"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w:t>
            </w:r>
          </w:p>
        </w:tc>
        <w:tc>
          <w:tcPr>
            <w:tcW w:w="0" w:type="auto"/>
            <w:vAlign w:val="center"/>
            <w:hideMark/>
          </w:tcPr>
          <w:p w14:paraId="5498E264"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Long Build-up</w:t>
            </w:r>
          </w:p>
        </w:tc>
      </w:tr>
      <w:tr w:rsidR="00DB767F" w:rsidRPr="00DB767F" w14:paraId="5297F7E5" w14:textId="77777777" w:rsidTr="00DB767F">
        <w:trPr>
          <w:tblCellSpacing w:w="15" w:type="dxa"/>
        </w:trPr>
        <w:tc>
          <w:tcPr>
            <w:tcW w:w="0" w:type="auto"/>
            <w:vAlign w:val="center"/>
            <w:hideMark/>
          </w:tcPr>
          <w:p w14:paraId="02A5E775"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w:t>
            </w:r>
          </w:p>
        </w:tc>
        <w:tc>
          <w:tcPr>
            <w:tcW w:w="0" w:type="auto"/>
            <w:vAlign w:val="center"/>
            <w:hideMark/>
          </w:tcPr>
          <w:p w14:paraId="31AD1692"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w:t>
            </w:r>
          </w:p>
        </w:tc>
        <w:tc>
          <w:tcPr>
            <w:tcW w:w="0" w:type="auto"/>
            <w:vAlign w:val="center"/>
            <w:hideMark/>
          </w:tcPr>
          <w:p w14:paraId="5847B92E"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Short Covering</w:t>
            </w:r>
          </w:p>
        </w:tc>
      </w:tr>
      <w:tr w:rsidR="00DB767F" w:rsidRPr="00DB767F" w14:paraId="21F0AB37" w14:textId="77777777" w:rsidTr="00DB767F">
        <w:trPr>
          <w:tblCellSpacing w:w="15" w:type="dxa"/>
        </w:trPr>
        <w:tc>
          <w:tcPr>
            <w:tcW w:w="0" w:type="auto"/>
            <w:vAlign w:val="center"/>
            <w:hideMark/>
          </w:tcPr>
          <w:p w14:paraId="2B0DF265"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w:t>
            </w:r>
          </w:p>
        </w:tc>
        <w:tc>
          <w:tcPr>
            <w:tcW w:w="0" w:type="auto"/>
            <w:vAlign w:val="center"/>
            <w:hideMark/>
          </w:tcPr>
          <w:p w14:paraId="5118DD3D"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w:t>
            </w:r>
          </w:p>
        </w:tc>
        <w:tc>
          <w:tcPr>
            <w:tcW w:w="0" w:type="auto"/>
            <w:vAlign w:val="center"/>
            <w:hideMark/>
          </w:tcPr>
          <w:p w14:paraId="41EC511D"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Short Build-up</w:t>
            </w:r>
          </w:p>
        </w:tc>
      </w:tr>
      <w:tr w:rsidR="00DB767F" w:rsidRPr="00DB767F" w14:paraId="592AF886" w14:textId="77777777" w:rsidTr="00DB767F">
        <w:trPr>
          <w:tblCellSpacing w:w="15" w:type="dxa"/>
        </w:trPr>
        <w:tc>
          <w:tcPr>
            <w:tcW w:w="0" w:type="auto"/>
            <w:vAlign w:val="center"/>
            <w:hideMark/>
          </w:tcPr>
          <w:p w14:paraId="28E5231D"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w:t>
            </w:r>
          </w:p>
        </w:tc>
        <w:tc>
          <w:tcPr>
            <w:tcW w:w="0" w:type="auto"/>
            <w:vAlign w:val="center"/>
            <w:hideMark/>
          </w:tcPr>
          <w:p w14:paraId="7980E9F8"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w:t>
            </w:r>
          </w:p>
        </w:tc>
        <w:tc>
          <w:tcPr>
            <w:tcW w:w="0" w:type="auto"/>
            <w:vAlign w:val="center"/>
            <w:hideMark/>
          </w:tcPr>
          <w:p w14:paraId="619CD883"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Long Unwinding</w:t>
            </w:r>
          </w:p>
        </w:tc>
      </w:tr>
    </w:tbl>
    <w:p w14:paraId="608D0BD6"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Notes</w:t>
      </w:r>
    </w:p>
    <w:p w14:paraId="1E0C04CF" w14:textId="77777777" w:rsidR="00DB767F" w:rsidRPr="00DB767F" w:rsidRDefault="00DB767F" w:rsidP="00DB767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Use both absolute and percentage OI Change. </w:t>
      </w:r>
    </w:p>
    <w:p w14:paraId="4E213A89" w14:textId="77777777" w:rsidR="00DB767F" w:rsidRPr="00DB767F" w:rsidRDefault="00DB767F" w:rsidP="00DB767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Compare against previous completed update. </w:t>
      </w:r>
    </w:p>
    <w:p w14:paraId="6BCF8298" w14:textId="77777777" w:rsidR="00DB767F" w:rsidRPr="00DB767F" w:rsidRDefault="00DB767F" w:rsidP="00DB767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Use spot price for classification. </w:t>
      </w:r>
    </w:p>
    <w:p w14:paraId="12D1DF7B"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324A9B84">
          <v:rect id="_x0000_i1091" style="width:0;height:1.5pt" o:hralign="center" o:hrstd="t" o:hr="t" fillcolor="#a0a0a0" stroked="f"/>
        </w:pict>
      </w:r>
    </w:p>
    <w:p w14:paraId="187738A5"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4. Card Fields</w:t>
      </w:r>
    </w:p>
    <w:p w14:paraId="30C4C5F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Current OI Change</w:t>
      </w:r>
    </w:p>
    <w:p w14:paraId="07EA8AA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Absolute Change</w:t>
      </w:r>
    </w:p>
    <w:p w14:paraId="4BD5721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OI Change (%)</w:t>
      </w:r>
    </w:p>
    <w:p w14:paraId="5687E01C"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Percentage Change</w:t>
      </w:r>
    </w:p>
    <w:p w14:paraId="35AD6BA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Market Position</w:t>
      </w:r>
    </w:p>
    <w:p w14:paraId="59072168" w14:textId="77777777" w:rsidR="00DB767F" w:rsidRPr="00DB767F" w:rsidRDefault="00DB767F" w:rsidP="00DB767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Long Build-up </w:t>
      </w:r>
    </w:p>
    <w:p w14:paraId="019980C8" w14:textId="77777777" w:rsidR="00DB767F" w:rsidRPr="00DB767F" w:rsidRDefault="00DB767F" w:rsidP="00DB767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Short Build-up </w:t>
      </w:r>
    </w:p>
    <w:p w14:paraId="78EE1EA4" w14:textId="77777777" w:rsidR="00DB767F" w:rsidRPr="00DB767F" w:rsidRDefault="00DB767F" w:rsidP="00DB767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Long Unwinding </w:t>
      </w:r>
    </w:p>
    <w:p w14:paraId="621A7D4D" w14:textId="77777777" w:rsidR="00DB767F" w:rsidRPr="00DB767F" w:rsidRDefault="00DB767F" w:rsidP="00DB767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Short Covering </w:t>
      </w:r>
    </w:p>
    <w:p w14:paraId="2D45E4C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Score</w:t>
      </w:r>
    </w:p>
    <w:p w14:paraId="6D66EFD9"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0–100</w:t>
      </w:r>
    </w:p>
    <w:p w14:paraId="210C493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Bias</w:t>
      </w:r>
    </w:p>
    <w:p w14:paraId="6F60FC9F" w14:textId="77777777" w:rsidR="00DB767F" w:rsidRPr="00DB767F" w:rsidRDefault="00DB767F" w:rsidP="00DB767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Bullish </w:t>
      </w:r>
    </w:p>
    <w:p w14:paraId="76C84A75" w14:textId="77777777" w:rsidR="00DB767F" w:rsidRPr="00DB767F" w:rsidRDefault="00DB767F" w:rsidP="00DB767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Neutral </w:t>
      </w:r>
    </w:p>
    <w:p w14:paraId="7CDD5D84" w14:textId="77777777" w:rsidR="00DB767F" w:rsidRPr="00DB767F" w:rsidRDefault="00DB767F" w:rsidP="00DB767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Bearish </w:t>
      </w:r>
    </w:p>
    <w:p w14:paraId="53598A4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Confidence</w:t>
      </w:r>
    </w:p>
    <w:p w14:paraId="2D1A092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Positioning Confidence</w:t>
      </w:r>
    </w:p>
    <w:p w14:paraId="5ADEDF3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lastRenderedPageBreak/>
        <w:t>Impact Weight</w:t>
      </w:r>
    </w:p>
    <w:p w14:paraId="3325E89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High</w:t>
      </w:r>
    </w:p>
    <w:p w14:paraId="5059D29C"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733CD5F7">
          <v:rect id="_x0000_i1092" style="width:0;height:1.5pt" o:hralign="center" o:hrstd="t" o:hr="t" fillcolor="#a0a0a0" stroked="f"/>
        </w:pict>
      </w:r>
    </w:p>
    <w:p w14:paraId="20F18304"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634"/>
        <w:gridCol w:w="1509"/>
      </w:tblGrid>
      <w:tr w:rsidR="00DB767F" w:rsidRPr="00DB767F" w14:paraId="47243F23" w14:textId="77777777" w:rsidTr="00DB767F">
        <w:trPr>
          <w:tblHeader/>
          <w:tblCellSpacing w:w="15" w:type="dxa"/>
        </w:trPr>
        <w:tc>
          <w:tcPr>
            <w:tcW w:w="0" w:type="auto"/>
            <w:vAlign w:val="center"/>
            <w:hideMark/>
          </w:tcPr>
          <w:p w14:paraId="6C3BE9D9" w14:textId="77777777" w:rsidR="00DB767F" w:rsidRPr="00DB767F" w:rsidRDefault="00DB767F" w:rsidP="00DB767F">
            <w:pPr>
              <w:spacing w:after="0" w:line="240" w:lineRule="auto"/>
              <w:jc w:val="center"/>
              <w:rPr>
                <w:rFonts w:ascii="Times New Roman" w:eastAsia="Times New Roman" w:hAnsi="Times New Roman" w:cs="Times New Roman"/>
                <w:b/>
                <w:bCs/>
                <w:sz w:val="24"/>
                <w:szCs w:val="24"/>
              </w:rPr>
            </w:pPr>
            <w:r w:rsidRPr="00DB767F">
              <w:rPr>
                <w:rFonts w:ascii="Times New Roman" w:eastAsia="Times New Roman" w:hAnsi="Times New Roman" w:cs="Times New Roman"/>
                <w:b/>
                <w:bCs/>
                <w:sz w:val="24"/>
                <w:szCs w:val="24"/>
              </w:rPr>
              <w:t>Condition</w:t>
            </w:r>
          </w:p>
        </w:tc>
        <w:tc>
          <w:tcPr>
            <w:tcW w:w="0" w:type="auto"/>
            <w:vAlign w:val="center"/>
            <w:hideMark/>
          </w:tcPr>
          <w:p w14:paraId="518708EA" w14:textId="77777777" w:rsidR="00DB767F" w:rsidRPr="00DB767F" w:rsidRDefault="00DB767F" w:rsidP="00DB767F">
            <w:pPr>
              <w:spacing w:after="0" w:line="240" w:lineRule="auto"/>
              <w:jc w:val="center"/>
              <w:rPr>
                <w:rFonts w:ascii="Times New Roman" w:eastAsia="Times New Roman" w:hAnsi="Times New Roman" w:cs="Times New Roman"/>
                <w:b/>
                <w:bCs/>
                <w:sz w:val="24"/>
                <w:szCs w:val="24"/>
              </w:rPr>
            </w:pPr>
            <w:r w:rsidRPr="00DB767F">
              <w:rPr>
                <w:rFonts w:ascii="Times New Roman" w:eastAsia="Times New Roman" w:hAnsi="Times New Roman" w:cs="Times New Roman"/>
                <w:b/>
                <w:bCs/>
                <w:sz w:val="24"/>
                <w:szCs w:val="24"/>
              </w:rPr>
              <w:t>Score</w:t>
            </w:r>
          </w:p>
        </w:tc>
        <w:tc>
          <w:tcPr>
            <w:tcW w:w="0" w:type="auto"/>
            <w:vAlign w:val="center"/>
            <w:hideMark/>
          </w:tcPr>
          <w:p w14:paraId="446DE62E" w14:textId="77777777" w:rsidR="00DB767F" w:rsidRPr="00DB767F" w:rsidRDefault="00DB767F" w:rsidP="00DB767F">
            <w:pPr>
              <w:spacing w:after="0" w:line="240" w:lineRule="auto"/>
              <w:jc w:val="center"/>
              <w:rPr>
                <w:rFonts w:ascii="Times New Roman" w:eastAsia="Times New Roman" w:hAnsi="Times New Roman" w:cs="Times New Roman"/>
                <w:b/>
                <w:bCs/>
                <w:sz w:val="24"/>
                <w:szCs w:val="24"/>
              </w:rPr>
            </w:pPr>
            <w:r w:rsidRPr="00DB767F">
              <w:rPr>
                <w:rFonts w:ascii="Times New Roman" w:eastAsia="Times New Roman" w:hAnsi="Times New Roman" w:cs="Times New Roman"/>
                <w:b/>
                <w:bCs/>
                <w:sz w:val="24"/>
                <w:szCs w:val="24"/>
              </w:rPr>
              <w:t>Bias</w:t>
            </w:r>
          </w:p>
        </w:tc>
      </w:tr>
      <w:tr w:rsidR="00DB767F" w:rsidRPr="00DB767F" w14:paraId="3D6CF1C3" w14:textId="77777777" w:rsidTr="00DB767F">
        <w:trPr>
          <w:tblCellSpacing w:w="15" w:type="dxa"/>
        </w:trPr>
        <w:tc>
          <w:tcPr>
            <w:tcW w:w="0" w:type="auto"/>
            <w:vAlign w:val="center"/>
            <w:hideMark/>
          </w:tcPr>
          <w:p w14:paraId="5497060B"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Strong Long Build-up</w:t>
            </w:r>
          </w:p>
        </w:tc>
        <w:tc>
          <w:tcPr>
            <w:tcW w:w="0" w:type="auto"/>
            <w:vAlign w:val="center"/>
            <w:hideMark/>
          </w:tcPr>
          <w:p w14:paraId="40CFB627"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95</w:t>
            </w:r>
          </w:p>
        </w:tc>
        <w:tc>
          <w:tcPr>
            <w:tcW w:w="0" w:type="auto"/>
            <w:vAlign w:val="center"/>
            <w:hideMark/>
          </w:tcPr>
          <w:p w14:paraId="7B8BCE0E"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Strong Bullish</w:t>
            </w:r>
          </w:p>
        </w:tc>
      </w:tr>
      <w:tr w:rsidR="00DB767F" w:rsidRPr="00DB767F" w14:paraId="73863349" w14:textId="77777777" w:rsidTr="00DB767F">
        <w:trPr>
          <w:tblCellSpacing w:w="15" w:type="dxa"/>
        </w:trPr>
        <w:tc>
          <w:tcPr>
            <w:tcW w:w="0" w:type="auto"/>
            <w:vAlign w:val="center"/>
            <w:hideMark/>
          </w:tcPr>
          <w:p w14:paraId="1783974A"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Short Covering</w:t>
            </w:r>
          </w:p>
        </w:tc>
        <w:tc>
          <w:tcPr>
            <w:tcW w:w="0" w:type="auto"/>
            <w:vAlign w:val="center"/>
            <w:hideMark/>
          </w:tcPr>
          <w:p w14:paraId="2E4FB65E"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82</w:t>
            </w:r>
          </w:p>
        </w:tc>
        <w:tc>
          <w:tcPr>
            <w:tcW w:w="0" w:type="auto"/>
            <w:vAlign w:val="center"/>
            <w:hideMark/>
          </w:tcPr>
          <w:p w14:paraId="43140EBD"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Bullish</w:t>
            </w:r>
          </w:p>
        </w:tc>
      </w:tr>
      <w:tr w:rsidR="00DB767F" w:rsidRPr="00DB767F" w14:paraId="32709B0E" w14:textId="77777777" w:rsidTr="00DB767F">
        <w:trPr>
          <w:tblCellSpacing w:w="15" w:type="dxa"/>
        </w:trPr>
        <w:tc>
          <w:tcPr>
            <w:tcW w:w="0" w:type="auto"/>
            <w:vAlign w:val="center"/>
            <w:hideMark/>
          </w:tcPr>
          <w:p w14:paraId="7E6A746C"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Mixed Signals</w:t>
            </w:r>
          </w:p>
        </w:tc>
        <w:tc>
          <w:tcPr>
            <w:tcW w:w="0" w:type="auto"/>
            <w:vAlign w:val="center"/>
            <w:hideMark/>
          </w:tcPr>
          <w:p w14:paraId="55014BA5"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60</w:t>
            </w:r>
          </w:p>
        </w:tc>
        <w:tc>
          <w:tcPr>
            <w:tcW w:w="0" w:type="auto"/>
            <w:vAlign w:val="center"/>
            <w:hideMark/>
          </w:tcPr>
          <w:p w14:paraId="2DBFCEE3"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Neutral</w:t>
            </w:r>
          </w:p>
        </w:tc>
      </w:tr>
      <w:tr w:rsidR="00DB767F" w:rsidRPr="00DB767F" w14:paraId="6DE76106" w14:textId="77777777" w:rsidTr="00DB767F">
        <w:trPr>
          <w:tblCellSpacing w:w="15" w:type="dxa"/>
        </w:trPr>
        <w:tc>
          <w:tcPr>
            <w:tcW w:w="0" w:type="auto"/>
            <w:vAlign w:val="center"/>
            <w:hideMark/>
          </w:tcPr>
          <w:p w14:paraId="24F93198"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Long Unwinding</w:t>
            </w:r>
          </w:p>
        </w:tc>
        <w:tc>
          <w:tcPr>
            <w:tcW w:w="0" w:type="auto"/>
            <w:vAlign w:val="center"/>
            <w:hideMark/>
          </w:tcPr>
          <w:p w14:paraId="06F04EF7"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35</w:t>
            </w:r>
          </w:p>
        </w:tc>
        <w:tc>
          <w:tcPr>
            <w:tcW w:w="0" w:type="auto"/>
            <w:vAlign w:val="center"/>
            <w:hideMark/>
          </w:tcPr>
          <w:p w14:paraId="4C121CCA"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Bearish</w:t>
            </w:r>
          </w:p>
        </w:tc>
      </w:tr>
      <w:tr w:rsidR="00DB767F" w:rsidRPr="00DB767F" w14:paraId="3C27E180" w14:textId="77777777" w:rsidTr="00DB767F">
        <w:trPr>
          <w:tblCellSpacing w:w="15" w:type="dxa"/>
        </w:trPr>
        <w:tc>
          <w:tcPr>
            <w:tcW w:w="0" w:type="auto"/>
            <w:vAlign w:val="center"/>
            <w:hideMark/>
          </w:tcPr>
          <w:p w14:paraId="608215BE"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Strong Short Build-up</w:t>
            </w:r>
          </w:p>
        </w:tc>
        <w:tc>
          <w:tcPr>
            <w:tcW w:w="0" w:type="auto"/>
            <w:vAlign w:val="center"/>
            <w:hideMark/>
          </w:tcPr>
          <w:p w14:paraId="79890FE2"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10</w:t>
            </w:r>
          </w:p>
        </w:tc>
        <w:tc>
          <w:tcPr>
            <w:tcW w:w="0" w:type="auto"/>
            <w:vAlign w:val="center"/>
            <w:hideMark/>
          </w:tcPr>
          <w:p w14:paraId="1A334697"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Strong Bearish</w:t>
            </w:r>
          </w:p>
        </w:tc>
      </w:tr>
    </w:tbl>
    <w:p w14:paraId="6102D2C0"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Notes</w:t>
      </w:r>
    </w:p>
    <w:p w14:paraId="445BF521" w14:textId="77777777" w:rsidR="00DB767F" w:rsidRPr="00DB767F" w:rsidRDefault="00DB767F" w:rsidP="00DB767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Long Build-up is the strongest bullish signal. </w:t>
      </w:r>
    </w:p>
    <w:p w14:paraId="16D7C39D" w14:textId="77777777" w:rsidR="00DB767F" w:rsidRPr="00DB767F" w:rsidRDefault="00DB767F" w:rsidP="00DB767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Short Build-up is the strongest bearish signal. </w:t>
      </w:r>
    </w:p>
    <w:p w14:paraId="6E782298" w14:textId="77777777" w:rsidR="00DB767F" w:rsidRPr="00DB767F" w:rsidRDefault="00DB767F" w:rsidP="00DB767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Confirm with PCR and Max Pain before assigning strong conviction. </w:t>
      </w:r>
    </w:p>
    <w:p w14:paraId="11D402C7"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7FE95BB7">
          <v:rect id="_x0000_i1093" style="width:0;height:1.5pt" o:hralign="center" o:hrstd="t" o:hr="t" fillcolor="#a0a0a0" stroked="f"/>
        </w:pict>
      </w:r>
    </w:p>
    <w:p w14:paraId="0D7B52F4"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6. Bias Rules</w:t>
      </w:r>
    </w:p>
    <w:p w14:paraId="4F2A192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Long Build-up</w:t>
      </w:r>
    </w:p>
    <w:p w14:paraId="1D12F39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Bullish</w:t>
      </w:r>
    </w:p>
    <w:p w14:paraId="7B16965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Short Covering</w:t>
      </w:r>
    </w:p>
    <w:p w14:paraId="2C92FFF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Bullish</w:t>
      </w:r>
    </w:p>
    <w:p w14:paraId="1E73928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Long Unwinding</w:t>
      </w:r>
    </w:p>
    <w:p w14:paraId="52C859E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Bearish</w:t>
      </w:r>
    </w:p>
    <w:p w14:paraId="6B2D89C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Short Build-up</w:t>
      </w:r>
    </w:p>
    <w:p w14:paraId="4D0B33C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Strong Bearish</w:t>
      </w:r>
    </w:p>
    <w:p w14:paraId="41CDC0F1"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36706667">
          <v:rect id="_x0000_i1094" style="width:0;height:1.5pt" o:hralign="center" o:hrstd="t" o:hr="t" fillcolor="#a0a0a0" stroked="f"/>
        </w:pict>
      </w:r>
    </w:p>
    <w:p w14:paraId="0D6FB61F"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lastRenderedPageBreak/>
        <w:t>7. Confidence Logic</w:t>
      </w:r>
    </w:p>
    <w:p w14:paraId="11AA6B3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Base Confidence</w:t>
      </w:r>
    </w:p>
    <w:p w14:paraId="51DF563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90%</w:t>
      </w:r>
    </w:p>
    <w:p w14:paraId="7FFC9D1A"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Increase Confidence</w:t>
      </w:r>
    </w:p>
    <w:p w14:paraId="1923F61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+5% High trading volume</w:t>
      </w:r>
    </w:p>
    <w:p w14:paraId="13A3BB5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+5% PCR confirmation</w:t>
      </w:r>
    </w:p>
    <w:p w14:paraId="0B562E2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+5% Max Pain confirmation</w:t>
      </w:r>
    </w:p>
    <w:p w14:paraId="04346CB4"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Decrease Confidence</w:t>
      </w:r>
    </w:p>
    <w:p w14:paraId="6A3AD82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-10% Low option volume</w:t>
      </w:r>
    </w:p>
    <w:p w14:paraId="6E835B2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-5% Expiry-day volatility</w:t>
      </w:r>
    </w:p>
    <w:p w14:paraId="404D0B9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-5% Incomplete option chain</w:t>
      </w:r>
    </w:p>
    <w:p w14:paraId="66C15AD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Minimum</w:t>
      </w:r>
    </w:p>
    <w:p w14:paraId="22C7E26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65%</w:t>
      </w:r>
    </w:p>
    <w:p w14:paraId="69451E2C"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Maximum</w:t>
      </w:r>
    </w:p>
    <w:p w14:paraId="1BA363E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99%</w:t>
      </w:r>
    </w:p>
    <w:p w14:paraId="663BD680"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11155F0D">
          <v:rect id="_x0000_i1095" style="width:0;height:1.5pt" o:hralign="center" o:hrstd="t" o:hr="t" fillcolor="#a0a0a0" stroked="f"/>
        </w:pict>
      </w:r>
    </w:p>
    <w:p w14:paraId="20A0E0F1"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8. Score Range Bar</w:t>
      </w:r>
    </w:p>
    <w:p w14:paraId="56E23B5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Minimum</w:t>
      </w:r>
    </w:p>
    <w:p w14:paraId="400C595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0</w:t>
      </w:r>
    </w:p>
    <w:p w14:paraId="34CD4B4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Maximum</w:t>
      </w:r>
    </w:p>
    <w:p w14:paraId="42CDE4B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100</w:t>
      </w:r>
    </w:p>
    <w:p w14:paraId="6FCC3F5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Pointer</w:t>
      </w:r>
    </w:p>
    <w:p w14:paraId="09A68D9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lastRenderedPageBreak/>
        <w:t>Current Score</w:t>
      </w:r>
    </w:p>
    <w:p w14:paraId="5592173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Average Marker</w:t>
      </w:r>
    </w:p>
    <w:p w14:paraId="6092935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30-Day Average Score</w:t>
      </w:r>
    </w:p>
    <w:p w14:paraId="722C61ED"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Color Zones</w:t>
      </w:r>
    </w:p>
    <w:p w14:paraId="2BB5A6B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0–30 → Strong Bearish</w:t>
      </w:r>
    </w:p>
    <w:p w14:paraId="72C9068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30–60 → Weak</w:t>
      </w:r>
    </w:p>
    <w:p w14:paraId="250D542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60–80 → Neutral</w:t>
      </w:r>
    </w:p>
    <w:p w14:paraId="0B61F24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80–100 → Strong Bullish</w:t>
      </w:r>
    </w:p>
    <w:p w14:paraId="4798314F"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7BEC4332">
          <v:rect id="_x0000_i1096" style="width:0;height:1.5pt" o:hralign="center" o:hrstd="t" o:hr="t" fillcolor="#a0a0a0" stroked="f"/>
        </w:pict>
      </w:r>
    </w:p>
    <w:p w14:paraId="34A88149"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9. Dual Trend Chart</w:t>
      </w:r>
    </w:p>
    <w:p w14:paraId="3F74A25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Chart Type</w:t>
      </w:r>
    </w:p>
    <w:p w14:paraId="7884AEC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Dual Line</w:t>
      </w:r>
    </w:p>
    <w:p w14:paraId="1531297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Line 1</w:t>
      </w:r>
    </w:p>
    <w:p w14:paraId="1A0F62F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OI Change (%)</w:t>
      </w:r>
    </w:p>
    <w:p w14:paraId="5B5456D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Line 2</w:t>
      </w:r>
    </w:p>
    <w:p w14:paraId="4D93C63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Praxis Score</w:t>
      </w:r>
    </w:p>
    <w:p w14:paraId="3928764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History</w:t>
      </w:r>
    </w:p>
    <w:p w14:paraId="604EB8D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30 Trading Days</w:t>
      </w:r>
    </w:p>
    <w:p w14:paraId="471606A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Update</w:t>
      </w:r>
    </w:p>
    <w:p w14:paraId="3309A90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Every option chain refresh.</w:t>
      </w:r>
    </w:p>
    <w:p w14:paraId="14A75202"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31DACE53">
          <v:rect id="_x0000_i1097" style="width:0;height:1.5pt" o:hralign="center" o:hrstd="t" o:hr="t" fillcolor="#a0a0a0" stroked="f"/>
        </w:pict>
      </w:r>
    </w:p>
    <w:p w14:paraId="7201DAFC"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10. AI Insight Rules</w:t>
      </w:r>
    </w:p>
    <w:p w14:paraId="4C3AE19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lastRenderedPageBreak/>
        <w:t>Long Build-up</w:t>
      </w:r>
    </w:p>
    <w:p w14:paraId="09ED5B5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Explain that new long positions are being created, supporting continued upward momentum.</w:t>
      </w:r>
    </w:p>
    <w:p w14:paraId="71D6BBC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Short Covering</w:t>
      </w:r>
    </w:p>
    <w:p w14:paraId="55EE959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Explain that bearish positions are being closed, supporting near-term upside.</w:t>
      </w:r>
    </w:p>
    <w:p w14:paraId="3CED82A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Long Unwinding</w:t>
      </w:r>
    </w:p>
    <w:p w14:paraId="7EBAB88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Explain that existing long positions are being exited, weakening bullish momentum.</w:t>
      </w:r>
    </w:p>
    <w:p w14:paraId="5C460E2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Short Build-up</w:t>
      </w:r>
    </w:p>
    <w:p w14:paraId="0699B26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Explain that new bearish positions are entering the market, increasing downside pressure.</w:t>
      </w:r>
    </w:p>
    <w:p w14:paraId="515EEBA5"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322A150E">
          <v:rect id="_x0000_i1098" style="width:0;height:1.5pt" o:hralign="center" o:hrstd="t" o:hr="t" fillcolor="#a0a0a0" stroked="f"/>
        </w:pict>
      </w:r>
    </w:p>
    <w:p w14:paraId="4182EFEF"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11. Why It Matters</w:t>
      </w:r>
    </w:p>
    <w:p w14:paraId="573B793E" w14:textId="77777777" w:rsidR="00DB767F" w:rsidRPr="00DB767F" w:rsidRDefault="00DB767F" w:rsidP="00DB767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Identifies institutional positioning. </w:t>
      </w:r>
    </w:p>
    <w:p w14:paraId="1FA71C10" w14:textId="77777777" w:rsidR="00DB767F" w:rsidRPr="00DB767F" w:rsidRDefault="00DB767F" w:rsidP="00DB767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Distinguishes fresh positions from position unwinding. </w:t>
      </w:r>
    </w:p>
    <w:p w14:paraId="68EC51CD" w14:textId="77777777" w:rsidR="00DB767F" w:rsidRPr="00DB767F" w:rsidRDefault="00DB767F" w:rsidP="00DB767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Confirms trend strength. </w:t>
      </w:r>
    </w:p>
    <w:p w14:paraId="4D0B03F5" w14:textId="77777777" w:rsidR="00DB767F" w:rsidRPr="00DB767F" w:rsidRDefault="00DB767F" w:rsidP="00DB767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Improves options sentiment analysis. </w:t>
      </w:r>
    </w:p>
    <w:p w14:paraId="3AA3A9B7" w14:textId="77777777" w:rsidR="00DB767F" w:rsidRPr="00DB767F" w:rsidRDefault="00DB767F" w:rsidP="00DB767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Supports short-term market direction assessment. </w:t>
      </w:r>
    </w:p>
    <w:p w14:paraId="33B2B7E9"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137677D4">
          <v:rect id="_x0000_i1099" style="width:0;height:1.5pt" o:hralign="center" o:hrstd="t" o:hr="t" fillcolor="#a0a0a0" stroked="f"/>
        </w:pict>
      </w:r>
    </w:p>
    <w:p w14:paraId="6A4624BB"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12. Trading Impact</w:t>
      </w:r>
    </w:p>
    <w:p w14:paraId="1FFC17E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Intraday</w:t>
      </w:r>
    </w:p>
    <w:p w14:paraId="252D464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Segoe UI Symbol" w:eastAsia="Times New Roman" w:hAnsi="Segoe UI Symbol" w:cs="Segoe UI Symbol"/>
          <w:sz w:val="24"/>
          <w:szCs w:val="24"/>
        </w:rPr>
        <w:t>★★★★★</w:t>
      </w:r>
    </w:p>
    <w:p w14:paraId="54ED80A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Swing Trading</w:t>
      </w:r>
    </w:p>
    <w:p w14:paraId="366CB03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Segoe UI Symbol" w:eastAsia="Times New Roman" w:hAnsi="Segoe UI Symbol" w:cs="Segoe UI Symbol"/>
          <w:sz w:val="24"/>
          <w:szCs w:val="24"/>
        </w:rPr>
        <w:t>★★★★☆</w:t>
      </w:r>
    </w:p>
    <w:p w14:paraId="02B07D3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Positional Trading</w:t>
      </w:r>
    </w:p>
    <w:p w14:paraId="47C0043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Segoe UI Symbol" w:eastAsia="Times New Roman" w:hAnsi="Segoe UI Symbol" w:cs="Segoe UI Symbol"/>
          <w:sz w:val="24"/>
          <w:szCs w:val="24"/>
        </w:rPr>
        <w:t>★★★☆☆</w:t>
      </w:r>
    </w:p>
    <w:p w14:paraId="2C6E8109"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Options Trading</w:t>
      </w:r>
    </w:p>
    <w:p w14:paraId="2658F29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Segoe UI Symbol" w:eastAsia="Times New Roman" w:hAnsi="Segoe UI Symbol" w:cs="Segoe UI Symbol"/>
          <w:sz w:val="24"/>
          <w:szCs w:val="24"/>
        </w:rPr>
        <w:lastRenderedPageBreak/>
        <w:t>★★★★★</w:t>
      </w:r>
    </w:p>
    <w:p w14:paraId="3D5F46CC"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Best Use</w:t>
      </w:r>
    </w:p>
    <w:p w14:paraId="0B2BE5F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Identifying market positioning and trend strength.</w:t>
      </w:r>
    </w:p>
    <w:p w14:paraId="2E20FC4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Avoid Using Alone</w:t>
      </w:r>
    </w:p>
    <w:p w14:paraId="427A422C"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Yes</w:t>
      </w:r>
    </w:p>
    <w:p w14:paraId="674975C9"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42DFCD44">
          <v:rect id="_x0000_i1100" style="width:0;height:1.5pt" o:hralign="center" o:hrstd="t" o:hr="t" fillcolor="#a0a0a0" stroked="f"/>
        </w:pict>
      </w:r>
    </w:p>
    <w:p w14:paraId="08389E21"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13. Supporting Indicators</w:t>
      </w:r>
    </w:p>
    <w:p w14:paraId="7F16FFFF" w14:textId="77777777" w:rsidR="00DB767F" w:rsidRPr="00DB767F" w:rsidRDefault="00DB767F" w:rsidP="00DB767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Total Call Open Interest </w:t>
      </w:r>
    </w:p>
    <w:p w14:paraId="3067D9B1" w14:textId="77777777" w:rsidR="00DB767F" w:rsidRPr="00DB767F" w:rsidRDefault="00DB767F" w:rsidP="00DB767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Total Put Open Interest </w:t>
      </w:r>
    </w:p>
    <w:p w14:paraId="1B171F1D" w14:textId="77777777" w:rsidR="00DB767F" w:rsidRPr="00DB767F" w:rsidRDefault="00DB767F" w:rsidP="00DB767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PCR (OI) </w:t>
      </w:r>
    </w:p>
    <w:p w14:paraId="61115DC5" w14:textId="77777777" w:rsidR="00DB767F" w:rsidRPr="00DB767F" w:rsidRDefault="00DB767F" w:rsidP="00DB767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PCR (Volume) </w:t>
      </w:r>
    </w:p>
    <w:p w14:paraId="72473E48" w14:textId="77777777" w:rsidR="00DB767F" w:rsidRPr="00DB767F" w:rsidRDefault="00DB767F" w:rsidP="00DB767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Max Pain </w:t>
      </w:r>
    </w:p>
    <w:p w14:paraId="322D49B1" w14:textId="77777777" w:rsidR="00DB767F" w:rsidRPr="00DB767F" w:rsidRDefault="00DB767F" w:rsidP="00DB767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ATM IV </w:t>
      </w:r>
    </w:p>
    <w:p w14:paraId="0E70D6C2"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1ED28DF6">
          <v:rect id="_x0000_i1101" style="width:0;height:1.5pt" o:hralign="center" o:hrstd="t" o:hr="t" fillcolor="#a0a0a0" stroked="f"/>
        </w:pict>
      </w:r>
    </w:p>
    <w:p w14:paraId="19EB8095"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14. Metadata</w:t>
      </w:r>
    </w:p>
    <w:p w14:paraId="7AB09F2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Source</w:t>
      </w:r>
    </w:p>
    <w:p w14:paraId="64D5AE5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NSE Option Chain / Upstox API</w:t>
      </w:r>
    </w:p>
    <w:p w14:paraId="748F563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Calculation</w:t>
      </w:r>
    </w:p>
    <w:p w14:paraId="39EC594C"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Backend</w:t>
      </w:r>
    </w:p>
    <w:p w14:paraId="3B2A8B4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Updated</w:t>
      </w:r>
    </w:p>
    <w:p w14:paraId="6A2D23D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Every Option Chain Refresh</w:t>
      </w:r>
    </w:p>
    <w:p w14:paraId="60C5BAA9"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proofErr w:type="spellStart"/>
      <w:r w:rsidRPr="00DB767F">
        <w:rPr>
          <w:rFonts w:ascii="Times New Roman" w:eastAsia="Times New Roman" w:hAnsi="Times New Roman" w:cs="Times New Roman"/>
          <w:b/>
          <w:bCs/>
          <w:sz w:val="24"/>
          <w:szCs w:val="24"/>
        </w:rPr>
        <w:t>Timezone</w:t>
      </w:r>
      <w:proofErr w:type="spellEnd"/>
    </w:p>
    <w:p w14:paraId="1C96DC6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Asia/Kolkata</w:t>
      </w:r>
    </w:p>
    <w:p w14:paraId="62916029"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Storage</w:t>
      </w:r>
    </w:p>
    <w:p w14:paraId="7E22E67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Local Electron Database</w:t>
      </w:r>
    </w:p>
    <w:p w14:paraId="1BEFB6A7"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lastRenderedPageBreak/>
        <w:pict w14:anchorId="0E9CCB32">
          <v:rect id="_x0000_i1102" style="width:0;height:1.5pt" o:hralign="center" o:hrstd="t" o:hr="t" fillcolor="#a0a0a0" stroked="f"/>
        </w:pict>
      </w:r>
    </w:p>
    <w:p w14:paraId="563ED54C"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15. Developer Notes</w:t>
      </w:r>
    </w:p>
    <w:p w14:paraId="43899A0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Store:</w:t>
      </w:r>
    </w:p>
    <w:p w14:paraId="10E6DB15" w14:textId="77777777" w:rsidR="00DB767F" w:rsidRPr="00DB767F" w:rsidRDefault="00DB767F" w:rsidP="00DB767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Current OI </w:t>
      </w:r>
    </w:p>
    <w:p w14:paraId="036F749F" w14:textId="77777777" w:rsidR="00DB767F" w:rsidRPr="00DB767F" w:rsidRDefault="00DB767F" w:rsidP="00DB767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Previous OI </w:t>
      </w:r>
    </w:p>
    <w:p w14:paraId="65D9AFE2" w14:textId="77777777" w:rsidR="00DB767F" w:rsidRPr="00DB767F" w:rsidRDefault="00DB767F" w:rsidP="00DB767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OI Change </w:t>
      </w:r>
    </w:p>
    <w:p w14:paraId="6B3D4CD0" w14:textId="77777777" w:rsidR="00DB767F" w:rsidRPr="00DB767F" w:rsidRDefault="00DB767F" w:rsidP="00DB767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OI Change (%) </w:t>
      </w:r>
    </w:p>
    <w:p w14:paraId="29B8ADFE" w14:textId="77777777" w:rsidR="00DB767F" w:rsidRPr="00DB767F" w:rsidRDefault="00DB767F" w:rsidP="00DB767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Position Classification </w:t>
      </w:r>
    </w:p>
    <w:p w14:paraId="2CF7A871" w14:textId="77777777" w:rsidR="00DB767F" w:rsidRPr="00DB767F" w:rsidRDefault="00DB767F" w:rsidP="00DB767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Current Score </w:t>
      </w:r>
    </w:p>
    <w:p w14:paraId="3405AF40" w14:textId="77777777" w:rsidR="00DB767F" w:rsidRPr="00DB767F" w:rsidRDefault="00DB767F" w:rsidP="00DB767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Confidence </w:t>
      </w:r>
    </w:p>
    <w:p w14:paraId="5920E691" w14:textId="77777777" w:rsidR="00DB767F" w:rsidRPr="00DB767F" w:rsidRDefault="00DB767F" w:rsidP="00DB767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Last Updated </w:t>
      </w:r>
    </w:p>
    <w:p w14:paraId="5E3A2AF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Maintain historical OI snapshots to accurately calculate changes. Recalculate immediately after every option chain update and classify market positioning using both price and OI movement.</w:t>
      </w:r>
    </w:p>
    <w:p w14:paraId="788FC502"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302BF2D0">
          <v:rect id="_x0000_i1103" style="width:0;height:1.5pt" o:hralign="center" o:hrstd="t" o:hr="t" fillcolor="#a0a0a0" stroked="f"/>
        </w:pict>
      </w:r>
    </w:p>
    <w:p w14:paraId="3E85D829"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 xml:space="preserve">16. Praxis Engine Integration </w:t>
      </w:r>
      <w:r w:rsidRPr="00DB767F">
        <w:rPr>
          <w:rFonts w:ascii="Segoe UI Emoji" w:eastAsia="Times New Roman" w:hAnsi="Segoe UI Emoji" w:cs="Segoe UI Emoji"/>
          <w:b/>
          <w:bCs/>
          <w:kern w:val="36"/>
          <w:sz w:val="48"/>
          <w:szCs w:val="48"/>
        </w:rPr>
        <w:t>⭐</w:t>
      </w:r>
    </w:p>
    <w:p w14:paraId="2FC26F3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Engine Weight</w:t>
      </w:r>
    </w:p>
    <w:p w14:paraId="513268E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Configurable</w:t>
      </w:r>
    </w:p>
    <w:p w14:paraId="15EF356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Relative Importance</w:t>
      </w:r>
    </w:p>
    <w:p w14:paraId="14E1190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Very High</w:t>
      </w:r>
    </w:p>
    <w:p w14:paraId="1A88C149"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Decision Engine Role</w:t>
      </w:r>
    </w:p>
    <w:p w14:paraId="0B6BCE69"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Market Positioning Assessment</w:t>
      </w:r>
    </w:p>
    <w:p w14:paraId="41DA5129"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Primary Use</w:t>
      </w:r>
    </w:p>
    <w:p w14:paraId="6F68628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Identify whether institutional traders are building or unwinding long and short positions.</w:t>
      </w:r>
    </w:p>
    <w:p w14:paraId="12984CE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Bullish Confirmation</w:t>
      </w:r>
    </w:p>
    <w:p w14:paraId="77CA0F01" w14:textId="77777777" w:rsidR="00DB767F" w:rsidRPr="00DB767F" w:rsidRDefault="00DB767F" w:rsidP="00DB767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Long Build-up </w:t>
      </w:r>
    </w:p>
    <w:p w14:paraId="1DAE8D34" w14:textId="77777777" w:rsidR="00DB767F" w:rsidRPr="00DB767F" w:rsidRDefault="00DB767F" w:rsidP="00DB767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Rising Put OI </w:t>
      </w:r>
    </w:p>
    <w:p w14:paraId="4C6BD6D6" w14:textId="77777777" w:rsidR="00DB767F" w:rsidRPr="00DB767F" w:rsidRDefault="00DB767F" w:rsidP="00DB767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Bullish PCR </w:t>
      </w:r>
    </w:p>
    <w:p w14:paraId="601DAC8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lastRenderedPageBreak/>
        <w:t>Bearish Confirmation</w:t>
      </w:r>
    </w:p>
    <w:p w14:paraId="6D6FA5C1" w14:textId="77777777" w:rsidR="00DB767F" w:rsidRPr="00DB767F" w:rsidRDefault="00DB767F" w:rsidP="00DB767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Short Build-up </w:t>
      </w:r>
    </w:p>
    <w:p w14:paraId="6F36D598" w14:textId="77777777" w:rsidR="00DB767F" w:rsidRPr="00DB767F" w:rsidRDefault="00DB767F" w:rsidP="00DB767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Rising Call OI </w:t>
      </w:r>
    </w:p>
    <w:p w14:paraId="25AD2B6C" w14:textId="77777777" w:rsidR="00DB767F" w:rsidRPr="00DB767F" w:rsidRDefault="00DB767F" w:rsidP="00DB767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Bearish PCR </w:t>
      </w:r>
    </w:p>
    <w:p w14:paraId="7F6783C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Display Priority</w:t>
      </w:r>
    </w:p>
    <w:p w14:paraId="4138712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Highest</w:t>
      </w:r>
    </w:p>
    <w:p w14:paraId="2D5A57DD"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210EF180">
          <v:rect id="_x0000_i1104" style="width:0;height:1.5pt" o:hralign="center" o:hrstd="t" o:hr="t" fillcolor="#a0a0a0" stroked="f"/>
        </w:pict>
      </w:r>
    </w:p>
    <w:p w14:paraId="7DE97992"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17. Praxis Recommendation</w:t>
      </w:r>
    </w:p>
    <w:p w14:paraId="00E9D06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Open Interest Change should be the </w:t>
      </w:r>
      <w:r w:rsidRPr="00DB767F">
        <w:rPr>
          <w:rFonts w:ascii="Times New Roman" w:eastAsia="Times New Roman" w:hAnsi="Times New Roman" w:cs="Times New Roman"/>
          <w:b/>
          <w:bCs/>
          <w:sz w:val="24"/>
          <w:szCs w:val="24"/>
        </w:rPr>
        <w:t>primary positioning indicator</w:t>
      </w:r>
      <w:r w:rsidRPr="00DB767F">
        <w:rPr>
          <w:rFonts w:ascii="Times New Roman" w:eastAsia="Times New Roman" w:hAnsi="Times New Roman" w:cs="Times New Roman"/>
          <w:sz w:val="24"/>
          <w:szCs w:val="24"/>
        </w:rPr>
        <w:t xml:space="preserve"> within the Open Interest category.</w:t>
      </w:r>
    </w:p>
    <w:p w14:paraId="24ECA45C"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Open Interest Hierarchy</w:t>
      </w:r>
    </w:p>
    <w:p w14:paraId="256A25F5" w14:textId="77777777" w:rsidR="00DB767F" w:rsidRPr="00DB767F" w:rsidRDefault="00DB767F" w:rsidP="00DB767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B767F">
        <w:rPr>
          <w:rFonts w:ascii="Segoe UI Emoji" w:eastAsia="Times New Roman" w:hAnsi="Segoe UI Emoji" w:cs="Segoe UI Emoji"/>
          <w:sz w:val="24"/>
          <w:szCs w:val="24"/>
        </w:rPr>
        <w:t>⭐⭐⭐⭐⭐</w:t>
      </w:r>
      <w:r w:rsidRPr="00DB767F">
        <w:rPr>
          <w:rFonts w:ascii="Times New Roman" w:eastAsia="Times New Roman" w:hAnsi="Times New Roman" w:cs="Times New Roman"/>
          <w:sz w:val="24"/>
          <w:szCs w:val="24"/>
        </w:rPr>
        <w:t xml:space="preserve"> Open Interest Change </w:t>
      </w:r>
    </w:p>
    <w:p w14:paraId="743EE062" w14:textId="77777777" w:rsidR="00DB767F" w:rsidRPr="00DB767F" w:rsidRDefault="00DB767F" w:rsidP="00DB767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B767F">
        <w:rPr>
          <w:rFonts w:ascii="Segoe UI Emoji" w:eastAsia="Times New Roman" w:hAnsi="Segoe UI Emoji" w:cs="Segoe UI Emoji"/>
          <w:sz w:val="24"/>
          <w:szCs w:val="24"/>
        </w:rPr>
        <w:t>⭐⭐⭐⭐⭐</w:t>
      </w:r>
      <w:r w:rsidRPr="00DB767F">
        <w:rPr>
          <w:rFonts w:ascii="Times New Roman" w:eastAsia="Times New Roman" w:hAnsi="Times New Roman" w:cs="Times New Roman"/>
          <w:sz w:val="24"/>
          <w:szCs w:val="24"/>
        </w:rPr>
        <w:t xml:space="preserve"> Total Call Open Interest </w:t>
      </w:r>
    </w:p>
    <w:p w14:paraId="2B3316E3" w14:textId="77777777" w:rsidR="00DB767F" w:rsidRPr="00DB767F" w:rsidRDefault="00DB767F" w:rsidP="00DB767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B767F">
        <w:rPr>
          <w:rFonts w:ascii="Segoe UI Emoji" w:eastAsia="Times New Roman" w:hAnsi="Segoe UI Emoji" w:cs="Segoe UI Emoji"/>
          <w:sz w:val="24"/>
          <w:szCs w:val="24"/>
        </w:rPr>
        <w:t>⭐⭐⭐⭐⭐</w:t>
      </w:r>
      <w:r w:rsidRPr="00DB767F">
        <w:rPr>
          <w:rFonts w:ascii="Times New Roman" w:eastAsia="Times New Roman" w:hAnsi="Times New Roman" w:cs="Times New Roman"/>
          <w:sz w:val="24"/>
          <w:szCs w:val="24"/>
        </w:rPr>
        <w:t xml:space="preserve"> Total Put Open Interest </w:t>
      </w:r>
    </w:p>
    <w:p w14:paraId="6201C752"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Engine Rules</w:t>
      </w:r>
    </w:p>
    <w:p w14:paraId="79489237" w14:textId="77777777" w:rsidR="00DB767F" w:rsidRPr="00DB767F" w:rsidRDefault="00DB767F" w:rsidP="00DB767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Rising Price + Rising OI → Long Build-up → Increase Options Score. </w:t>
      </w:r>
    </w:p>
    <w:p w14:paraId="701E4ABA" w14:textId="77777777" w:rsidR="00DB767F" w:rsidRPr="00DB767F" w:rsidRDefault="00DB767F" w:rsidP="00DB767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Falling Price + Rising OI → Short Build-up → Reduce Options Score. </w:t>
      </w:r>
    </w:p>
    <w:p w14:paraId="5525C06C" w14:textId="77777777" w:rsidR="00DB767F" w:rsidRPr="00DB767F" w:rsidRDefault="00DB767F" w:rsidP="00DB767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Rising Price + Falling OI → Short Covering → Moderate Bullish. </w:t>
      </w:r>
    </w:p>
    <w:p w14:paraId="2453DD02" w14:textId="77777777" w:rsidR="00DB767F" w:rsidRPr="00DB767F" w:rsidRDefault="00DB767F" w:rsidP="00DB767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Falling Price + Falling OI → Long Unwinding → Moderate Bearish.</w:t>
      </w:r>
    </w:p>
    <w:p w14:paraId="565D7414" w14:textId="6B5E338D" w:rsidR="00DB767F" w:rsidRDefault="00DB767F"/>
    <w:p w14:paraId="63F7073B" w14:textId="29882ADB" w:rsidR="00DB767F" w:rsidRDefault="00DB767F" w:rsidP="00DB767F">
      <w:pPr>
        <w:spacing w:after="0" w:line="240" w:lineRule="auto"/>
        <w:rPr>
          <w:rFonts w:ascii="Times New Roman" w:eastAsia="Times New Roman" w:hAnsi="Times New Roman" w:cs="Times New Roman"/>
          <w:sz w:val="24"/>
          <w:szCs w:val="24"/>
        </w:rPr>
      </w:pPr>
    </w:p>
    <w:p w14:paraId="67E0CA7B" w14:textId="35C4AFFE" w:rsidR="00A5115D" w:rsidRDefault="00A5115D" w:rsidP="00DB767F">
      <w:pPr>
        <w:spacing w:after="0" w:line="240" w:lineRule="auto"/>
        <w:rPr>
          <w:rFonts w:ascii="Times New Roman" w:eastAsia="Times New Roman" w:hAnsi="Times New Roman" w:cs="Times New Roman"/>
          <w:sz w:val="24"/>
          <w:szCs w:val="24"/>
        </w:rPr>
      </w:pPr>
    </w:p>
    <w:p w14:paraId="55A07EE9" w14:textId="0931901B" w:rsidR="00A5115D" w:rsidRDefault="00A5115D" w:rsidP="00DB767F">
      <w:pPr>
        <w:spacing w:after="0" w:line="240" w:lineRule="auto"/>
        <w:rPr>
          <w:rFonts w:ascii="Times New Roman" w:eastAsia="Times New Roman" w:hAnsi="Times New Roman" w:cs="Times New Roman"/>
          <w:sz w:val="24"/>
          <w:szCs w:val="24"/>
        </w:rPr>
      </w:pPr>
    </w:p>
    <w:p w14:paraId="4D721F05" w14:textId="2E1CDA09" w:rsidR="00A5115D" w:rsidRDefault="00A5115D" w:rsidP="00DB767F">
      <w:pPr>
        <w:spacing w:after="0" w:line="240" w:lineRule="auto"/>
        <w:rPr>
          <w:rFonts w:ascii="Times New Roman" w:eastAsia="Times New Roman" w:hAnsi="Times New Roman" w:cs="Times New Roman"/>
          <w:sz w:val="24"/>
          <w:szCs w:val="24"/>
        </w:rPr>
      </w:pPr>
    </w:p>
    <w:p w14:paraId="23E54F3B" w14:textId="2F1D5A9C" w:rsidR="00A5115D" w:rsidRDefault="00A5115D" w:rsidP="00DB767F">
      <w:pPr>
        <w:spacing w:after="0" w:line="240" w:lineRule="auto"/>
        <w:rPr>
          <w:rFonts w:ascii="Times New Roman" w:eastAsia="Times New Roman" w:hAnsi="Times New Roman" w:cs="Times New Roman"/>
          <w:sz w:val="24"/>
          <w:szCs w:val="24"/>
        </w:rPr>
      </w:pPr>
    </w:p>
    <w:p w14:paraId="1429D3CA" w14:textId="23AE99F1" w:rsidR="00A5115D" w:rsidRDefault="00A5115D" w:rsidP="00DB767F">
      <w:pPr>
        <w:spacing w:after="0" w:line="240" w:lineRule="auto"/>
        <w:rPr>
          <w:rFonts w:ascii="Times New Roman" w:eastAsia="Times New Roman" w:hAnsi="Times New Roman" w:cs="Times New Roman"/>
          <w:sz w:val="24"/>
          <w:szCs w:val="24"/>
        </w:rPr>
      </w:pPr>
    </w:p>
    <w:p w14:paraId="7C5476CF" w14:textId="4F5ECF3F" w:rsidR="00A5115D" w:rsidRDefault="00A5115D" w:rsidP="00DB767F">
      <w:pPr>
        <w:spacing w:after="0" w:line="240" w:lineRule="auto"/>
        <w:rPr>
          <w:rFonts w:ascii="Times New Roman" w:eastAsia="Times New Roman" w:hAnsi="Times New Roman" w:cs="Times New Roman"/>
          <w:sz w:val="24"/>
          <w:szCs w:val="24"/>
        </w:rPr>
      </w:pPr>
    </w:p>
    <w:p w14:paraId="03417B08" w14:textId="02199EE7" w:rsidR="00A5115D" w:rsidRDefault="00A5115D" w:rsidP="00DB767F">
      <w:pPr>
        <w:spacing w:after="0" w:line="240" w:lineRule="auto"/>
        <w:rPr>
          <w:rFonts w:ascii="Times New Roman" w:eastAsia="Times New Roman" w:hAnsi="Times New Roman" w:cs="Times New Roman"/>
          <w:sz w:val="24"/>
          <w:szCs w:val="24"/>
        </w:rPr>
      </w:pPr>
    </w:p>
    <w:p w14:paraId="2BF1B1DA" w14:textId="7240CFEE" w:rsidR="00A5115D" w:rsidRDefault="00A5115D" w:rsidP="00DB767F">
      <w:pPr>
        <w:spacing w:after="0" w:line="240" w:lineRule="auto"/>
        <w:rPr>
          <w:rFonts w:ascii="Times New Roman" w:eastAsia="Times New Roman" w:hAnsi="Times New Roman" w:cs="Times New Roman"/>
          <w:sz w:val="24"/>
          <w:szCs w:val="24"/>
        </w:rPr>
      </w:pPr>
    </w:p>
    <w:p w14:paraId="3B75CA8F" w14:textId="30E89569" w:rsidR="00A5115D" w:rsidRDefault="00A5115D" w:rsidP="00DB767F">
      <w:pPr>
        <w:spacing w:after="0" w:line="240" w:lineRule="auto"/>
        <w:rPr>
          <w:rFonts w:ascii="Times New Roman" w:eastAsia="Times New Roman" w:hAnsi="Times New Roman" w:cs="Times New Roman"/>
          <w:sz w:val="24"/>
          <w:szCs w:val="24"/>
        </w:rPr>
      </w:pPr>
    </w:p>
    <w:p w14:paraId="65B89F3B" w14:textId="77777777" w:rsidR="00A5115D" w:rsidRPr="00DB767F" w:rsidRDefault="00A5115D" w:rsidP="00DB767F">
      <w:pPr>
        <w:spacing w:after="0" w:line="240" w:lineRule="auto"/>
        <w:rPr>
          <w:rFonts w:ascii="Times New Roman" w:eastAsia="Times New Roman" w:hAnsi="Times New Roman" w:cs="Times New Roman"/>
          <w:sz w:val="24"/>
          <w:szCs w:val="24"/>
        </w:rPr>
      </w:pPr>
    </w:p>
    <w:p w14:paraId="16DD3F33"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DB767F">
        <w:rPr>
          <w:rFonts w:ascii="Times New Roman" w:eastAsia="Times New Roman" w:hAnsi="Times New Roman" w:cs="Times New Roman"/>
          <w:b/>
          <w:bCs/>
          <w:color w:val="FF0000"/>
          <w:kern w:val="36"/>
          <w:sz w:val="48"/>
          <w:szCs w:val="48"/>
        </w:rPr>
        <w:lastRenderedPageBreak/>
        <w:t>4. Put-Call Ratio (PCR - Open Interest)</w:t>
      </w:r>
    </w:p>
    <w:p w14:paraId="40CE360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Module:</w:t>
      </w:r>
      <w:r w:rsidRPr="00DB767F">
        <w:rPr>
          <w:rFonts w:ascii="Times New Roman" w:eastAsia="Times New Roman" w:hAnsi="Times New Roman" w:cs="Times New Roman"/>
          <w:sz w:val="24"/>
          <w:szCs w:val="24"/>
        </w:rPr>
        <w:t xml:space="preserve"> Options</w:t>
      </w:r>
      <w:r w:rsidRPr="00DB767F">
        <w:rPr>
          <w:rFonts w:ascii="Times New Roman" w:eastAsia="Times New Roman" w:hAnsi="Times New Roman" w:cs="Times New Roman"/>
          <w:sz w:val="24"/>
          <w:szCs w:val="24"/>
        </w:rPr>
        <w:br/>
      </w:r>
      <w:r w:rsidRPr="00DB767F">
        <w:rPr>
          <w:rFonts w:ascii="Times New Roman" w:eastAsia="Times New Roman" w:hAnsi="Times New Roman" w:cs="Times New Roman"/>
          <w:b/>
          <w:bCs/>
          <w:sz w:val="24"/>
          <w:szCs w:val="24"/>
        </w:rPr>
        <w:t>Category:</w:t>
      </w:r>
      <w:r w:rsidRPr="00DB767F">
        <w:rPr>
          <w:rFonts w:ascii="Times New Roman" w:eastAsia="Times New Roman" w:hAnsi="Times New Roman" w:cs="Times New Roman"/>
          <w:sz w:val="24"/>
          <w:szCs w:val="24"/>
        </w:rPr>
        <w:t xml:space="preserve"> Put-Call Ratio</w:t>
      </w:r>
      <w:r w:rsidRPr="00DB767F">
        <w:rPr>
          <w:rFonts w:ascii="Times New Roman" w:eastAsia="Times New Roman" w:hAnsi="Times New Roman" w:cs="Times New Roman"/>
          <w:sz w:val="24"/>
          <w:szCs w:val="24"/>
        </w:rPr>
        <w:br/>
      </w:r>
      <w:r w:rsidRPr="00DB767F">
        <w:rPr>
          <w:rFonts w:ascii="Times New Roman" w:eastAsia="Times New Roman" w:hAnsi="Times New Roman" w:cs="Times New Roman"/>
          <w:b/>
          <w:bCs/>
          <w:sz w:val="24"/>
          <w:szCs w:val="24"/>
        </w:rPr>
        <w:t>Status:</w:t>
      </w:r>
      <w:r w:rsidRPr="00DB767F">
        <w:rPr>
          <w:rFonts w:ascii="Times New Roman" w:eastAsia="Times New Roman" w:hAnsi="Times New Roman" w:cs="Times New Roman"/>
          <w:sz w:val="24"/>
          <w:szCs w:val="24"/>
        </w:rPr>
        <w:t xml:space="preserve"> Production Ready</w:t>
      </w:r>
    </w:p>
    <w:p w14:paraId="41FCAF92" w14:textId="77777777" w:rsidR="00DB767F" w:rsidRPr="00DB767F" w:rsidRDefault="00DB767F" w:rsidP="00DB767F">
      <w:pPr>
        <w:spacing w:before="100" w:beforeAutospacing="1" w:after="100" w:afterAutospacing="1" w:line="240" w:lineRule="auto"/>
        <w:outlineLvl w:val="1"/>
        <w:rPr>
          <w:rFonts w:ascii="Times New Roman" w:eastAsia="Times New Roman" w:hAnsi="Times New Roman" w:cs="Times New Roman"/>
          <w:b/>
          <w:bCs/>
          <w:sz w:val="36"/>
          <w:szCs w:val="36"/>
        </w:rPr>
      </w:pPr>
      <w:r w:rsidRPr="00DB767F">
        <w:rPr>
          <w:rFonts w:ascii="Times New Roman" w:eastAsia="Times New Roman" w:hAnsi="Times New Roman" w:cs="Times New Roman"/>
          <w:b/>
          <w:bCs/>
          <w:sz w:val="36"/>
          <w:szCs w:val="36"/>
        </w:rPr>
        <w:t>1. Overview</w:t>
      </w:r>
    </w:p>
    <w:p w14:paraId="15E850E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Name:</w:t>
      </w:r>
      <w:r w:rsidRPr="00DB767F">
        <w:rPr>
          <w:rFonts w:ascii="Times New Roman" w:eastAsia="Times New Roman" w:hAnsi="Times New Roman" w:cs="Times New Roman"/>
          <w:sz w:val="24"/>
          <w:szCs w:val="24"/>
        </w:rPr>
        <w:t xml:space="preserve"> Put-Call Ratio (Open Interest)</w:t>
      </w:r>
    </w:p>
    <w:p w14:paraId="0C737D3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Short Name:</w:t>
      </w:r>
      <w:r w:rsidRPr="00DB767F">
        <w:rPr>
          <w:rFonts w:ascii="Times New Roman" w:eastAsia="Times New Roman" w:hAnsi="Times New Roman" w:cs="Times New Roman"/>
          <w:sz w:val="24"/>
          <w:szCs w:val="24"/>
        </w:rPr>
        <w:t xml:space="preserve"> PCR (OI)</w:t>
      </w:r>
    </w:p>
    <w:p w14:paraId="45985B29"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Module:</w:t>
      </w:r>
      <w:r w:rsidRPr="00DB767F">
        <w:rPr>
          <w:rFonts w:ascii="Times New Roman" w:eastAsia="Times New Roman" w:hAnsi="Times New Roman" w:cs="Times New Roman"/>
          <w:sz w:val="24"/>
          <w:szCs w:val="24"/>
        </w:rPr>
        <w:t xml:space="preserve"> Options</w:t>
      </w:r>
    </w:p>
    <w:p w14:paraId="00EE111C"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Category:</w:t>
      </w:r>
      <w:r w:rsidRPr="00DB767F">
        <w:rPr>
          <w:rFonts w:ascii="Times New Roman" w:eastAsia="Times New Roman" w:hAnsi="Times New Roman" w:cs="Times New Roman"/>
          <w:sz w:val="24"/>
          <w:szCs w:val="24"/>
        </w:rPr>
        <w:t xml:space="preserve"> Put-Call Ratio</w:t>
      </w:r>
    </w:p>
    <w:p w14:paraId="4813112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Purpose:</w:t>
      </w:r>
    </w:p>
    <w:p w14:paraId="1E85BE9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Measures the ratio of total Put Open Interest to total Call Open Interest. It is one of the most widely used options sentiment indicators, helping identify whether the market is positioned bullishly, bearishly, or at extreme sentiment levels.</w:t>
      </w:r>
    </w:p>
    <w:p w14:paraId="0BEC84D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Based On:</w:t>
      </w:r>
    </w:p>
    <w:p w14:paraId="0BB1D10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Total Put Open Interest and Total Call Open Interest</w:t>
      </w:r>
    </w:p>
    <w:p w14:paraId="3FABC81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Importance:</w:t>
      </w:r>
    </w:p>
    <w:p w14:paraId="3C28D59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Segoe UI Emoji" w:eastAsia="Times New Roman" w:hAnsi="Segoe UI Emoji" w:cs="Segoe UI Emoji"/>
          <w:sz w:val="24"/>
          <w:szCs w:val="24"/>
        </w:rPr>
        <w:t>⭐⭐⭐⭐⭐</w:t>
      </w:r>
      <w:r w:rsidRPr="00DB767F">
        <w:rPr>
          <w:rFonts w:ascii="Times New Roman" w:eastAsia="Times New Roman" w:hAnsi="Times New Roman" w:cs="Times New Roman"/>
          <w:sz w:val="24"/>
          <w:szCs w:val="24"/>
        </w:rPr>
        <w:t xml:space="preserve"> (Core Sentiment Indicator)</w:t>
      </w:r>
    </w:p>
    <w:p w14:paraId="05966ED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Auto / Manual:</w:t>
      </w:r>
    </w:p>
    <w:p w14:paraId="7726693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Auto</w:t>
      </w:r>
    </w:p>
    <w:p w14:paraId="17A0728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Update Frequency:</w:t>
      </w:r>
    </w:p>
    <w:p w14:paraId="01555F7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Every Option Chain Refresh (Market Hours)</w:t>
      </w:r>
    </w:p>
    <w:p w14:paraId="433BE5D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Praxis Note:</w:t>
      </w:r>
    </w:p>
    <w:p w14:paraId="6BEE51BC"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PCR should never be interpreted in isolation. Extremely high or low values often indicate contrarian opportunities and should always be confirmed with Open Interest Change, Max Pain, and Price Action.</w:t>
      </w:r>
    </w:p>
    <w:p w14:paraId="30C287AB"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575A5720">
          <v:rect id="_x0000_i1121" style="width:0;height:1.5pt" o:hralign="center" o:hrstd="t" o:hr="t" fillcolor="#a0a0a0" stroked="f"/>
        </w:pict>
      </w:r>
    </w:p>
    <w:p w14:paraId="31DB7407"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lastRenderedPageBreak/>
        <w:t>2. Data Requirements</w:t>
      </w:r>
    </w:p>
    <w:p w14:paraId="4AFF0044"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Required Data</w:t>
      </w:r>
    </w:p>
    <w:p w14:paraId="33BA14BC" w14:textId="77777777" w:rsidR="00DB767F" w:rsidRPr="00DB767F" w:rsidRDefault="00DB767F" w:rsidP="00DB767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Total Put Open Interest </w:t>
      </w:r>
    </w:p>
    <w:p w14:paraId="04BA3695" w14:textId="77777777" w:rsidR="00DB767F" w:rsidRPr="00DB767F" w:rsidRDefault="00DB767F" w:rsidP="00DB767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Total Call Open Interest </w:t>
      </w:r>
    </w:p>
    <w:p w14:paraId="76CCB423" w14:textId="77777777" w:rsidR="00DB767F" w:rsidRPr="00DB767F" w:rsidRDefault="00DB767F" w:rsidP="00DB767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Spot Price </w:t>
      </w:r>
    </w:p>
    <w:p w14:paraId="2627A3E5" w14:textId="77777777" w:rsidR="00DB767F" w:rsidRPr="00DB767F" w:rsidRDefault="00DB767F" w:rsidP="00DB767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Expiry Date </w:t>
      </w:r>
    </w:p>
    <w:p w14:paraId="59C7415C"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Minimum Historical Data</w:t>
      </w:r>
    </w:p>
    <w:p w14:paraId="4C2356F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30 Trading Days</w:t>
      </w:r>
    </w:p>
    <w:p w14:paraId="02CC14D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Recommended</w:t>
      </w:r>
    </w:p>
    <w:p w14:paraId="6A47CD59"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1 Year</w:t>
      </w:r>
    </w:p>
    <w:p w14:paraId="5F9DC259"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Primary Source</w:t>
      </w:r>
    </w:p>
    <w:p w14:paraId="4235BA35" w14:textId="77777777" w:rsidR="00DB767F" w:rsidRPr="00DB767F" w:rsidRDefault="00DB767F" w:rsidP="00DB767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NSE Option Chain </w:t>
      </w:r>
    </w:p>
    <w:p w14:paraId="22354FFC" w14:textId="77777777" w:rsidR="00DB767F" w:rsidRPr="00DB767F" w:rsidRDefault="00DB767F" w:rsidP="00DB767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Upstox API </w:t>
      </w:r>
    </w:p>
    <w:p w14:paraId="724A2A05"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3FCD4004">
          <v:rect id="_x0000_i1122" style="width:0;height:1.5pt" o:hralign="center" o:hrstd="t" o:hr="t" fillcolor="#a0a0a0" stroked="f"/>
        </w:pict>
      </w:r>
    </w:p>
    <w:p w14:paraId="223AF9DB"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3. Industry Standard Calculation</w:t>
      </w:r>
    </w:p>
    <w:p w14:paraId="4B8FF9BC"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Formula</w:t>
      </w:r>
    </w:p>
    <w:p w14:paraId="6D6C7D75" w14:textId="77777777" w:rsidR="00DB767F" w:rsidRPr="00DB767F" w:rsidRDefault="00DB767F" w:rsidP="00DB7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767F">
        <w:rPr>
          <w:rFonts w:ascii="Courier New" w:eastAsia="Times New Roman" w:hAnsi="Courier New" w:cs="Courier New"/>
          <w:sz w:val="20"/>
          <w:szCs w:val="20"/>
        </w:rPr>
        <w:t>PCR (OI) =</w:t>
      </w:r>
    </w:p>
    <w:p w14:paraId="7615DB60" w14:textId="77777777" w:rsidR="00DB767F" w:rsidRPr="00DB767F" w:rsidRDefault="00DB767F" w:rsidP="00DB7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767F">
        <w:rPr>
          <w:rFonts w:ascii="Courier New" w:eastAsia="Times New Roman" w:hAnsi="Courier New" w:cs="Courier New"/>
          <w:sz w:val="20"/>
          <w:szCs w:val="20"/>
        </w:rPr>
        <w:t>Total Put Open Interest</w:t>
      </w:r>
    </w:p>
    <w:p w14:paraId="3F8DE50A" w14:textId="77777777" w:rsidR="00DB767F" w:rsidRPr="00DB767F" w:rsidRDefault="00DB767F" w:rsidP="00DB7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767F">
        <w:rPr>
          <w:rFonts w:ascii="Courier New" w:eastAsia="Times New Roman" w:hAnsi="Courier New" w:cs="Courier New"/>
          <w:sz w:val="20"/>
          <w:szCs w:val="20"/>
        </w:rPr>
        <w:t>÷</w:t>
      </w:r>
    </w:p>
    <w:p w14:paraId="41989184" w14:textId="77777777" w:rsidR="00DB767F" w:rsidRPr="00DB767F" w:rsidRDefault="00DB767F" w:rsidP="00DB7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767F">
        <w:rPr>
          <w:rFonts w:ascii="Courier New" w:eastAsia="Times New Roman" w:hAnsi="Courier New" w:cs="Courier New"/>
          <w:sz w:val="20"/>
          <w:szCs w:val="20"/>
        </w:rPr>
        <w:t>Total Call Open Interest</w:t>
      </w:r>
    </w:p>
    <w:p w14:paraId="1513497A"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Implementation Steps</w:t>
      </w:r>
    </w:p>
    <w:p w14:paraId="1FF67C9A" w14:textId="77777777" w:rsidR="00DB767F" w:rsidRPr="00DB767F" w:rsidRDefault="00DB767F" w:rsidP="00DB767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Retrieve Total Put OI. </w:t>
      </w:r>
    </w:p>
    <w:p w14:paraId="4E16EB06" w14:textId="77777777" w:rsidR="00DB767F" w:rsidRPr="00DB767F" w:rsidRDefault="00DB767F" w:rsidP="00DB767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Retrieve Total Call OI. </w:t>
      </w:r>
    </w:p>
    <w:p w14:paraId="60431F2B" w14:textId="77777777" w:rsidR="00DB767F" w:rsidRPr="00DB767F" w:rsidRDefault="00DB767F" w:rsidP="00DB767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Calculate PCR. </w:t>
      </w:r>
    </w:p>
    <w:p w14:paraId="0A0F943C" w14:textId="77777777" w:rsidR="00DB767F" w:rsidRPr="00DB767F" w:rsidRDefault="00DB767F" w:rsidP="00DB767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Compare with historical averages. </w:t>
      </w:r>
    </w:p>
    <w:p w14:paraId="12B66C96" w14:textId="77777777" w:rsidR="00DB767F" w:rsidRPr="00DB767F" w:rsidRDefault="00DB767F" w:rsidP="00DB767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Generate the Options Score. </w:t>
      </w:r>
    </w:p>
    <w:p w14:paraId="7B705F1A"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Standard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3755"/>
      </w:tblGrid>
      <w:tr w:rsidR="00DB767F" w:rsidRPr="00DB767F" w14:paraId="2B5A7FEA" w14:textId="77777777" w:rsidTr="00DB767F">
        <w:trPr>
          <w:tblHeader/>
          <w:tblCellSpacing w:w="15" w:type="dxa"/>
        </w:trPr>
        <w:tc>
          <w:tcPr>
            <w:tcW w:w="0" w:type="auto"/>
            <w:vAlign w:val="center"/>
            <w:hideMark/>
          </w:tcPr>
          <w:p w14:paraId="20FD5385" w14:textId="77777777" w:rsidR="00DB767F" w:rsidRPr="00DB767F" w:rsidRDefault="00DB767F" w:rsidP="00DB767F">
            <w:pPr>
              <w:spacing w:after="0" w:line="240" w:lineRule="auto"/>
              <w:jc w:val="center"/>
              <w:rPr>
                <w:rFonts w:ascii="Times New Roman" w:eastAsia="Times New Roman" w:hAnsi="Times New Roman" w:cs="Times New Roman"/>
                <w:b/>
                <w:bCs/>
                <w:sz w:val="24"/>
                <w:szCs w:val="24"/>
              </w:rPr>
            </w:pPr>
            <w:r w:rsidRPr="00DB767F">
              <w:rPr>
                <w:rFonts w:ascii="Times New Roman" w:eastAsia="Times New Roman" w:hAnsi="Times New Roman" w:cs="Times New Roman"/>
                <w:b/>
                <w:bCs/>
                <w:sz w:val="24"/>
                <w:szCs w:val="24"/>
              </w:rPr>
              <w:lastRenderedPageBreak/>
              <w:t>PCR</w:t>
            </w:r>
          </w:p>
        </w:tc>
        <w:tc>
          <w:tcPr>
            <w:tcW w:w="0" w:type="auto"/>
            <w:vAlign w:val="center"/>
            <w:hideMark/>
          </w:tcPr>
          <w:p w14:paraId="3179DE86" w14:textId="77777777" w:rsidR="00DB767F" w:rsidRPr="00DB767F" w:rsidRDefault="00DB767F" w:rsidP="00DB767F">
            <w:pPr>
              <w:spacing w:after="0" w:line="240" w:lineRule="auto"/>
              <w:jc w:val="center"/>
              <w:rPr>
                <w:rFonts w:ascii="Times New Roman" w:eastAsia="Times New Roman" w:hAnsi="Times New Roman" w:cs="Times New Roman"/>
                <w:b/>
                <w:bCs/>
                <w:sz w:val="24"/>
                <w:szCs w:val="24"/>
              </w:rPr>
            </w:pPr>
            <w:r w:rsidRPr="00DB767F">
              <w:rPr>
                <w:rFonts w:ascii="Times New Roman" w:eastAsia="Times New Roman" w:hAnsi="Times New Roman" w:cs="Times New Roman"/>
                <w:b/>
                <w:bCs/>
                <w:sz w:val="24"/>
                <w:szCs w:val="24"/>
              </w:rPr>
              <w:t>Interpretation</w:t>
            </w:r>
          </w:p>
        </w:tc>
      </w:tr>
      <w:tr w:rsidR="00DB767F" w:rsidRPr="00DB767F" w14:paraId="0D9EE271" w14:textId="77777777" w:rsidTr="00DB767F">
        <w:trPr>
          <w:tblCellSpacing w:w="15" w:type="dxa"/>
        </w:trPr>
        <w:tc>
          <w:tcPr>
            <w:tcW w:w="0" w:type="auto"/>
            <w:vAlign w:val="center"/>
            <w:hideMark/>
          </w:tcPr>
          <w:p w14:paraId="49EA078D"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&lt;0.70</w:t>
            </w:r>
          </w:p>
        </w:tc>
        <w:tc>
          <w:tcPr>
            <w:tcW w:w="0" w:type="auto"/>
            <w:vAlign w:val="center"/>
            <w:hideMark/>
          </w:tcPr>
          <w:p w14:paraId="32309A5E"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Bearish</w:t>
            </w:r>
          </w:p>
        </w:tc>
      </w:tr>
      <w:tr w:rsidR="00DB767F" w:rsidRPr="00DB767F" w14:paraId="6E262EC1" w14:textId="77777777" w:rsidTr="00DB767F">
        <w:trPr>
          <w:tblCellSpacing w:w="15" w:type="dxa"/>
        </w:trPr>
        <w:tc>
          <w:tcPr>
            <w:tcW w:w="0" w:type="auto"/>
            <w:vAlign w:val="center"/>
            <w:hideMark/>
          </w:tcPr>
          <w:p w14:paraId="2361B7CF"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0.70–1.00</w:t>
            </w:r>
          </w:p>
        </w:tc>
        <w:tc>
          <w:tcPr>
            <w:tcW w:w="0" w:type="auto"/>
            <w:vAlign w:val="center"/>
            <w:hideMark/>
          </w:tcPr>
          <w:p w14:paraId="76D540DC"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Neutral</w:t>
            </w:r>
          </w:p>
        </w:tc>
      </w:tr>
      <w:tr w:rsidR="00DB767F" w:rsidRPr="00DB767F" w14:paraId="5B71DE88" w14:textId="77777777" w:rsidTr="00DB767F">
        <w:trPr>
          <w:tblCellSpacing w:w="15" w:type="dxa"/>
        </w:trPr>
        <w:tc>
          <w:tcPr>
            <w:tcW w:w="0" w:type="auto"/>
            <w:vAlign w:val="center"/>
            <w:hideMark/>
          </w:tcPr>
          <w:p w14:paraId="49DCA59D"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1.00–1.30</w:t>
            </w:r>
          </w:p>
        </w:tc>
        <w:tc>
          <w:tcPr>
            <w:tcW w:w="0" w:type="auto"/>
            <w:vAlign w:val="center"/>
            <w:hideMark/>
          </w:tcPr>
          <w:p w14:paraId="30CA497C"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Bullish</w:t>
            </w:r>
          </w:p>
        </w:tc>
      </w:tr>
      <w:tr w:rsidR="00DB767F" w:rsidRPr="00DB767F" w14:paraId="22140D3F" w14:textId="77777777" w:rsidTr="00DB767F">
        <w:trPr>
          <w:tblCellSpacing w:w="15" w:type="dxa"/>
        </w:trPr>
        <w:tc>
          <w:tcPr>
            <w:tcW w:w="0" w:type="auto"/>
            <w:vAlign w:val="center"/>
            <w:hideMark/>
          </w:tcPr>
          <w:p w14:paraId="3A72E1FF"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&gt;1.30</w:t>
            </w:r>
          </w:p>
        </w:tc>
        <w:tc>
          <w:tcPr>
            <w:tcW w:w="0" w:type="auto"/>
            <w:vAlign w:val="center"/>
            <w:hideMark/>
          </w:tcPr>
          <w:p w14:paraId="6454BE43"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Extreme Bullish / Contrarian Warning</w:t>
            </w:r>
          </w:p>
        </w:tc>
      </w:tr>
    </w:tbl>
    <w:p w14:paraId="764CFBDB"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Notes</w:t>
      </w:r>
    </w:p>
    <w:p w14:paraId="0266F5D3" w14:textId="77777777" w:rsidR="00DB767F" w:rsidRPr="00DB767F" w:rsidRDefault="00DB767F" w:rsidP="00DB767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Use total market Open Interest. </w:t>
      </w:r>
    </w:p>
    <w:p w14:paraId="42F15D78" w14:textId="77777777" w:rsidR="00DB767F" w:rsidRPr="00DB767F" w:rsidRDefault="00DB767F" w:rsidP="00DB767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Compare PCR with historical levels. </w:t>
      </w:r>
    </w:p>
    <w:p w14:paraId="409B98D1" w14:textId="77777777" w:rsidR="00DB767F" w:rsidRPr="00DB767F" w:rsidRDefault="00DB767F" w:rsidP="00DB767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Confirm signals with price action and OI Change. </w:t>
      </w:r>
    </w:p>
    <w:p w14:paraId="2C425AB3"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401DA7AE">
          <v:rect id="_x0000_i1123" style="width:0;height:1.5pt" o:hralign="center" o:hrstd="t" o:hr="t" fillcolor="#a0a0a0" stroked="f"/>
        </w:pict>
      </w:r>
    </w:p>
    <w:p w14:paraId="089E5787"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4. Card Fields</w:t>
      </w:r>
    </w:p>
    <w:p w14:paraId="3D9088F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Current Value</w:t>
      </w:r>
    </w:p>
    <w:p w14:paraId="6CE465E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PCR (OI)</w:t>
      </w:r>
    </w:p>
    <w:p w14:paraId="1125D21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Trend</w:t>
      </w:r>
    </w:p>
    <w:p w14:paraId="72F8A1ED" w14:textId="77777777" w:rsidR="00DB767F" w:rsidRPr="00DB767F" w:rsidRDefault="00DB767F" w:rsidP="00DB767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Rising </w:t>
      </w:r>
    </w:p>
    <w:p w14:paraId="4768F370" w14:textId="77777777" w:rsidR="00DB767F" w:rsidRPr="00DB767F" w:rsidRDefault="00DB767F" w:rsidP="00DB767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Stable </w:t>
      </w:r>
    </w:p>
    <w:p w14:paraId="204FF0B9" w14:textId="77777777" w:rsidR="00DB767F" w:rsidRPr="00DB767F" w:rsidRDefault="00DB767F" w:rsidP="00DB767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Falling </w:t>
      </w:r>
    </w:p>
    <w:p w14:paraId="35D2A54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Market Sentiment</w:t>
      </w:r>
    </w:p>
    <w:p w14:paraId="6D1C485F" w14:textId="77777777" w:rsidR="00DB767F" w:rsidRPr="00DB767F" w:rsidRDefault="00DB767F" w:rsidP="00DB767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Bullish </w:t>
      </w:r>
    </w:p>
    <w:p w14:paraId="711156B3" w14:textId="77777777" w:rsidR="00DB767F" w:rsidRPr="00DB767F" w:rsidRDefault="00DB767F" w:rsidP="00DB767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Neutral </w:t>
      </w:r>
    </w:p>
    <w:p w14:paraId="41380A56" w14:textId="77777777" w:rsidR="00DB767F" w:rsidRPr="00DB767F" w:rsidRDefault="00DB767F" w:rsidP="00DB767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Bearish </w:t>
      </w:r>
    </w:p>
    <w:p w14:paraId="1DF1621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Score</w:t>
      </w:r>
    </w:p>
    <w:p w14:paraId="504C752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0–100</w:t>
      </w:r>
    </w:p>
    <w:p w14:paraId="203640F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Bias</w:t>
      </w:r>
    </w:p>
    <w:p w14:paraId="5C68071F" w14:textId="77777777" w:rsidR="00DB767F" w:rsidRPr="00DB767F" w:rsidRDefault="00DB767F" w:rsidP="00DB767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Bullish </w:t>
      </w:r>
    </w:p>
    <w:p w14:paraId="1DE6089B" w14:textId="77777777" w:rsidR="00DB767F" w:rsidRPr="00DB767F" w:rsidRDefault="00DB767F" w:rsidP="00DB767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Neutral </w:t>
      </w:r>
    </w:p>
    <w:p w14:paraId="1CE4DBB5" w14:textId="77777777" w:rsidR="00DB767F" w:rsidRPr="00DB767F" w:rsidRDefault="00DB767F" w:rsidP="00DB767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Bearish </w:t>
      </w:r>
    </w:p>
    <w:p w14:paraId="12CD677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Confidence</w:t>
      </w:r>
    </w:p>
    <w:p w14:paraId="6D077A0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lastRenderedPageBreak/>
        <w:t>PCR Confidence</w:t>
      </w:r>
    </w:p>
    <w:p w14:paraId="52E2308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Impact Weight</w:t>
      </w:r>
    </w:p>
    <w:p w14:paraId="4A6D2D0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High</w:t>
      </w:r>
    </w:p>
    <w:p w14:paraId="59650191"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4CB689F7">
          <v:rect id="_x0000_i1124" style="width:0;height:1.5pt" o:hralign="center" o:hrstd="t" o:hr="t" fillcolor="#a0a0a0" stroked="f"/>
        </w:pict>
      </w:r>
    </w:p>
    <w:p w14:paraId="12F9EEF8"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634"/>
        <w:gridCol w:w="2594"/>
      </w:tblGrid>
      <w:tr w:rsidR="00DB767F" w:rsidRPr="00DB767F" w14:paraId="1FB1FCEB" w14:textId="77777777" w:rsidTr="00DB767F">
        <w:trPr>
          <w:tblHeader/>
          <w:tblCellSpacing w:w="15" w:type="dxa"/>
        </w:trPr>
        <w:tc>
          <w:tcPr>
            <w:tcW w:w="0" w:type="auto"/>
            <w:vAlign w:val="center"/>
            <w:hideMark/>
          </w:tcPr>
          <w:p w14:paraId="19516B06" w14:textId="77777777" w:rsidR="00DB767F" w:rsidRPr="00DB767F" w:rsidRDefault="00DB767F" w:rsidP="00DB767F">
            <w:pPr>
              <w:spacing w:after="0" w:line="240" w:lineRule="auto"/>
              <w:jc w:val="center"/>
              <w:rPr>
                <w:rFonts w:ascii="Times New Roman" w:eastAsia="Times New Roman" w:hAnsi="Times New Roman" w:cs="Times New Roman"/>
                <w:b/>
                <w:bCs/>
                <w:sz w:val="24"/>
                <w:szCs w:val="24"/>
              </w:rPr>
            </w:pPr>
            <w:r w:rsidRPr="00DB767F">
              <w:rPr>
                <w:rFonts w:ascii="Times New Roman" w:eastAsia="Times New Roman" w:hAnsi="Times New Roman" w:cs="Times New Roman"/>
                <w:b/>
                <w:bCs/>
                <w:sz w:val="24"/>
                <w:szCs w:val="24"/>
              </w:rPr>
              <w:t>Condition</w:t>
            </w:r>
          </w:p>
        </w:tc>
        <w:tc>
          <w:tcPr>
            <w:tcW w:w="0" w:type="auto"/>
            <w:vAlign w:val="center"/>
            <w:hideMark/>
          </w:tcPr>
          <w:p w14:paraId="6383913B" w14:textId="77777777" w:rsidR="00DB767F" w:rsidRPr="00DB767F" w:rsidRDefault="00DB767F" w:rsidP="00DB767F">
            <w:pPr>
              <w:spacing w:after="0" w:line="240" w:lineRule="auto"/>
              <w:jc w:val="center"/>
              <w:rPr>
                <w:rFonts w:ascii="Times New Roman" w:eastAsia="Times New Roman" w:hAnsi="Times New Roman" w:cs="Times New Roman"/>
                <w:b/>
                <w:bCs/>
                <w:sz w:val="24"/>
                <w:szCs w:val="24"/>
              </w:rPr>
            </w:pPr>
            <w:r w:rsidRPr="00DB767F">
              <w:rPr>
                <w:rFonts w:ascii="Times New Roman" w:eastAsia="Times New Roman" w:hAnsi="Times New Roman" w:cs="Times New Roman"/>
                <w:b/>
                <w:bCs/>
                <w:sz w:val="24"/>
                <w:szCs w:val="24"/>
              </w:rPr>
              <w:t>Score</w:t>
            </w:r>
          </w:p>
        </w:tc>
        <w:tc>
          <w:tcPr>
            <w:tcW w:w="0" w:type="auto"/>
            <w:vAlign w:val="center"/>
            <w:hideMark/>
          </w:tcPr>
          <w:p w14:paraId="49676C49" w14:textId="77777777" w:rsidR="00DB767F" w:rsidRPr="00DB767F" w:rsidRDefault="00DB767F" w:rsidP="00DB767F">
            <w:pPr>
              <w:spacing w:after="0" w:line="240" w:lineRule="auto"/>
              <w:jc w:val="center"/>
              <w:rPr>
                <w:rFonts w:ascii="Times New Roman" w:eastAsia="Times New Roman" w:hAnsi="Times New Roman" w:cs="Times New Roman"/>
                <w:b/>
                <w:bCs/>
                <w:sz w:val="24"/>
                <w:szCs w:val="24"/>
              </w:rPr>
            </w:pPr>
            <w:r w:rsidRPr="00DB767F">
              <w:rPr>
                <w:rFonts w:ascii="Times New Roman" w:eastAsia="Times New Roman" w:hAnsi="Times New Roman" w:cs="Times New Roman"/>
                <w:b/>
                <w:bCs/>
                <w:sz w:val="24"/>
                <w:szCs w:val="24"/>
              </w:rPr>
              <w:t>Bias</w:t>
            </w:r>
          </w:p>
        </w:tc>
      </w:tr>
      <w:tr w:rsidR="00DB767F" w:rsidRPr="00DB767F" w14:paraId="77908376" w14:textId="77777777" w:rsidTr="00DB767F">
        <w:trPr>
          <w:tblCellSpacing w:w="15" w:type="dxa"/>
        </w:trPr>
        <w:tc>
          <w:tcPr>
            <w:tcW w:w="0" w:type="auto"/>
            <w:vAlign w:val="center"/>
            <w:hideMark/>
          </w:tcPr>
          <w:p w14:paraId="0A409964"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PCR 1.00–1.20</w:t>
            </w:r>
          </w:p>
        </w:tc>
        <w:tc>
          <w:tcPr>
            <w:tcW w:w="0" w:type="auto"/>
            <w:vAlign w:val="center"/>
            <w:hideMark/>
          </w:tcPr>
          <w:p w14:paraId="6B4958E2"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90</w:t>
            </w:r>
          </w:p>
        </w:tc>
        <w:tc>
          <w:tcPr>
            <w:tcW w:w="0" w:type="auto"/>
            <w:vAlign w:val="center"/>
            <w:hideMark/>
          </w:tcPr>
          <w:p w14:paraId="77E3C1D8"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Bullish</w:t>
            </w:r>
          </w:p>
        </w:tc>
      </w:tr>
      <w:tr w:rsidR="00DB767F" w:rsidRPr="00DB767F" w14:paraId="6D789275" w14:textId="77777777" w:rsidTr="00DB767F">
        <w:trPr>
          <w:tblCellSpacing w:w="15" w:type="dxa"/>
        </w:trPr>
        <w:tc>
          <w:tcPr>
            <w:tcW w:w="0" w:type="auto"/>
            <w:vAlign w:val="center"/>
            <w:hideMark/>
          </w:tcPr>
          <w:p w14:paraId="7E1039C7"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PCR 0.80–1.00</w:t>
            </w:r>
          </w:p>
        </w:tc>
        <w:tc>
          <w:tcPr>
            <w:tcW w:w="0" w:type="auto"/>
            <w:vAlign w:val="center"/>
            <w:hideMark/>
          </w:tcPr>
          <w:p w14:paraId="4F85877F"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70</w:t>
            </w:r>
          </w:p>
        </w:tc>
        <w:tc>
          <w:tcPr>
            <w:tcW w:w="0" w:type="auto"/>
            <w:vAlign w:val="center"/>
            <w:hideMark/>
          </w:tcPr>
          <w:p w14:paraId="50ABE4E2"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Neutral</w:t>
            </w:r>
          </w:p>
        </w:tc>
      </w:tr>
      <w:tr w:rsidR="00DB767F" w:rsidRPr="00DB767F" w14:paraId="3D9C2072" w14:textId="77777777" w:rsidTr="00DB767F">
        <w:trPr>
          <w:tblCellSpacing w:w="15" w:type="dxa"/>
        </w:trPr>
        <w:tc>
          <w:tcPr>
            <w:tcW w:w="0" w:type="auto"/>
            <w:vAlign w:val="center"/>
            <w:hideMark/>
          </w:tcPr>
          <w:p w14:paraId="459782F9"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PCR 0.60–0.80</w:t>
            </w:r>
          </w:p>
        </w:tc>
        <w:tc>
          <w:tcPr>
            <w:tcW w:w="0" w:type="auto"/>
            <w:vAlign w:val="center"/>
            <w:hideMark/>
          </w:tcPr>
          <w:p w14:paraId="608856A8"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40</w:t>
            </w:r>
          </w:p>
        </w:tc>
        <w:tc>
          <w:tcPr>
            <w:tcW w:w="0" w:type="auto"/>
            <w:vAlign w:val="center"/>
            <w:hideMark/>
          </w:tcPr>
          <w:p w14:paraId="697160D1"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Bearish</w:t>
            </w:r>
          </w:p>
        </w:tc>
      </w:tr>
      <w:tr w:rsidR="00DB767F" w:rsidRPr="00DB767F" w14:paraId="155DF78F" w14:textId="77777777" w:rsidTr="00DB767F">
        <w:trPr>
          <w:tblCellSpacing w:w="15" w:type="dxa"/>
        </w:trPr>
        <w:tc>
          <w:tcPr>
            <w:tcW w:w="0" w:type="auto"/>
            <w:vAlign w:val="center"/>
            <w:hideMark/>
          </w:tcPr>
          <w:p w14:paraId="29958C2F"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PCR &lt;0.60</w:t>
            </w:r>
          </w:p>
        </w:tc>
        <w:tc>
          <w:tcPr>
            <w:tcW w:w="0" w:type="auto"/>
            <w:vAlign w:val="center"/>
            <w:hideMark/>
          </w:tcPr>
          <w:p w14:paraId="692FA796"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15</w:t>
            </w:r>
          </w:p>
        </w:tc>
        <w:tc>
          <w:tcPr>
            <w:tcW w:w="0" w:type="auto"/>
            <w:vAlign w:val="center"/>
            <w:hideMark/>
          </w:tcPr>
          <w:p w14:paraId="643D0E64"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Strong Bearish</w:t>
            </w:r>
          </w:p>
        </w:tc>
      </w:tr>
      <w:tr w:rsidR="00DB767F" w:rsidRPr="00DB767F" w14:paraId="6E674AE3" w14:textId="77777777" w:rsidTr="00DB767F">
        <w:trPr>
          <w:tblCellSpacing w:w="15" w:type="dxa"/>
        </w:trPr>
        <w:tc>
          <w:tcPr>
            <w:tcW w:w="0" w:type="auto"/>
            <w:vAlign w:val="center"/>
            <w:hideMark/>
          </w:tcPr>
          <w:p w14:paraId="50EEEBA2"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PCR &gt;1.30</w:t>
            </w:r>
          </w:p>
        </w:tc>
        <w:tc>
          <w:tcPr>
            <w:tcW w:w="0" w:type="auto"/>
            <w:vAlign w:val="center"/>
            <w:hideMark/>
          </w:tcPr>
          <w:p w14:paraId="78D29903"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60</w:t>
            </w:r>
          </w:p>
        </w:tc>
        <w:tc>
          <w:tcPr>
            <w:tcW w:w="0" w:type="auto"/>
            <w:vAlign w:val="center"/>
            <w:hideMark/>
          </w:tcPr>
          <w:p w14:paraId="42450F43"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Neutral (Contrarian Alert)</w:t>
            </w:r>
          </w:p>
        </w:tc>
      </w:tr>
    </w:tbl>
    <w:p w14:paraId="0BB0E699"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Notes</w:t>
      </w:r>
    </w:p>
    <w:p w14:paraId="1C8B2013" w14:textId="77777777" w:rsidR="00DB767F" w:rsidRPr="00DB767F" w:rsidRDefault="00DB767F" w:rsidP="00DB767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A PCR between </w:t>
      </w:r>
      <w:r w:rsidRPr="00DB767F">
        <w:rPr>
          <w:rFonts w:ascii="Times New Roman" w:eastAsia="Times New Roman" w:hAnsi="Times New Roman" w:cs="Times New Roman"/>
          <w:b/>
          <w:bCs/>
          <w:sz w:val="24"/>
          <w:szCs w:val="24"/>
        </w:rPr>
        <w:t>1.00 and 1.20</w:t>
      </w:r>
      <w:r w:rsidRPr="00DB767F">
        <w:rPr>
          <w:rFonts w:ascii="Times New Roman" w:eastAsia="Times New Roman" w:hAnsi="Times New Roman" w:cs="Times New Roman"/>
          <w:sz w:val="24"/>
          <w:szCs w:val="24"/>
        </w:rPr>
        <w:t xml:space="preserve"> is generally considered healthy. </w:t>
      </w:r>
    </w:p>
    <w:p w14:paraId="205A3DFD" w14:textId="77777777" w:rsidR="00DB767F" w:rsidRPr="00DB767F" w:rsidRDefault="00DB767F" w:rsidP="00DB767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Extremely high PCR values may indicate excessive optimism and should reduce bullish conviction. </w:t>
      </w:r>
    </w:p>
    <w:p w14:paraId="4108D885" w14:textId="77777777" w:rsidR="00DB767F" w:rsidRPr="00DB767F" w:rsidRDefault="00DB767F" w:rsidP="00DB767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Always confirm with OI Change and Max Pain. </w:t>
      </w:r>
    </w:p>
    <w:p w14:paraId="0B673658"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11D794B6">
          <v:rect id="_x0000_i1125" style="width:0;height:1.5pt" o:hralign="center" o:hrstd="t" o:hr="t" fillcolor="#a0a0a0" stroked="f"/>
        </w:pict>
      </w:r>
    </w:p>
    <w:p w14:paraId="119C8126"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6. Bias Rules</w:t>
      </w:r>
    </w:p>
    <w:p w14:paraId="3C13449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PCR Between 1.00–1.20</w:t>
      </w:r>
    </w:p>
    <w:p w14:paraId="4A3BB1D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Bullish</w:t>
      </w:r>
    </w:p>
    <w:p w14:paraId="6F21920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PCR Between 0.80–1.00</w:t>
      </w:r>
    </w:p>
    <w:p w14:paraId="75EB7D4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Neutral</w:t>
      </w:r>
    </w:p>
    <w:p w14:paraId="663277F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PCR Below 0.80</w:t>
      </w:r>
    </w:p>
    <w:p w14:paraId="39322BB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Bearish</w:t>
      </w:r>
    </w:p>
    <w:p w14:paraId="54C38FD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PCR Above 1.30</w:t>
      </w:r>
    </w:p>
    <w:p w14:paraId="6D71800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Contrarian Warning</w:t>
      </w:r>
    </w:p>
    <w:p w14:paraId="36492F03"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lastRenderedPageBreak/>
        <w:pict w14:anchorId="1670C4A4">
          <v:rect id="_x0000_i1126" style="width:0;height:1.5pt" o:hralign="center" o:hrstd="t" o:hr="t" fillcolor="#a0a0a0" stroked="f"/>
        </w:pict>
      </w:r>
    </w:p>
    <w:p w14:paraId="309D4ED9"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7. Confidence Logic</w:t>
      </w:r>
    </w:p>
    <w:p w14:paraId="1DE69C9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Base Confidence</w:t>
      </w:r>
    </w:p>
    <w:p w14:paraId="331345AC"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90%</w:t>
      </w:r>
    </w:p>
    <w:p w14:paraId="05649D06"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Increase Confidence</w:t>
      </w:r>
    </w:p>
    <w:p w14:paraId="7FE891D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+5% OI Change confirmation</w:t>
      </w:r>
    </w:p>
    <w:p w14:paraId="1830F5A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+5% Max Pain alignment</w:t>
      </w:r>
    </w:p>
    <w:p w14:paraId="294DA36C"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+5% Rising Put OI</w:t>
      </w:r>
    </w:p>
    <w:p w14:paraId="22833B35"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Decrease Confidence</w:t>
      </w:r>
    </w:p>
    <w:p w14:paraId="1F8312FC"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-10% Expiry-day volatility</w:t>
      </w:r>
    </w:p>
    <w:p w14:paraId="027BFFE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-5% Low option volume</w:t>
      </w:r>
    </w:p>
    <w:p w14:paraId="6A14F6C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-5% Mixed OI signals</w:t>
      </w:r>
    </w:p>
    <w:p w14:paraId="414C943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Minimum</w:t>
      </w:r>
    </w:p>
    <w:p w14:paraId="31DF54A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65%</w:t>
      </w:r>
    </w:p>
    <w:p w14:paraId="5FC0685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Maximum</w:t>
      </w:r>
    </w:p>
    <w:p w14:paraId="7370606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99%</w:t>
      </w:r>
    </w:p>
    <w:p w14:paraId="392EEDC4"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7F3475BB">
          <v:rect id="_x0000_i1127" style="width:0;height:1.5pt" o:hralign="center" o:hrstd="t" o:hr="t" fillcolor="#a0a0a0" stroked="f"/>
        </w:pict>
      </w:r>
    </w:p>
    <w:p w14:paraId="58644168"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8. Score Range Bar</w:t>
      </w:r>
    </w:p>
    <w:p w14:paraId="192E1E6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Minimum</w:t>
      </w:r>
    </w:p>
    <w:p w14:paraId="195042C9"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0</w:t>
      </w:r>
    </w:p>
    <w:p w14:paraId="371EE0C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Maximum</w:t>
      </w:r>
    </w:p>
    <w:p w14:paraId="36A2F2C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100</w:t>
      </w:r>
    </w:p>
    <w:p w14:paraId="2447F7F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lastRenderedPageBreak/>
        <w:t>Pointer</w:t>
      </w:r>
    </w:p>
    <w:p w14:paraId="7800590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Current Score</w:t>
      </w:r>
    </w:p>
    <w:p w14:paraId="4064586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Average Marker</w:t>
      </w:r>
    </w:p>
    <w:p w14:paraId="649F5E5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30-Day Average Score</w:t>
      </w:r>
    </w:p>
    <w:p w14:paraId="50F45A3F"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Color Zones</w:t>
      </w:r>
    </w:p>
    <w:p w14:paraId="493706C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0–30 → Strong Bearish</w:t>
      </w:r>
    </w:p>
    <w:p w14:paraId="5F0B6BE9"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30–60 → Bearish</w:t>
      </w:r>
    </w:p>
    <w:p w14:paraId="5437BA4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60–80 → Neutral</w:t>
      </w:r>
    </w:p>
    <w:p w14:paraId="78F1766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80–100 → Bullish</w:t>
      </w:r>
    </w:p>
    <w:p w14:paraId="625833FE"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1A9582F1">
          <v:rect id="_x0000_i1128" style="width:0;height:1.5pt" o:hralign="center" o:hrstd="t" o:hr="t" fillcolor="#a0a0a0" stroked="f"/>
        </w:pict>
      </w:r>
    </w:p>
    <w:p w14:paraId="6CCF8ABC"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9. Dual Trend Chart</w:t>
      </w:r>
    </w:p>
    <w:p w14:paraId="710A4AF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Chart Type</w:t>
      </w:r>
    </w:p>
    <w:p w14:paraId="32EB3C4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Dual Line</w:t>
      </w:r>
    </w:p>
    <w:p w14:paraId="05733E9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Line 1</w:t>
      </w:r>
    </w:p>
    <w:p w14:paraId="3134EA7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PCR (OI)</w:t>
      </w:r>
    </w:p>
    <w:p w14:paraId="5612C4B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Line 2</w:t>
      </w:r>
    </w:p>
    <w:p w14:paraId="2912A91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Praxis Score</w:t>
      </w:r>
    </w:p>
    <w:p w14:paraId="4BEE42D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History</w:t>
      </w:r>
    </w:p>
    <w:p w14:paraId="0E87A16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30 Trading Days</w:t>
      </w:r>
    </w:p>
    <w:p w14:paraId="0448B29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Update</w:t>
      </w:r>
    </w:p>
    <w:p w14:paraId="73F7CBC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Every option chain refresh.</w:t>
      </w:r>
    </w:p>
    <w:p w14:paraId="04508BDA"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74CD22B3">
          <v:rect id="_x0000_i1129" style="width:0;height:1.5pt" o:hralign="center" o:hrstd="t" o:hr="t" fillcolor="#a0a0a0" stroked="f"/>
        </w:pict>
      </w:r>
    </w:p>
    <w:p w14:paraId="2111CA7E"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lastRenderedPageBreak/>
        <w:t>10. AI Insight Rules</w:t>
      </w:r>
    </w:p>
    <w:p w14:paraId="4292024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PCR Above 1.00</w:t>
      </w:r>
    </w:p>
    <w:p w14:paraId="766DB0E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Explain that Put positioning exceeds Call positioning, indicating bullish sentiment.</w:t>
      </w:r>
    </w:p>
    <w:p w14:paraId="6928BC0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PCR Between 0.80–1.00</w:t>
      </w:r>
    </w:p>
    <w:p w14:paraId="5AC31DA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Explain that options positioning remains balanced.</w:t>
      </w:r>
    </w:p>
    <w:p w14:paraId="0A55953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PCR Below 0.80</w:t>
      </w:r>
    </w:p>
    <w:p w14:paraId="1049468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Explain that Call positioning dominates, reflecting bearish market sentiment.</w:t>
      </w:r>
    </w:p>
    <w:p w14:paraId="6622843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PCR Above 1.30</w:t>
      </w:r>
    </w:p>
    <w:p w14:paraId="5536815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Explain that sentiment has become excessively bullish and a contrarian reversal risk exists.</w:t>
      </w:r>
    </w:p>
    <w:p w14:paraId="270D37F5"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7CB93458">
          <v:rect id="_x0000_i1130" style="width:0;height:1.5pt" o:hralign="center" o:hrstd="t" o:hr="t" fillcolor="#a0a0a0" stroked="f"/>
        </w:pict>
      </w:r>
    </w:p>
    <w:p w14:paraId="412878D0"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11. Why It Matters</w:t>
      </w:r>
    </w:p>
    <w:p w14:paraId="48AF8FFD" w14:textId="77777777" w:rsidR="00DB767F" w:rsidRPr="00DB767F" w:rsidRDefault="00DB767F" w:rsidP="00DB767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Measures institutional options sentiment. </w:t>
      </w:r>
    </w:p>
    <w:p w14:paraId="1233C13E" w14:textId="77777777" w:rsidR="00DB767F" w:rsidRPr="00DB767F" w:rsidRDefault="00DB767F" w:rsidP="00DB767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Identifies bullish and bearish positioning. </w:t>
      </w:r>
    </w:p>
    <w:p w14:paraId="66892350" w14:textId="77777777" w:rsidR="00DB767F" w:rsidRPr="00DB767F" w:rsidRDefault="00DB767F" w:rsidP="00DB767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Detects sentiment extremes. </w:t>
      </w:r>
    </w:p>
    <w:p w14:paraId="361CB251" w14:textId="77777777" w:rsidR="00DB767F" w:rsidRPr="00DB767F" w:rsidRDefault="00DB767F" w:rsidP="00DB767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Confirms trend direction. </w:t>
      </w:r>
    </w:p>
    <w:p w14:paraId="05F1A9BE" w14:textId="77777777" w:rsidR="00DB767F" w:rsidRPr="00DB767F" w:rsidRDefault="00DB767F" w:rsidP="00DB767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Widely followed by professional options traders. </w:t>
      </w:r>
    </w:p>
    <w:p w14:paraId="2309891C"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681A15F8">
          <v:rect id="_x0000_i1131" style="width:0;height:1.5pt" o:hralign="center" o:hrstd="t" o:hr="t" fillcolor="#a0a0a0" stroked="f"/>
        </w:pict>
      </w:r>
    </w:p>
    <w:p w14:paraId="3FDDBBA8"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12. Trading Impact</w:t>
      </w:r>
    </w:p>
    <w:p w14:paraId="3874F69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Intraday</w:t>
      </w:r>
    </w:p>
    <w:p w14:paraId="7A25FC6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Segoe UI Symbol" w:eastAsia="Times New Roman" w:hAnsi="Segoe UI Symbol" w:cs="Segoe UI Symbol"/>
          <w:sz w:val="24"/>
          <w:szCs w:val="24"/>
        </w:rPr>
        <w:t>★★★★★</w:t>
      </w:r>
    </w:p>
    <w:p w14:paraId="1E505ED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Swing Trading</w:t>
      </w:r>
    </w:p>
    <w:p w14:paraId="0C54631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Segoe UI Symbol" w:eastAsia="Times New Roman" w:hAnsi="Segoe UI Symbol" w:cs="Segoe UI Symbol"/>
          <w:sz w:val="24"/>
          <w:szCs w:val="24"/>
        </w:rPr>
        <w:t>★★★★☆</w:t>
      </w:r>
    </w:p>
    <w:p w14:paraId="1C690C5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Positional Trading</w:t>
      </w:r>
    </w:p>
    <w:p w14:paraId="050A5F6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Segoe UI Symbol" w:eastAsia="Times New Roman" w:hAnsi="Segoe UI Symbol" w:cs="Segoe UI Symbol"/>
          <w:sz w:val="24"/>
          <w:szCs w:val="24"/>
        </w:rPr>
        <w:t>★★★☆☆</w:t>
      </w:r>
    </w:p>
    <w:p w14:paraId="79FB0CC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lastRenderedPageBreak/>
        <w:t>Options Trading</w:t>
      </w:r>
    </w:p>
    <w:p w14:paraId="2F25C24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Segoe UI Symbol" w:eastAsia="Times New Roman" w:hAnsi="Segoe UI Symbol" w:cs="Segoe UI Symbol"/>
          <w:sz w:val="24"/>
          <w:szCs w:val="24"/>
        </w:rPr>
        <w:t>★★★★★</w:t>
      </w:r>
    </w:p>
    <w:p w14:paraId="569BCAA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Best Use</w:t>
      </w:r>
    </w:p>
    <w:p w14:paraId="31B9675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Measuring market sentiment through options positioning.</w:t>
      </w:r>
    </w:p>
    <w:p w14:paraId="30BE612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Avoid Using Alone</w:t>
      </w:r>
    </w:p>
    <w:p w14:paraId="12A2DCC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Yes</w:t>
      </w:r>
    </w:p>
    <w:p w14:paraId="0CFBB70D"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4BC9AAA0">
          <v:rect id="_x0000_i1132" style="width:0;height:1.5pt" o:hralign="center" o:hrstd="t" o:hr="t" fillcolor="#a0a0a0" stroked="f"/>
        </w:pict>
      </w:r>
    </w:p>
    <w:p w14:paraId="2FAA2685"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13. Supporting Indicators</w:t>
      </w:r>
    </w:p>
    <w:p w14:paraId="2D948A05" w14:textId="77777777" w:rsidR="00DB767F" w:rsidRPr="00DB767F" w:rsidRDefault="00DB767F" w:rsidP="00DB767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Total Call Open Interest </w:t>
      </w:r>
    </w:p>
    <w:p w14:paraId="367FA328" w14:textId="77777777" w:rsidR="00DB767F" w:rsidRPr="00DB767F" w:rsidRDefault="00DB767F" w:rsidP="00DB767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Total Put Open Interest </w:t>
      </w:r>
    </w:p>
    <w:p w14:paraId="59A2F7FE" w14:textId="77777777" w:rsidR="00DB767F" w:rsidRPr="00DB767F" w:rsidRDefault="00DB767F" w:rsidP="00DB767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OI Change </w:t>
      </w:r>
    </w:p>
    <w:p w14:paraId="5C10A988" w14:textId="77777777" w:rsidR="00DB767F" w:rsidRPr="00DB767F" w:rsidRDefault="00DB767F" w:rsidP="00DB767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Max Pain </w:t>
      </w:r>
    </w:p>
    <w:p w14:paraId="0644B395" w14:textId="77777777" w:rsidR="00DB767F" w:rsidRPr="00DB767F" w:rsidRDefault="00DB767F" w:rsidP="00DB767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ATM IV </w:t>
      </w:r>
    </w:p>
    <w:p w14:paraId="14AA0132" w14:textId="77777777" w:rsidR="00DB767F" w:rsidRPr="00DB767F" w:rsidRDefault="00DB767F" w:rsidP="00DB767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India VIX </w:t>
      </w:r>
    </w:p>
    <w:p w14:paraId="58FC9921"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12A3ACAC">
          <v:rect id="_x0000_i1133" style="width:0;height:1.5pt" o:hralign="center" o:hrstd="t" o:hr="t" fillcolor="#a0a0a0" stroked="f"/>
        </w:pict>
      </w:r>
    </w:p>
    <w:p w14:paraId="6D8B6924"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14. Metadata</w:t>
      </w:r>
    </w:p>
    <w:p w14:paraId="184D885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Source</w:t>
      </w:r>
    </w:p>
    <w:p w14:paraId="7174014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NSE Option Chain / Upstox API</w:t>
      </w:r>
    </w:p>
    <w:p w14:paraId="0A61661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Calculation</w:t>
      </w:r>
    </w:p>
    <w:p w14:paraId="559773A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Backend</w:t>
      </w:r>
    </w:p>
    <w:p w14:paraId="2E3B9C1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Updated</w:t>
      </w:r>
    </w:p>
    <w:p w14:paraId="3FDFE57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Every Option Chain Refresh</w:t>
      </w:r>
    </w:p>
    <w:p w14:paraId="0B72C82C"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proofErr w:type="spellStart"/>
      <w:r w:rsidRPr="00DB767F">
        <w:rPr>
          <w:rFonts w:ascii="Times New Roman" w:eastAsia="Times New Roman" w:hAnsi="Times New Roman" w:cs="Times New Roman"/>
          <w:b/>
          <w:bCs/>
          <w:sz w:val="24"/>
          <w:szCs w:val="24"/>
        </w:rPr>
        <w:t>Timezone</w:t>
      </w:r>
      <w:proofErr w:type="spellEnd"/>
    </w:p>
    <w:p w14:paraId="4D75ED7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Asia/Kolkata</w:t>
      </w:r>
    </w:p>
    <w:p w14:paraId="4023D1E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Storage</w:t>
      </w:r>
    </w:p>
    <w:p w14:paraId="3937BB4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lastRenderedPageBreak/>
        <w:t>Local Electron Database</w:t>
      </w:r>
    </w:p>
    <w:p w14:paraId="2A181CAF"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2C23EF38">
          <v:rect id="_x0000_i1134" style="width:0;height:1.5pt" o:hralign="center" o:hrstd="t" o:hr="t" fillcolor="#a0a0a0" stroked="f"/>
        </w:pict>
      </w:r>
    </w:p>
    <w:p w14:paraId="7A113E83"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15. Developer Notes</w:t>
      </w:r>
    </w:p>
    <w:p w14:paraId="029818BC"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Store:</w:t>
      </w:r>
    </w:p>
    <w:p w14:paraId="1FF9A291" w14:textId="77777777" w:rsidR="00DB767F" w:rsidRPr="00DB767F" w:rsidRDefault="00DB767F" w:rsidP="00DB767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Current PCR </w:t>
      </w:r>
    </w:p>
    <w:p w14:paraId="46DE45FB" w14:textId="77777777" w:rsidR="00DB767F" w:rsidRPr="00DB767F" w:rsidRDefault="00DB767F" w:rsidP="00DB767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Historical PCR </w:t>
      </w:r>
    </w:p>
    <w:p w14:paraId="582F8C98" w14:textId="77777777" w:rsidR="00DB767F" w:rsidRPr="00DB767F" w:rsidRDefault="00DB767F" w:rsidP="00DB767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Current Score </w:t>
      </w:r>
    </w:p>
    <w:p w14:paraId="333177F7" w14:textId="77777777" w:rsidR="00DB767F" w:rsidRPr="00DB767F" w:rsidRDefault="00DB767F" w:rsidP="00DB767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Bias </w:t>
      </w:r>
    </w:p>
    <w:p w14:paraId="0BD402EB" w14:textId="77777777" w:rsidR="00DB767F" w:rsidRPr="00DB767F" w:rsidRDefault="00DB767F" w:rsidP="00DB767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Confidence </w:t>
      </w:r>
    </w:p>
    <w:p w14:paraId="5F80B016" w14:textId="77777777" w:rsidR="00DB767F" w:rsidRPr="00DB767F" w:rsidRDefault="00DB767F" w:rsidP="00DB767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Last Updated </w:t>
      </w:r>
    </w:p>
    <w:p w14:paraId="66F0171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Maintain rolling historical PCR values for trend analysis. If either Put OI or Call OI is unavailable, display </w:t>
      </w:r>
      <w:r w:rsidRPr="00DB767F">
        <w:rPr>
          <w:rFonts w:ascii="Times New Roman" w:eastAsia="Times New Roman" w:hAnsi="Times New Roman" w:cs="Times New Roman"/>
          <w:b/>
          <w:bCs/>
          <w:sz w:val="24"/>
          <w:szCs w:val="24"/>
        </w:rPr>
        <w:t>"Insufficient Data"</w:t>
      </w:r>
      <w:r w:rsidRPr="00DB767F">
        <w:rPr>
          <w:rFonts w:ascii="Times New Roman" w:eastAsia="Times New Roman" w:hAnsi="Times New Roman" w:cs="Times New Roman"/>
          <w:sz w:val="24"/>
          <w:szCs w:val="24"/>
        </w:rPr>
        <w:t xml:space="preserve"> and exclude the indicator from score calculation.</w:t>
      </w:r>
    </w:p>
    <w:p w14:paraId="23B33BDB"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799CFBAD">
          <v:rect id="_x0000_i1135" style="width:0;height:1.5pt" o:hralign="center" o:hrstd="t" o:hr="t" fillcolor="#a0a0a0" stroked="f"/>
        </w:pict>
      </w:r>
    </w:p>
    <w:p w14:paraId="2E0BFA41"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 xml:space="preserve">16. Praxis Engine Integration </w:t>
      </w:r>
      <w:r w:rsidRPr="00DB767F">
        <w:rPr>
          <w:rFonts w:ascii="Segoe UI Emoji" w:eastAsia="Times New Roman" w:hAnsi="Segoe UI Emoji" w:cs="Segoe UI Emoji"/>
          <w:b/>
          <w:bCs/>
          <w:kern w:val="36"/>
          <w:sz w:val="48"/>
          <w:szCs w:val="48"/>
        </w:rPr>
        <w:t>⭐</w:t>
      </w:r>
    </w:p>
    <w:p w14:paraId="1C8C643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Engine Weight</w:t>
      </w:r>
    </w:p>
    <w:p w14:paraId="50ED21D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Configurable</w:t>
      </w:r>
    </w:p>
    <w:p w14:paraId="3439089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Relative Importance</w:t>
      </w:r>
    </w:p>
    <w:p w14:paraId="0B0BFCA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Very High</w:t>
      </w:r>
    </w:p>
    <w:p w14:paraId="65E92E9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Decision Engine Role</w:t>
      </w:r>
    </w:p>
    <w:p w14:paraId="3DAC79F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Institutional Sentiment Assessment</w:t>
      </w:r>
    </w:p>
    <w:p w14:paraId="1CCF09C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Primary Use</w:t>
      </w:r>
    </w:p>
    <w:p w14:paraId="4DB6574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Evaluate bullish or bearish positioning using the relationship between Put and Call Open Interest.</w:t>
      </w:r>
    </w:p>
    <w:p w14:paraId="6740208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Bullish Confirmation</w:t>
      </w:r>
    </w:p>
    <w:p w14:paraId="222CC90A" w14:textId="77777777" w:rsidR="00DB767F" w:rsidRPr="00DB767F" w:rsidRDefault="00DB767F" w:rsidP="00DB767F">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PCR between 1.00–1.20 </w:t>
      </w:r>
    </w:p>
    <w:p w14:paraId="2B2950FD" w14:textId="77777777" w:rsidR="00DB767F" w:rsidRPr="00DB767F" w:rsidRDefault="00DB767F" w:rsidP="00DB767F">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Rising Put OI </w:t>
      </w:r>
    </w:p>
    <w:p w14:paraId="6B14B0E8" w14:textId="77777777" w:rsidR="00DB767F" w:rsidRPr="00DB767F" w:rsidRDefault="00DB767F" w:rsidP="00DB767F">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Long Build-up </w:t>
      </w:r>
    </w:p>
    <w:p w14:paraId="13D39A9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lastRenderedPageBreak/>
        <w:t>Bearish Confirmation</w:t>
      </w:r>
    </w:p>
    <w:p w14:paraId="37DD378B" w14:textId="77777777" w:rsidR="00DB767F" w:rsidRPr="00DB767F" w:rsidRDefault="00DB767F" w:rsidP="00DB767F">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PCR below 0.80 </w:t>
      </w:r>
    </w:p>
    <w:p w14:paraId="3CA88FEF" w14:textId="77777777" w:rsidR="00DB767F" w:rsidRPr="00DB767F" w:rsidRDefault="00DB767F" w:rsidP="00DB767F">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Rising Call OI </w:t>
      </w:r>
    </w:p>
    <w:p w14:paraId="29A6A5C2" w14:textId="77777777" w:rsidR="00DB767F" w:rsidRPr="00DB767F" w:rsidRDefault="00DB767F" w:rsidP="00DB767F">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Short Build-up </w:t>
      </w:r>
    </w:p>
    <w:p w14:paraId="7931C67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Display Priority</w:t>
      </w:r>
    </w:p>
    <w:p w14:paraId="0597858C"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Highest</w:t>
      </w:r>
    </w:p>
    <w:p w14:paraId="20EAF5E5"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16700EDE">
          <v:rect id="_x0000_i1136" style="width:0;height:1.5pt" o:hralign="center" o:hrstd="t" o:hr="t" fillcolor="#a0a0a0" stroked="f"/>
        </w:pict>
      </w:r>
    </w:p>
    <w:p w14:paraId="70E82835"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17. Praxis Recommendation</w:t>
      </w:r>
    </w:p>
    <w:p w14:paraId="155B672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PCR (OI) should be the </w:t>
      </w:r>
      <w:r w:rsidRPr="00DB767F">
        <w:rPr>
          <w:rFonts w:ascii="Times New Roman" w:eastAsia="Times New Roman" w:hAnsi="Times New Roman" w:cs="Times New Roman"/>
          <w:b/>
          <w:bCs/>
          <w:sz w:val="24"/>
          <w:szCs w:val="24"/>
        </w:rPr>
        <w:t>primary options sentiment indicator</w:t>
      </w:r>
      <w:r w:rsidRPr="00DB767F">
        <w:rPr>
          <w:rFonts w:ascii="Times New Roman" w:eastAsia="Times New Roman" w:hAnsi="Times New Roman" w:cs="Times New Roman"/>
          <w:sz w:val="24"/>
          <w:szCs w:val="24"/>
        </w:rPr>
        <w:t xml:space="preserve"> within the Put-Call Ratio category.</w:t>
      </w:r>
    </w:p>
    <w:p w14:paraId="6E91EECE"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Put-Call Ratio Hierarchy</w:t>
      </w:r>
    </w:p>
    <w:p w14:paraId="6F833D49" w14:textId="77777777" w:rsidR="00DB767F" w:rsidRPr="00DB767F" w:rsidRDefault="00DB767F" w:rsidP="00DB767F">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B767F">
        <w:rPr>
          <w:rFonts w:ascii="Segoe UI Emoji" w:eastAsia="Times New Roman" w:hAnsi="Segoe UI Emoji" w:cs="Segoe UI Emoji"/>
          <w:sz w:val="24"/>
          <w:szCs w:val="24"/>
        </w:rPr>
        <w:t>⭐⭐⭐⭐⭐</w:t>
      </w:r>
      <w:r w:rsidRPr="00DB767F">
        <w:rPr>
          <w:rFonts w:ascii="Times New Roman" w:eastAsia="Times New Roman" w:hAnsi="Times New Roman" w:cs="Times New Roman"/>
          <w:sz w:val="24"/>
          <w:szCs w:val="24"/>
        </w:rPr>
        <w:t xml:space="preserve"> PCR (Open Interest) </w:t>
      </w:r>
    </w:p>
    <w:p w14:paraId="18D2FB74" w14:textId="77777777" w:rsidR="00DB767F" w:rsidRPr="00DB767F" w:rsidRDefault="00DB767F" w:rsidP="00DB767F">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B767F">
        <w:rPr>
          <w:rFonts w:ascii="Segoe UI Emoji" w:eastAsia="Times New Roman" w:hAnsi="Segoe UI Emoji" w:cs="Segoe UI Emoji"/>
          <w:sz w:val="24"/>
          <w:szCs w:val="24"/>
        </w:rPr>
        <w:t>⭐⭐⭐⭐</w:t>
      </w:r>
      <w:r w:rsidRPr="00DB767F">
        <w:rPr>
          <w:rFonts w:ascii="Segoe UI Symbol" w:eastAsia="Times New Roman" w:hAnsi="Segoe UI Symbol" w:cs="Segoe UI Symbol"/>
          <w:sz w:val="24"/>
          <w:szCs w:val="24"/>
        </w:rPr>
        <w:t>☆</w:t>
      </w:r>
      <w:r w:rsidRPr="00DB767F">
        <w:rPr>
          <w:rFonts w:ascii="Times New Roman" w:eastAsia="Times New Roman" w:hAnsi="Times New Roman" w:cs="Times New Roman"/>
          <w:sz w:val="24"/>
          <w:szCs w:val="24"/>
        </w:rPr>
        <w:t xml:space="preserve"> PCR (Volume) </w:t>
      </w:r>
    </w:p>
    <w:p w14:paraId="71055433"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Engine Rules</w:t>
      </w:r>
    </w:p>
    <w:p w14:paraId="747C182B" w14:textId="77777777" w:rsidR="00DB767F" w:rsidRPr="00DB767F" w:rsidRDefault="00DB767F" w:rsidP="00DB767F">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PCR between </w:t>
      </w:r>
      <w:r w:rsidRPr="00DB767F">
        <w:rPr>
          <w:rFonts w:ascii="Times New Roman" w:eastAsia="Times New Roman" w:hAnsi="Times New Roman" w:cs="Times New Roman"/>
          <w:b/>
          <w:bCs/>
          <w:sz w:val="24"/>
          <w:szCs w:val="24"/>
        </w:rPr>
        <w:t>1.00–1.20</w:t>
      </w:r>
      <w:r w:rsidRPr="00DB767F">
        <w:rPr>
          <w:rFonts w:ascii="Times New Roman" w:eastAsia="Times New Roman" w:hAnsi="Times New Roman" w:cs="Times New Roman"/>
          <w:sz w:val="24"/>
          <w:szCs w:val="24"/>
        </w:rPr>
        <w:t xml:space="preserve"> + Long Build-up → Increase Options Score. </w:t>
      </w:r>
    </w:p>
    <w:p w14:paraId="57B81C56" w14:textId="77777777" w:rsidR="00DB767F" w:rsidRPr="00DB767F" w:rsidRDefault="00DB767F" w:rsidP="00DB767F">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PCR below </w:t>
      </w:r>
      <w:r w:rsidRPr="00DB767F">
        <w:rPr>
          <w:rFonts w:ascii="Times New Roman" w:eastAsia="Times New Roman" w:hAnsi="Times New Roman" w:cs="Times New Roman"/>
          <w:b/>
          <w:bCs/>
          <w:sz w:val="24"/>
          <w:szCs w:val="24"/>
        </w:rPr>
        <w:t>0.80</w:t>
      </w:r>
      <w:r w:rsidRPr="00DB767F">
        <w:rPr>
          <w:rFonts w:ascii="Times New Roman" w:eastAsia="Times New Roman" w:hAnsi="Times New Roman" w:cs="Times New Roman"/>
          <w:sz w:val="24"/>
          <w:szCs w:val="24"/>
        </w:rPr>
        <w:t xml:space="preserve"> + Rising Call OI → Reduce Options Score. </w:t>
      </w:r>
    </w:p>
    <w:p w14:paraId="4D23ECAD" w14:textId="77777777" w:rsidR="00DB767F" w:rsidRPr="00DB767F" w:rsidRDefault="00DB767F" w:rsidP="00DB767F">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PCR above </w:t>
      </w:r>
      <w:r w:rsidRPr="00DB767F">
        <w:rPr>
          <w:rFonts w:ascii="Times New Roman" w:eastAsia="Times New Roman" w:hAnsi="Times New Roman" w:cs="Times New Roman"/>
          <w:b/>
          <w:bCs/>
          <w:sz w:val="24"/>
          <w:szCs w:val="24"/>
        </w:rPr>
        <w:t>1.30</w:t>
      </w:r>
      <w:r w:rsidRPr="00DB767F">
        <w:rPr>
          <w:rFonts w:ascii="Times New Roman" w:eastAsia="Times New Roman" w:hAnsi="Times New Roman" w:cs="Times New Roman"/>
          <w:sz w:val="24"/>
          <w:szCs w:val="24"/>
        </w:rPr>
        <w:t xml:space="preserve"> → Trigger a Contrarian Warning instead of increasing bullish conviction. </w:t>
      </w:r>
    </w:p>
    <w:p w14:paraId="763B9617" w14:textId="76C17C36" w:rsidR="00DB767F" w:rsidRDefault="00DB767F" w:rsidP="00DB767F">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Always validate PCR with OI Change, Max Pain, and Price Action before generating a high-confidence options signal.</w:t>
      </w:r>
    </w:p>
    <w:p w14:paraId="77C72564" w14:textId="2DF25E3F"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46166689" w14:textId="646872D4"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160A1FC9" w14:textId="1D7223A9"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3ECEC25E" w14:textId="1D035DED"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25371568" w14:textId="4D3CF51F"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369484E6" w14:textId="7ABB2ED6"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7A00CC4A" w14:textId="77777777" w:rsidR="00A5115D" w:rsidRPr="00DB767F"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781A4D5E"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DB767F">
        <w:rPr>
          <w:rFonts w:ascii="Times New Roman" w:eastAsia="Times New Roman" w:hAnsi="Times New Roman" w:cs="Times New Roman"/>
          <w:b/>
          <w:bCs/>
          <w:color w:val="FF0000"/>
          <w:kern w:val="36"/>
          <w:sz w:val="48"/>
          <w:szCs w:val="48"/>
        </w:rPr>
        <w:lastRenderedPageBreak/>
        <w:t>5. Put-Call Ratio (PCR - Volume)</w:t>
      </w:r>
    </w:p>
    <w:p w14:paraId="2416FFC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Module:</w:t>
      </w:r>
      <w:r w:rsidRPr="00DB767F">
        <w:rPr>
          <w:rFonts w:ascii="Times New Roman" w:eastAsia="Times New Roman" w:hAnsi="Times New Roman" w:cs="Times New Roman"/>
          <w:sz w:val="24"/>
          <w:szCs w:val="24"/>
        </w:rPr>
        <w:t xml:space="preserve"> Options</w:t>
      </w:r>
      <w:r w:rsidRPr="00DB767F">
        <w:rPr>
          <w:rFonts w:ascii="Times New Roman" w:eastAsia="Times New Roman" w:hAnsi="Times New Roman" w:cs="Times New Roman"/>
          <w:sz w:val="24"/>
          <w:szCs w:val="24"/>
        </w:rPr>
        <w:br/>
      </w:r>
      <w:r w:rsidRPr="00DB767F">
        <w:rPr>
          <w:rFonts w:ascii="Times New Roman" w:eastAsia="Times New Roman" w:hAnsi="Times New Roman" w:cs="Times New Roman"/>
          <w:b/>
          <w:bCs/>
          <w:sz w:val="24"/>
          <w:szCs w:val="24"/>
        </w:rPr>
        <w:t>Category:</w:t>
      </w:r>
      <w:r w:rsidRPr="00DB767F">
        <w:rPr>
          <w:rFonts w:ascii="Times New Roman" w:eastAsia="Times New Roman" w:hAnsi="Times New Roman" w:cs="Times New Roman"/>
          <w:sz w:val="24"/>
          <w:szCs w:val="24"/>
        </w:rPr>
        <w:t xml:space="preserve"> Put-Call Ratio</w:t>
      </w:r>
      <w:r w:rsidRPr="00DB767F">
        <w:rPr>
          <w:rFonts w:ascii="Times New Roman" w:eastAsia="Times New Roman" w:hAnsi="Times New Roman" w:cs="Times New Roman"/>
          <w:sz w:val="24"/>
          <w:szCs w:val="24"/>
        </w:rPr>
        <w:br/>
      </w:r>
      <w:r w:rsidRPr="00DB767F">
        <w:rPr>
          <w:rFonts w:ascii="Times New Roman" w:eastAsia="Times New Roman" w:hAnsi="Times New Roman" w:cs="Times New Roman"/>
          <w:b/>
          <w:bCs/>
          <w:sz w:val="24"/>
          <w:szCs w:val="24"/>
        </w:rPr>
        <w:t>Status:</w:t>
      </w:r>
      <w:r w:rsidRPr="00DB767F">
        <w:rPr>
          <w:rFonts w:ascii="Times New Roman" w:eastAsia="Times New Roman" w:hAnsi="Times New Roman" w:cs="Times New Roman"/>
          <w:sz w:val="24"/>
          <w:szCs w:val="24"/>
        </w:rPr>
        <w:t xml:space="preserve"> Production Ready</w:t>
      </w:r>
    </w:p>
    <w:p w14:paraId="215EDC58" w14:textId="77777777" w:rsidR="00DB767F" w:rsidRPr="00DB767F" w:rsidRDefault="00DB767F" w:rsidP="00DB767F">
      <w:pPr>
        <w:spacing w:before="100" w:beforeAutospacing="1" w:after="100" w:afterAutospacing="1" w:line="240" w:lineRule="auto"/>
        <w:outlineLvl w:val="1"/>
        <w:rPr>
          <w:rFonts w:ascii="Times New Roman" w:eastAsia="Times New Roman" w:hAnsi="Times New Roman" w:cs="Times New Roman"/>
          <w:b/>
          <w:bCs/>
          <w:sz w:val="36"/>
          <w:szCs w:val="36"/>
        </w:rPr>
      </w:pPr>
      <w:r w:rsidRPr="00DB767F">
        <w:rPr>
          <w:rFonts w:ascii="Times New Roman" w:eastAsia="Times New Roman" w:hAnsi="Times New Roman" w:cs="Times New Roman"/>
          <w:b/>
          <w:bCs/>
          <w:sz w:val="36"/>
          <w:szCs w:val="36"/>
        </w:rPr>
        <w:t>1. Overview</w:t>
      </w:r>
    </w:p>
    <w:p w14:paraId="4F37E32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Name:</w:t>
      </w:r>
      <w:r w:rsidRPr="00DB767F">
        <w:rPr>
          <w:rFonts w:ascii="Times New Roman" w:eastAsia="Times New Roman" w:hAnsi="Times New Roman" w:cs="Times New Roman"/>
          <w:sz w:val="24"/>
          <w:szCs w:val="24"/>
        </w:rPr>
        <w:t xml:space="preserve"> Put-Call Ratio (Volume)</w:t>
      </w:r>
    </w:p>
    <w:p w14:paraId="2E12181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Short Name:</w:t>
      </w:r>
      <w:r w:rsidRPr="00DB767F">
        <w:rPr>
          <w:rFonts w:ascii="Times New Roman" w:eastAsia="Times New Roman" w:hAnsi="Times New Roman" w:cs="Times New Roman"/>
          <w:sz w:val="24"/>
          <w:szCs w:val="24"/>
        </w:rPr>
        <w:t xml:space="preserve"> PCR (Volume)</w:t>
      </w:r>
    </w:p>
    <w:p w14:paraId="073260A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Module:</w:t>
      </w:r>
      <w:r w:rsidRPr="00DB767F">
        <w:rPr>
          <w:rFonts w:ascii="Times New Roman" w:eastAsia="Times New Roman" w:hAnsi="Times New Roman" w:cs="Times New Roman"/>
          <w:sz w:val="24"/>
          <w:szCs w:val="24"/>
        </w:rPr>
        <w:t xml:space="preserve"> Options</w:t>
      </w:r>
    </w:p>
    <w:p w14:paraId="32B1BE2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Category:</w:t>
      </w:r>
      <w:r w:rsidRPr="00DB767F">
        <w:rPr>
          <w:rFonts w:ascii="Times New Roman" w:eastAsia="Times New Roman" w:hAnsi="Times New Roman" w:cs="Times New Roman"/>
          <w:sz w:val="24"/>
          <w:szCs w:val="24"/>
        </w:rPr>
        <w:t xml:space="preserve"> Put-Call Ratio</w:t>
      </w:r>
    </w:p>
    <w:p w14:paraId="67D8CAD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Purpose:</w:t>
      </w:r>
    </w:p>
    <w:p w14:paraId="02E975F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Measures the ratio of Put Option trading volume to Call Option trading volume. It reflects short-term market sentiment by analyzing trading activity rather than outstanding positions.</w:t>
      </w:r>
    </w:p>
    <w:p w14:paraId="515E530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Based On:</w:t>
      </w:r>
    </w:p>
    <w:p w14:paraId="2AA3068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Put Trading Volume and Call Trading Volume</w:t>
      </w:r>
    </w:p>
    <w:p w14:paraId="4B3E96F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Importance:</w:t>
      </w:r>
    </w:p>
    <w:p w14:paraId="3B31D8AC"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Segoe UI Emoji" w:eastAsia="Times New Roman" w:hAnsi="Segoe UI Emoji" w:cs="Segoe UI Emoji"/>
          <w:sz w:val="24"/>
          <w:szCs w:val="24"/>
        </w:rPr>
        <w:t>⭐⭐⭐⭐</w:t>
      </w:r>
      <w:r w:rsidRPr="00DB767F">
        <w:rPr>
          <w:rFonts w:ascii="Segoe UI Symbol" w:eastAsia="Times New Roman" w:hAnsi="Segoe UI Symbol" w:cs="Segoe UI Symbol"/>
          <w:sz w:val="24"/>
          <w:szCs w:val="24"/>
        </w:rPr>
        <w:t>☆</w:t>
      </w:r>
      <w:r w:rsidRPr="00DB767F">
        <w:rPr>
          <w:rFonts w:ascii="Times New Roman" w:eastAsia="Times New Roman" w:hAnsi="Times New Roman" w:cs="Times New Roman"/>
          <w:sz w:val="24"/>
          <w:szCs w:val="24"/>
        </w:rPr>
        <w:t xml:space="preserve"> (Short-Term Sentiment Indicator)</w:t>
      </w:r>
    </w:p>
    <w:p w14:paraId="025203A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Auto / Manual:</w:t>
      </w:r>
    </w:p>
    <w:p w14:paraId="1F629D8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Auto</w:t>
      </w:r>
    </w:p>
    <w:p w14:paraId="2541C339"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Update Frequency:</w:t>
      </w:r>
    </w:p>
    <w:p w14:paraId="66EB2C4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Every Option Chain Refresh (Market Hours)</w:t>
      </w:r>
    </w:p>
    <w:p w14:paraId="670DD5E9"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Praxis Note:</w:t>
      </w:r>
    </w:p>
    <w:p w14:paraId="18D4481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PCR (Volume) is more responsive than PCR (OI) because it reflects real-time trading activity. However, it is also more volatile and should always be confirmed using PCR (OI) and OI Change.</w:t>
      </w:r>
    </w:p>
    <w:p w14:paraId="22DEDBF9"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4C1476ED">
          <v:rect id="_x0000_i1153" style="width:0;height:1.5pt" o:hralign="center" o:hrstd="t" o:hr="t" fillcolor="#a0a0a0" stroked="f"/>
        </w:pict>
      </w:r>
    </w:p>
    <w:p w14:paraId="5AA9A0B8"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lastRenderedPageBreak/>
        <w:t>2. Data Requirements</w:t>
      </w:r>
    </w:p>
    <w:p w14:paraId="388794B3"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Required Data</w:t>
      </w:r>
    </w:p>
    <w:p w14:paraId="44607969" w14:textId="77777777" w:rsidR="00DB767F" w:rsidRPr="00DB767F" w:rsidRDefault="00DB767F" w:rsidP="00DB767F">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Total Put Volume </w:t>
      </w:r>
    </w:p>
    <w:p w14:paraId="441E7794" w14:textId="77777777" w:rsidR="00DB767F" w:rsidRPr="00DB767F" w:rsidRDefault="00DB767F" w:rsidP="00DB767F">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Total Call Volume </w:t>
      </w:r>
    </w:p>
    <w:p w14:paraId="5FDE38B6" w14:textId="77777777" w:rsidR="00DB767F" w:rsidRPr="00DB767F" w:rsidRDefault="00DB767F" w:rsidP="00DB767F">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Spot Price </w:t>
      </w:r>
    </w:p>
    <w:p w14:paraId="6B32970D" w14:textId="77777777" w:rsidR="00DB767F" w:rsidRPr="00DB767F" w:rsidRDefault="00DB767F" w:rsidP="00DB767F">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Expiry Date </w:t>
      </w:r>
    </w:p>
    <w:p w14:paraId="0ED9AE02"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Minimum Historical Data</w:t>
      </w:r>
    </w:p>
    <w:p w14:paraId="4FF545F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5 Trading Days</w:t>
      </w:r>
    </w:p>
    <w:p w14:paraId="0F88DF6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Recommended</w:t>
      </w:r>
    </w:p>
    <w:p w14:paraId="10EF5CB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30 Trading Days</w:t>
      </w:r>
    </w:p>
    <w:p w14:paraId="49C5B532"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Primary Source</w:t>
      </w:r>
    </w:p>
    <w:p w14:paraId="40C526A4" w14:textId="77777777" w:rsidR="00DB767F" w:rsidRPr="00DB767F" w:rsidRDefault="00DB767F" w:rsidP="00DB767F">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NSE Option Chain </w:t>
      </w:r>
    </w:p>
    <w:p w14:paraId="6668357F" w14:textId="77777777" w:rsidR="00DB767F" w:rsidRPr="00DB767F" w:rsidRDefault="00DB767F" w:rsidP="00DB767F">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Upstox API </w:t>
      </w:r>
    </w:p>
    <w:p w14:paraId="46D933C2"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482352F1">
          <v:rect id="_x0000_i1154" style="width:0;height:1.5pt" o:hralign="center" o:hrstd="t" o:hr="t" fillcolor="#a0a0a0" stroked="f"/>
        </w:pict>
      </w:r>
    </w:p>
    <w:p w14:paraId="15A38587"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3. Industry Standard Calculation</w:t>
      </w:r>
    </w:p>
    <w:p w14:paraId="3D463CAC"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Formula</w:t>
      </w:r>
    </w:p>
    <w:p w14:paraId="4A9267E7" w14:textId="77777777" w:rsidR="00DB767F" w:rsidRPr="00DB767F" w:rsidRDefault="00DB767F" w:rsidP="00DB7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767F">
        <w:rPr>
          <w:rFonts w:ascii="Courier New" w:eastAsia="Times New Roman" w:hAnsi="Courier New" w:cs="Courier New"/>
          <w:sz w:val="20"/>
          <w:szCs w:val="20"/>
        </w:rPr>
        <w:t>PCR (Volume) =</w:t>
      </w:r>
    </w:p>
    <w:p w14:paraId="6DA8E574" w14:textId="77777777" w:rsidR="00DB767F" w:rsidRPr="00DB767F" w:rsidRDefault="00DB767F" w:rsidP="00DB7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767F">
        <w:rPr>
          <w:rFonts w:ascii="Courier New" w:eastAsia="Times New Roman" w:hAnsi="Courier New" w:cs="Courier New"/>
          <w:sz w:val="20"/>
          <w:szCs w:val="20"/>
        </w:rPr>
        <w:t>Total Put Volume</w:t>
      </w:r>
    </w:p>
    <w:p w14:paraId="0377797F" w14:textId="77777777" w:rsidR="00DB767F" w:rsidRPr="00DB767F" w:rsidRDefault="00DB767F" w:rsidP="00DB7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767F">
        <w:rPr>
          <w:rFonts w:ascii="Courier New" w:eastAsia="Times New Roman" w:hAnsi="Courier New" w:cs="Courier New"/>
          <w:sz w:val="20"/>
          <w:szCs w:val="20"/>
        </w:rPr>
        <w:t>÷</w:t>
      </w:r>
    </w:p>
    <w:p w14:paraId="197CB569" w14:textId="77777777" w:rsidR="00DB767F" w:rsidRPr="00DB767F" w:rsidRDefault="00DB767F" w:rsidP="00DB7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767F">
        <w:rPr>
          <w:rFonts w:ascii="Courier New" w:eastAsia="Times New Roman" w:hAnsi="Courier New" w:cs="Courier New"/>
          <w:sz w:val="20"/>
          <w:szCs w:val="20"/>
        </w:rPr>
        <w:t>Total Call Volume</w:t>
      </w:r>
    </w:p>
    <w:p w14:paraId="6048406E"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Implementation Steps</w:t>
      </w:r>
    </w:p>
    <w:p w14:paraId="4EDC9A25" w14:textId="77777777" w:rsidR="00DB767F" w:rsidRPr="00DB767F" w:rsidRDefault="00DB767F" w:rsidP="00DB767F">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Retrieve Put trading volume. </w:t>
      </w:r>
    </w:p>
    <w:p w14:paraId="001263A6" w14:textId="77777777" w:rsidR="00DB767F" w:rsidRPr="00DB767F" w:rsidRDefault="00DB767F" w:rsidP="00DB767F">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Retrieve Call trading volume. </w:t>
      </w:r>
    </w:p>
    <w:p w14:paraId="5C85817D" w14:textId="77777777" w:rsidR="00DB767F" w:rsidRPr="00DB767F" w:rsidRDefault="00DB767F" w:rsidP="00DB767F">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Calculate PCR (Volume). </w:t>
      </w:r>
    </w:p>
    <w:p w14:paraId="08C57C5F" w14:textId="77777777" w:rsidR="00DB767F" w:rsidRPr="00DB767F" w:rsidRDefault="00DB767F" w:rsidP="00DB767F">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Compare with historical averages. </w:t>
      </w:r>
    </w:p>
    <w:p w14:paraId="1B40EF1A" w14:textId="77777777" w:rsidR="00DB767F" w:rsidRPr="00DB767F" w:rsidRDefault="00DB767F" w:rsidP="00DB767F">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Generate the Options Score. </w:t>
      </w:r>
    </w:p>
    <w:p w14:paraId="252180D4"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Standard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542"/>
      </w:tblGrid>
      <w:tr w:rsidR="00DB767F" w:rsidRPr="00DB767F" w14:paraId="47D41FC8" w14:textId="77777777" w:rsidTr="00DB767F">
        <w:trPr>
          <w:tblHeader/>
          <w:tblCellSpacing w:w="15" w:type="dxa"/>
        </w:trPr>
        <w:tc>
          <w:tcPr>
            <w:tcW w:w="0" w:type="auto"/>
            <w:vAlign w:val="center"/>
            <w:hideMark/>
          </w:tcPr>
          <w:p w14:paraId="11580A54" w14:textId="77777777" w:rsidR="00DB767F" w:rsidRPr="00DB767F" w:rsidRDefault="00DB767F" w:rsidP="00DB767F">
            <w:pPr>
              <w:spacing w:after="0" w:line="240" w:lineRule="auto"/>
              <w:jc w:val="center"/>
              <w:rPr>
                <w:rFonts w:ascii="Times New Roman" w:eastAsia="Times New Roman" w:hAnsi="Times New Roman" w:cs="Times New Roman"/>
                <w:b/>
                <w:bCs/>
                <w:sz w:val="24"/>
                <w:szCs w:val="24"/>
              </w:rPr>
            </w:pPr>
            <w:r w:rsidRPr="00DB767F">
              <w:rPr>
                <w:rFonts w:ascii="Times New Roman" w:eastAsia="Times New Roman" w:hAnsi="Times New Roman" w:cs="Times New Roman"/>
                <w:b/>
                <w:bCs/>
                <w:sz w:val="24"/>
                <w:szCs w:val="24"/>
              </w:rPr>
              <w:lastRenderedPageBreak/>
              <w:t>PCR</w:t>
            </w:r>
          </w:p>
        </w:tc>
        <w:tc>
          <w:tcPr>
            <w:tcW w:w="0" w:type="auto"/>
            <w:vAlign w:val="center"/>
            <w:hideMark/>
          </w:tcPr>
          <w:p w14:paraId="7990ECAA" w14:textId="77777777" w:rsidR="00DB767F" w:rsidRPr="00DB767F" w:rsidRDefault="00DB767F" w:rsidP="00DB767F">
            <w:pPr>
              <w:spacing w:after="0" w:line="240" w:lineRule="auto"/>
              <w:jc w:val="center"/>
              <w:rPr>
                <w:rFonts w:ascii="Times New Roman" w:eastAsia="Times New Roman" w:hAnsi="Times New Roman" w:cs="Times New Roman"/>
                <w:b/>
                <w:bCs/>
                <w:sz w:val="24"/>
                <w:szCs w:val="24"/>
              </w:rPr>
            </w:pPr>
            <w:r w:rsidRPr="00DB767F">
              <w:rPr>
                <w:rFonts w:ascii="Times New Roman" w:eastAsia="Times New Roman" w:hAnsi="Times New Roman" w:cs="Times New Roman"/>
                <w:b/>
                <w:bCs/>
                <w:sz w:val="24"/>
                <w:szCs w:val="24"/>
              </w:rPr>
              <w:t>Interpretation</w:t>
            </w:r>
          </w:p>
        </w:tc>
      </w:tr>
      <w:tr w:rsidR="00DB767F" w:rsidRPr="00DB767F" w14:paraId="27462747" w14:textId="77777777" w:rsidTr="00DB767F">
        <w:trPr>
          <w:tblCellSpacing w:w="15" w:type="dxa"/>
        </w:trPr>
        <w:tc>
          <w:tcPr>
            <w:tcW w:w="0" w:type="auto"/>
            <w:vAlign w:val="center"/>
            <w:hideMark/>
          </w:tcPr>
          <w:p w14:paraId="2FD41665"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&lt;0.80</w:t>
            </w:r>
          </w:p>
        </w:tc>
        <w:tc>
          <w:tcPr>
            <w:tcW w:w="0" w:type="auto"/>
            <w:vAlign w:val="center"/>
            <w:hideMark/>
          </w:tcPr>
          <w:p w14:paraId="766BF941"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Bearish</w:t>
            </w:r>
          </w:p>
        </w:tc>
      </w:tr>
      <w:tr w:rsidR="00DB767F" w:rsidRPr="00DB767F" w14:paraId="12E0AC5A" w14:textId="77777777" w:rsidTr="00DB767F">
        <w:trPr>
          <w:tblCellSpacing w:w="15" w:type="dxa"/>
        </w:trPr>
        <w:tc>
          <w:tcPr>
            <w:tcW w:w="0" w:type="auto"/>
            <w:vAlign w:val="center"/>
            <w:hideMark/>
          </w:tcPr>
          <w:p w14:paraId="495DA197"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0.80–1.10</w:t>
            </w:r>
          </w:p>
        </w:tc>
        <w:tc>
          <w:tcPr>
            <w:tcW w:w="0" w:type="auto"/>
            <w:vAlign w:val="center"/>
            <w:hideMark/>
          </w:tcPr>
          <w:p w14:paraId="280CECAF"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Neutral</w:t>
            </w:r>
          </w:p>
        </w:tc>
      </w:tr>
      <w:tr w:rsidR="00DB767F" w:rsidRPr="00DB767F" w14:paraId="3B7779C7" w14:textId="77777777" w:rsidTr="00DB767F">
        <w:trPr>
          <w:tblCellSpacing w:w="15" w:type="dxa"/>
        </w:trPr>
        <w:tc>
          <w:tcPr>
            <w:tcW w:w="0" w:type="auto"/>
            <w:vAlign w:val="center"/>
            <w:hideMark/>
          </w:tcPr>
          <w:p w14:paraId="5040A3B4"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&gt;1.10</w:t>
            </w:r>
          </w:p>
        </w:tc>
        <w:tc>
          <w:tcPr>
            <w:tcW w:w="0" w:type="auto"/>
            <w:vAlign w:val="center"/>
            <w:hideMark/>
          </w:tcPr>
          <w:p w14:paraId="5AD51445"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Bullish</w:t>
            </w:r>
          </w:p>
        </w:tc>
      </w:tr>
    </w:tbl>
    <w:p w14:paraId="7187918B"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Notes</w:t>
      </w:r>
    </w:p>
    <w:p w14:paraId="78E781EC" w14:textId="77777777" w:rsidR="00DB767F" w:rsidRPr="00DB767F" w:rsidRDefault="00DB767F" w:rsidP="00DB767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Use traded volume only. </w:t>
      </w:r>
    </w:p>
    <w:p w14:paraId="64702176" w14:textId="77777777" w:rsidR="00DB767F" w:rsidRPr="00DB767F" w:rsidRDefault="00DB767F" w:rsidP="00DB767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Reset calculations at the start of every trading session. </w:t>
      </w:r>
    </w:p>
    <w:p w14:paraId="3CC086E8" w14:textId="77777777" w:rsidR="00DB767F" w:rsidRPr="00DB767F" w:rsidRDefault="00DB767F" w:rsidP="00DB767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Confirm with PCR (OI) before assigning strong conviction. </w:t>
      </w:r>
    </w:p>
    <w:p w14:paraId="4104405B"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0E31B029">
          <v:rect id="_x0000_i1155" style="width:0;height:1.5pt" o:hralign="center" o:hrstd="t" o:hr="t" fillcolor="#a0a0a0" stroked="f"/>
        </w:pict>
      </w:r>
    </w:p>
    <w:p w14:paraId="5B25C73D"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4. Card Fields</w:t>
      </w:r>
    </w:p>
    <w:p w14:paraId="5359436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Current Value</w:t>
      </w:r>
    </w:p>
    <w:p w14:paraId="227AC06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PCR (Volume)</w:t>
      </w:r>
    </w:p>
    <w:p w14:paraId="5A32D81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Trend</w:t>
      </w:r>
    </w:p>
    <w:p w14:paraId="6B982964" w14:textId="77777777" w:rsidR="00DB767F" w:rsidRPr="00DB767F" w:rsidRDefault="00DB767F" w:rsidP="00DB767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Rising </w:t>
      </w:r>
    </w:p>
    <w:p w14:paraId="4778CF06" w14:textId="77777777" w:rsidR="00DB767F" w:rsidRPr="00DB767F" w:rsidRDefault="00DB767F" w:rsidP="00DB767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Stable </w:t>
      </w:r>
    </w:p>
    <w:p w14:paraId="00AAF007" w14:textId="77777777" w:rsidR="00DB767F" w:rsidRPr="00DB767F" w:rsidRDefault="00DB767F" w:rsidP="00DB767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Falling </w:t>
      </w:r>
    </w:p>
    <w:p w14:paraId="38C6DDA9"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Market Sentiment</w:t>
      </w:r>
    </w:p>
    <w:p w14:paraId="4032812D" w14:textId="77777777" w:rsidR="00DB767F" w:rsidRPr="00DB767F" w:rsidRDefault="00DB767F" w:rsidP="00DB767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Bullish </w:t>
      </w:r>
    </w:p>
    <w:p w14:paraId="6C92660C" w14:textId="77777777" w:rsidR="00DB767F" w:rsidRPr="00DB767F" w:rsidRDefault="00DB767F" w:rsidP="00DB767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Neutral </w:t>
      </w:r>
    </w:p>
    <w:p w14:paraId="4761DE3C" w14:textId="77777777" w:rsidR="00DB767F" w:rsidRPr="00DB767F" w:rsidRDefault="00DB767F" w:rsidP="00DB767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Bearish </w:t>
      </w:r>
    </w:p>
    <w:p w14:paraId="109771A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Score</w:t>
      </w:r>
    </w:p>
    <w:p w14:paraId="1CEFBC9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0–100</w:t>
      </w:r>
    </w:p>
    <w:p w14:paraId="34225A59"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Bias</w:t>
      </w:r>
    </w:p>
    <w:p w14:paraId="24F0E758" w14:textId="77777777" w:rsidR="00DB767F" w:rsidRPr="00DB767F" w:rsidRDefault="00DB767F" w:rsidP="00DB767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Bullish </w:t>
      </w:r>
    </w:p>
    <w:p w14:paraId="48E7DABC" w14:textId="77777777" w:rsidR="00DB767F" w:rsidRPr="00DB767F" w:rsidRDefault="00DB767F" w:rsidP="00DB767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Neutral </w:t>
      </w:r>
    </w:p>
    <w:p w14:paraId="01BF27E1" w14:textId="77777777" w:rsidR="00DB767F" w:rsidRPr="00DB767F" w:rsidRDefault="00DB767F" w:rsidP="00DB767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Bearish </w:t>
      </w:r>
    </w:p>
    <w:p w14:paraId="1D69A47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Confidence</w:t>
      </w:r>
    </w:p>
    <w:p w14:paraId="78D6B51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Volume PCR Confidence</w:t>
      </w:r>
    </w:p>
    <w:p w14:paraId="5FEDC749"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lastRenderedPageBreak/>
        <w:t>Impact Weight</w:t>
      </w:r>
    </w:p>
    <w:p w14:paraId="400321A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Medium</w:t>
      </w:r>
    </w:p>
    <w:p w14:paraId="532EA6E2"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233FC8BF">
          <v:rect id="_x0000_i1156" style="width:0;height:1.5pt" o:hralign="center" o:hrstd="t" o:hr="t" fillcolor="#a0a0a0" stroked="f"/>
        </w:pict>
      </w:r>
    </w:p>
    <w:p w14:paraId="3FC5142D"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634"/>
        <w:gridCol w:w="1509"/>
      </w:tblGrid>
      <w:tr w:rsidR="00DB767F" w:rsidRPr="00DB767F" w14:paraId="2F91F790" w14:textId="77777777" w:rsidTr="00DB767F">
        <w:trPr>
          <w:tblHeader/>
          <w:tblCellSpacing w:w="15" w:type="dxa"/>
        </w:trPr>
        <w:tc>
          <w:tcPr>
            <w:tcW w:w="0" w:type="auto"/>
            <w:vAlign w:val="center"/>
            <w:hideMark/>
          </w:tcPr>
          <w:p w14:paraId="06A3E7A8" w14:textId="77777777" w:rsidR="00DB767F" w:rsidRPr="00DB767F" w:rsidRDefault="00DB767F" w:rsidP="00DB767F">
            <w:pPr>
              <w:spacing w:after="0" w:line="240" w:lineRule="auto"/>
              <w:jc w:val="center"/>
              <w:rPr>
                <w:rFonts w:ascii="Times New Roman" w:eastAsia="Times New Roman" w:hAnsi="Times New Roman" w:cs="Times New Roman"/>
                <w:b/>
                <w:bCs/>
                <w:sz w:val="24"/>
                <w:szCs w:val="24"/>
              </w:rPr>
            </w:pPr>
            <w:r w:rsidRPr="00DB767F">
              <w:rPr>
                <w:rFonts w:ascii="Times New Roman" w:eastAsia="Times New Roman" w:hAnsi="Times New Roman" w:cs="Times New Roman"/>
                <w:b/>
                <w:bCs/>
                <w:sz w:val="24"/>
                <w:szCs w:val="24"/>
              </w:rPr>
              <w:t>Condition</w:t>
            </w:r>
          </w:p>
        </w:tc>
        <w:tc>
          <w:tcPr>
            <w:tcW w:w="0" w:type="auto"/>
            <w:vAlign w:val="center"/>
            <w:hideMark/>
          </w:tcPr>
          <w:p w14:paraId="58FABB52" w14:textId="77777777" w:rsidR="00DB767F" w:rsidRPr="00DB767F" w:rsidRDefault="00DB767F" w:rsidP="00DB767F">
            <w:pPr>
              <w:spacing w:after="0" w:line="240" w:lineRule="auto"/>
              <w:jc w:val="center"/>
              <w:rPr>
                <w:rFonts w:ascii="Times New Roman" w:eastAsia="Times New Roman" w:hAnsi="Times New Roman" w:cs="Times New Roman"/>
                <w:b/>
                <w:bCs/>
                <w:sz w:val="24"/>
                <w:szCs w:val="24"/>
              </w:rPr>
            </w:pPr>
            <w:r w:rsidRPr="00DB767F">
              <w:rPr>
                <w:rFonts w:ascii="Times New Roman" w:eastAsia="Times New Roman" w:hAnsi="Times New Roman" w:cs="Times New Roman"/>
                <w:b/>
                <w:bCs/>
                <w:sz w:val="24"/>
                <w:szCs w:val="24"/>
              </w:rPr>
              <w:t>Score</w:t>
            </w:r>
          </w:p>
        </w:tc>
        <w:tc>
          <w:tcPr>
            <w:tcW w:w="0" w:type="auto"/>
            <w:vAlign w:val="center"/>
            <w:hideMark/>
          </w:tcPr>
          <w:p w14:paraId="25F127D6" w14:textId="77777777" w:rsidR="00DB767F" w:rsidRPr="00DB767F" w:rsidRDefault="00DB767F" w:rsidP="00DB767F">
            <w:pPr>
              <w:spacing w:after="0" w:line="240" w:lineRule="auto"/>
              <w:jc w:val="center"/>
              <w:rPr>
                <w:rFonts w:ascii="Times New Roman" w:eastAsia="Times New Roman" w:hAnsi="Times New Roman" w:cs="Times New Roman"/>
                <w:b/>
                <w:bCs/>
                <w:sz w:val="24"/>
                <w:szCs w:val="24"/>
              </w:rPr>
            </w:pPr>
            <w:r w:rsidRPr="00DB767F">
              <w:rPr>
                <w:rFonts w:ascii="Times New Roman" w:eastAsia="Times New Roman" w:hAnsi="Times New Roman" w:cs="Times New Roman"/>
                <w:b/>
                <w:bCs/>
                <w:sz w:val="24"/>
                <w:szCs w:val="24"/>
              </w:rPr>
              <w:t>Bias</w:t>
            </w:r>
          </w:p>
        </w:tc>
      </w:tr>
      <w:tr w:rsidR="00DB767F" w:rsidRPr="00DB767F" w14:paraId="1AB266BB" w14:textId="77777777" w:rsidTr="00DB767F">
        <w:trPr>
          <w:tblCellSpacing w:w="15" w:type="dxa"/>
        </w:trPr>
        <w:tc>
          <w:tcPr>
            <w:tcW w:w="0" w:type="auto"/>
            <w:vAlign w:val="center"/>
            <w:hideMark/>
          </w:tcPr>
          <w:p w14:paraId="0DD31958"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PCR &gt;1.10</w:t>
            </w:r>
          </w:p>
        </w:tc>
        <w:tc>
          <w:tcPr>
            <w:tcW w:w="0" w:type="auto"/>
            <w:vAlign w:val="center"/>
            <w:hideMark/>
          </w:tcPr>
          <w:p w14:paraId="76800A20"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90</w:t>
            </w:r>
          </w:p>
        </w:tc>
        <w:tc>
          <w:tcPr>
            <w:tcW w:w="0" w:type="auto"/>
            <w:vAlign w:val="center"/>
            <w:hideMark/>
          </w:tcPr>
          <w:p w14:paraId="29116091"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Bullish</w:t>
            </w:r>
          </w:p>
        </w:tc>
      </w:tr>
      <w:tr w:rsidR="00DB767F" w:rsidRPr="00DB767F" w14:paraId="27CBBE92" w14:textId="77777777" w:rsidTr="00DB767F">
        <w:trPr>
          <w:tblCellSpacing w:w="15" w:type="dxa"/>
        </w:trPr>
        <w:tc>
          <w:tcPr>
            <w:tcW w:w="0" w:type="auto"/>
            <w:vAlign w:val="center"/>
            <w:hideMark/>
          </w:tcPr>
          <w:p w14:paraId="491BD56C"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PCR 0.80–1.10</w:t>
            </w:r>
          </w:p>
        </w:tc>
        <w:tc>
          <w:tcPr>
            <w:tcW w:w="0" w:type="auto"/>
            <w:vAlign w:val="center"/>
            <w:hideMark/>
          </w:tcPr>
          <w:p w14:paraId="4BD760A2"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65</w:t>
            </w:r>
          </w:p>
        </w:tc>
        <w:tc>
          <w:tcPr>
            <w:tcW w:w="0" w:type="auto"/>
            <w:vAlign w:val="center"/>
            <w:hideMark/>
          </w:tcPr>
          <w:p w14:paraId="20A2FCDF"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Neutral</w:t>
            </w:r>
          </w:p>
        </w:tc>
      </w:tr>
      <w:tr w:rsidR="00DB767F" w:rsidRPr="00DB767F" w14:paraId="45B440A4" w14:textId="77777777" w:rsidTr="00DB767F">
        <w:trPr>
          <w:tblCellSpacing w:w="15" w:type="dxa"/>
        </w:trPr>
        <w:tc>
          <w:tcPr>
            <w:tcW w:w="0" w:type="auto"/>
            <w:vAlign w:val="center"/>
            <w:hideMark/>
          </w:tcPr>
          <w:p w14:paraId="4E5AAC6C"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PCR 0.60–0.80</w:t>
            </w:r>
          </w:p>
        </w:tc>
        <w:tc>
          <w:tcPr>
            <w:tcW w:w="0" w:type="auto"/>
            <w:vAlign w:val="center"/>
            <w:hideMark/>
          </w:tcPr>
          <w:p w14:paraId="07958CB8"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35</w:t>
            </w:r>
          </w:p>
        </w:tc>
        <w:tc>
          <w:tcPr>
            <w:tcW w:w="0" w:type="auto"/>
            <w:vAlign w:val="center"/>
            <w:hideMark/>
          </w:tcPr>
          <w:p w14:paraId="0F442E63"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Bearish</w:t>
            </w:r>
          </w:p>
        </w:tc>
      </w:tr>
      <w:tr w:rsidR="00DB767F" w:rsidRPr="00DB767F" w14:paraId="36B006DB" w14:textId="77777777" w:rsidTr="00DB767F">
        <w:trPr>
          <w:tblCellSpacing w:w="15" w:type="dxa"/>
        </w:trPr>
        <w:tc>
          <w:tcPr>
            <w:tcW w:w="0" w:type="auto"/>
            <w:vAlign w:val="center"/>
            <w:hideMark/>
          </w:tcPr>
          <w:p w14:paraId="2F20A1A8"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PCR &lt;0.60</w:t>
            </w:r>
          </w:p>
        </w:tc>
        <w:tc>
          <w:tcPr>
            <w:tcW w:w="0" w:type="auto"/>
            <w:vAlign w:val="center"/>
            <w:hideMark/>
          </w:tcPr>
          <w:p w14:paraId="11E667DA"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10</w:t>
            </w:r>
          </w:p>
        </w:tc>
        <w:tc>
          <w:tcPr>
            <w:tcW w:w="0" w:type="auto"/>
            <w:vAlign w:val="center"/>
            <w:hideMark/>
          </w:tcPr>
          <w:p w14:paraId="4F2AC40D"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Strong Bearish</w:t>
            </w:r>
          </w:p>
        </w:tc>
      </w:tr>
    </w:tbl>
    <w:p w14:paraId="1A03DB20"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Notes</w:t>
      </w:r>
    </w:p>
    <w:p w14:paraId="20FA0CC1" w14:textId="77777777" w:rsidR="00DB767F" w:rsidRPr="00DB767F" w:rsidRDefault="00DB767F" w:rsidP="00DB767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PCR (Volume) reacts faster than PCR (OI). </w:t>
      </w:r>
    </w:p>
    <w:p w14:paraId="33C80F72" w14:textId="77777777" w:rsidR="00DB767F" w:rsidRPr="00DB767F" w:rsidRDefault="00DB767F" w:rsidP="00DB767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High values indicate stronger Put buying activity. </w:t>
      </w:r>
    </w:p>
    <w:p w14:paraId="1D055F42" w14:textId="77777777" w:rsidR="00DB767F" w:rsidRPr="00DB767F" w:rsidRDefault="00DB767F" w:rsidP="00DB767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Use PCR (OI) as the primary confirmation indicator. </w:t>
      </w:r>
    </w:p>
    <w:p w14:paraId="72242E75"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61051589">
          <v:rect id="_x0000_i1157" style="width:0;height:1.5pt" o:hralign="center" o:hrstd="t" o:hr="t" fillcolor="#a0a0a0" stroked="f"/>
        </w:pict>
      </w:r>
    </w:p>
    <w:p w14:paraId="71172348"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6. Bias Rules</w:t>
      </w:r>
    </w:p>
    <w:p w14:paraId="1FB166D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PCR Above 1.10</w:t>
      </w:r>
    </w:p>
    <w:p w14:paraId="73C2E5F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Bullish</w:t>
      </w:r>
    </w:p>
    <w:p w14:paraId="16FC7CB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PCR Between 0.80–1.10</w:t>
      </w:r>
    </w:p>
    <w:p w14:paraId="6F48248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Neutral</w:t>
      </w:r>
    </w:p>
    <w:p w14:paraId="3DAD6E6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PCR Below 0.80</w:t>
      </w:r>
    </w:p>
    <w:p w14:paraId="417099D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Bearish</w:t>
      </w:r>
    </w:p>
    <w:p w14:paraId="17C9B63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PCR Below 0.60</w:t>
      </w:r>
    </w:p>
    <w:p w14:paraId="305FA31C"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Strong Bearish</w:t>
      </w:r>
    </w:p>
    <w:p w14:paraId="6001482E"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1B1813EB">
          <v:rect id="_x0000_i1158" style="width:0;height:1.5pt" o:hralign="center" o:hrstd="t" o:hr="t" fillcolor="#a0a0a0" stroked="f"/>
        </w:pict>
      </w:r>
    </w:p>
    <w:p w14:paraId="2C3AF2D7"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lastRenderedPageBreak/>
        <w:t>7. Confidence Logic</w:t>
      </w:r>
    </w:p>
    <w:p w14:paraId="6C82EBA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Base Confidence</w:t>
      </w:r>
    </w:p>
    <w:p w14:paraId="759880A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85%</w:t>
      </w:r>
    </w:p>
    <w:p w14:paraId="768C45AE"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Increase Confidence</w:t>
      </w:r>
    </w:p>
    <w:p w14:paraId="7E5A1B4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+5% PCR (OI) confirmation</w:t>
      </w:r>
    </w:p>
    <w:p w14:paraId="61D5180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+5% OI Change confirmation</w:t>
      </w:r>
    </w:p>
    <w:p w14:paraId="4707CF6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+5% High option volume</w:t>
      </w:r>
    </w:p>
    <w:p w14:paraId="11ABD2B3"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Decrease Confidence</w:t>
      </w:r>
    </w:p>
    <w:p w14:paraId="07BEC65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-10% Low trading volume</w:t>
      </w:r>
    </w:p>
    <w:p w14:paraId="3CCAC82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-5% Expiry-day volatility</w:t>
      </w:r>
    </w:p>
    <w:p w14:paraId="4A6C3E0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-5% Mixed options signals</w:t>
      </w:r>
    </w:p>
    <w:p w14:paraId="35947A8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Minimum</w:t>
      </w:r>
    </w:p>
    <w:p w14:paraId="1C2E04D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60%</w:t>
      </w:r>
    </w:p>
    <w:p w14:paraId="2C7C2D2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Maximum</w:t>
      </w:r>
    </w:p>
    <w:p w14:paraId="32DD1FD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98%</w:t>
      </w:r>
    </w:p>
    <w:p w14:paraId="681B3972"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05C0EE79">
          <v:rect id="_x0000_i1159" style="width:0;height:1.5pt" o:hralign="center" o:hrstd="t" o:hr="t" fillcolor="#a0a0a0" stroked="f"/>
        </w:pict>
      </w:r>
    </w:p>
    <w:p w14:paraId="7777A90C"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8. Score Range Bar</w:t>
      </w:r>
    </w:p>
    <w:p w14:paraId="449D1B0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Minimum</w:t>
      </w:r>
    </w:p>
    <w:p w14:paraId="5A21FA0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0</w:t>
      </w:r>
    </w:p>
    <w:p w14:paraId="6483059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Maximum</w:t>
      </w:r>
    </w:p>
    <w:p w14:paraId="117A3A2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100</w:t>
      </w:r>
    </w:p>
    <w:p w14:paraId="19161B9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Pointer</w:t>
      </w:r>
    </w:p>
    <w:p w14:paraId="002D9B3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lastRenderedPageBreak/>
        <w:t>Current Score</w:t>
      </w:r>
    </w:p>
    <w:p w14:paraId="70A876A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Average Marker</w:t>
      </w:r>
    </w:p>
    <w:p w14:paraId="09DBDCA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30-Day Average Score</w:t>
      </w:r>
    </w:p>
    <w:p w14:paraId="52ADA726"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Color Zones</w:t>
      </w:r>
    </w:p>
    <w:p w14:paraId="6AF22F8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0–30 → Strong Bearish</w:t>
      </w:r>
    </w:p>
    <w:p w14:paraId="681615E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30–60 → Bearish</w:t>
      </w:r>
    </w:p>
    <w:p w14:paraId="3252F9E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60–80 → Neutral</w:t>
      </w:r>
    </w:p>
    <w:p w14:paraId="3449516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80–100 → Bullish</w:t>
      </w:r>
    </w:p>
    <w:p w14:paraId="7BC5CC3D"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5589521A">
          <v:rect id="_x0000_i1160" style="width:0;height:1.5pt" o:hralign="center" o:hrstd="t" o:hr="t" fillcolor="#a0a0a0" stroked="f"/>
        </w:pict>
      </w:r>
    </w:p>
    <w:p w14:paraId="6E3933D9"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9. Dual Trend Chart</w:t>
      </w:r>
    </w:p>
    <w:p w14:paraId="2386F70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Chart Type</w:t>
      </w:r>
    </w:p>
    <w:p w14:paraId="0BC0AB3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Dual Line</w:t>
      </w:r>
    </w:p>
    <w:p w14:paraId="7975B36C"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Line 1</w:t>
      </w:r>
    </w:p>
    <w:p w14:paraId="337130E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PCR (Volume)</w:t>
      </w:r>
    </w:p>
    <w:p w14:paraId="186D820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Line 2</w:t>
      </w:r>
    </w:p>
    <w:p w14:paraId="3C213EC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Praxis Score</w:t>
      </w:r>
    </w:p>
    <w:p w14:paraId="627206AC"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History</w:t>
      </w:r>
    </w:p>
    <w:p w14:paraId="4B76DF0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30 Trading Days</w:t>
      </w:r>
    </w:p>
    <w:p w14:paraId="2A571AFC"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Update</w:t>
      </w:r>
    </w:p>
    <w:p w14:paraId="6AB310A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Every option chain refresh.</w:t>
      </w:r>
    </w:p>
    <w:p w14:paraId="7292F86F"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101F877D">
          <v:rect id="_x0000_i1161" style="width:0;height:1.5pt" o:hralign="center" o:hrstd="t" o:hr="t" fillcolor="#a0a0a0" stroked="f"/>
        </w:pict>
      </w:r>
    </w:p>
    <w:p w14:paraId="0B51C0C0"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10. AI Insight Rules</w:t>
      </w:r>
    </w:p>
    <w:p w14:paraId="5A5C342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lastRenderedPageBreak/>
        <w:t>PCR Above 1.10</w:t>
      </w:r>
    </w:p>
    <w:p w14:paraId="1E48C08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Explain that Put trading activity is stronger than Call activity, indicating improving bullish sentiment.</w:t>
      </w:r>
    </w:p>
    <w:p w14:paraId="680F2CD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PCR Between 0.80–1.10</w:t>
      </w:r>
    </w:p>
    <w:p w14:paraId="29385BF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Explain that trading activity remains balanced between Calls and Puts.</w:t>
      </w:r>
    </w:p>
    <w:p w14:paraId="722C27F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PCR Below 0.80</w:t>
      </w:r>
    </w:p>
    <w:p w14:paraId="2305C21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Explain that Call trading activity dominates, indicating bearish market sentiment.</w:t>
      </w:r>
    </w:p>
    <w:p w14:paraId="2EF2B48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Sharp Change in PCR</w:t>
      </w:r>
    </w:p>
    <w:p w14:paraId="3005962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Explain that options traders are rapidly shifting their short-term positioning.</w:t>
      </w:r>
    </w:p>
    <w:p w14:paraId="615D7B6E"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249D8A4C">
          <v:rect id="_x0000_i1162" style="width:0;height:1.5pt" o:hralign="center" o:hrstd="t" o:hr="t" fillcolor="#a0a0a0" stroked="f"/>
        </w:pict>
      </w:r>
    </w:p>
    <w:p w14:paraId="5A550613"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11. Why It Matters</w:t>
      </w:r>
    </w:p>
    <w:p w14:paraId="0AD6DBF3" w14:textId="77777777" w:rsidR="00DB767F" w:rsidRPr="00DB767F" w:rsidRDefault="00DB767F" w:rsidP="00DB767F">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Measures real-time options sentiment. </w:t>
      </w:r>
    </w:p>
    <w:p w14:paraId="6FC0B2F8" w14:textId="77777777" w:rsidR="00DB767F" w:rsidRPr="00DB767F" w:rsidRDefault="00DB767F" w:rsidP="00DB767F">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Tracks short-term trader positioning. </w:t>
      </w:r>
    </w:p>
    <w:p w14:paraId="4E9ECF0D" w14:textId="77777777" w:rsidR="00DB767F" w:rsidRPr="00DB767F" w:rsidRDefault="00DB767F" w:rsidP="00DB767F">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Confirms momentum shifts. </w:t>
      </w:r>
    </w:p>
    <w:p w14:paraId="3D7A0269" w14:textId="77777777" w:rsidR="00DB767F" w:rsidRPr="00DB767F" w:rsidRDefault="00DB767F" w:rsidP="00DB767F">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Complements PCR (OI). </w:t>
      </w:r>
    </w:p>
    <w:p w14:paraId="0CBB4413" w14:textId="77777777" w:rsidR="00DB767F" w:rsidRPr="00DB767F" w:rsidRDefault="00DB767F" w:rsidP="00DB767F">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Improves intraday options analysis. </w:t>
      </w:r>
    </w:p>
    <w:p w14:paraId="072F3CC9"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4ACF4ED0">
          <v:rect id="_x0000_i1163" style="width:0;height:1.5pt" o:hralign="center" o:hrstd="t" o:hr="t" fillcolor="#a0a0a0" stroked="f"/>
        </w:pict>
      </w:r>
    </w:p>
    <w:p w14:paraId="3A3BA11E"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12. Trading Impact</w:t>
      </w:r>
    </w:p>
    <w:p w14:paraId="1CA0DB49"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Intraday</w:t>
      </w:r>
    </w:p>
    <w:p w14:paraId="62093BC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Segoe UI Symbol" w:eastAsia="Times New Roman" w:hAnsi="Segoe UI Symbol" w:cs="Segoe UI Symbol"/>
          <w:sz w:val="24"/>
          <w:szCs w:val="24"/>
        </w:rPr>
        <w:t>★★★★★</w:t>
      </w:r>
    </w:p>
    <w:p w14:paraId="1746832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Swing Trading</w:t>
      </w:r>
    </w:p>
    <w:p w14:paraId="07233F4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Segoe UI Symbol" w:eastAsia="Times New Roman" w:hAnsi="Segoe UI Symbol" w:cs="Segoe UI Symbol"/>
          <w:sz w:val="24"/>
          <w:szCs w:val="24"/>
        </w:rPr>
        <w:t>★★★☆☆</w:t>
      </w:r>
    </w:p>
    <w:p w14:paraId="6E401A4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Positional Trading</w:t>
      </w:r>
    </w:p>
    <w:p w14:paraId="2C3DF80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Segoe UI Symbol" w:eastAsia="Times New Roman" w:hAnsi="Segoe UI Symbol" w:cs="Segoe UI Symbol"/>
          <w:sz w:val="24"/>
          <w:szCs w:val="24"/>
        </w:rPr>
        <w:t>★★☆☆☆</w:t>
      </w:r>
    </w:p>
    <w:p w14:paraId="6062032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Options Trading</w:t>
      </w:r>
    </w:p>
    <w:p w14:paraId="2B1F0539"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Segoe UI Symbol" w:eastAsia="Times New Roman" w:hAnsi="Segoe UI Symbol" w:cs="Segoe UI Symbol"/>
          <w:sz w:val="24"/>
          <w:szCs w:val="24"/>
        </w:rPr>
        <w:lastRenderedPageBreak/>
        <w:t>★★★★★</w:t>
      </w:r>
    </w:p>
    <w:p w14:paraId="6018155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Best Use</w:t>
      </w:r>
    </w:p>
    <w:p w14:paraId="16F7052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Measuring short-term options sentiment.</w:t>
      </w:r>
    </w:p>
    <w:p w14:paraId="1D8D16D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Avoid Using Alone</w:t>
      </w:r>
    </w:p>
    <w:p w14:paraId="48B0F02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Yes</w:t>
      </w:r>
    </w:p>
    <w:p w14:paraId="46F99954"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0E0F6D2A">
          <v:rect id="_x0000_i1164" style="width:0;height:1.5pt" o:hralign="center" o:hrstd="t" o:hr="t" fillcolor="#a0a0a0" stroked="f"/>
        </w:pict>
      </w:r>
    </w:p>
    <w:p w14:paraId="707BF5D8"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13. Supporting Indicators</w:t>
      </w:r>
    </w:p>
    <w:p w14:paraId="5E934080" w14:textId="77777777" w:rsidR="00DB767F" w:rsidRPr="00DB767F" w:rsidRDefault="00DB767F" w:rsidP="00DB767F">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PCR (Open Interest) </w:t>
      </w:r>
    </w:p>
    <w:p w14:paraId="521E5108" w14:textId="77777777" w:rsidR="00DB767F" w:rsidRPr="00DB767F" w:rsidRDefault="00DB767F" w:rsidP="00DB767F">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OI Change </w:t>
      </w:r>
    </w:p>
    <w:p w14:paraId="70177446" w14:textId="77777777" w:rsidR="00DB767F" w:rsidRPr="00DB767F" w:rsidRDefault="00DB767F" w:rsidP="00DB767F">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Total Call Open Interest </w:t>
      </w:r>
    </w:p>
    <w:p w14:paraId="4ED48F80" w14:textId="77777777" w:rsidR="00DB767F" w:rsidRPr="00DB767F" w:rsidRDefault="00DB767F" w:rsidP="00DB767F">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Total Put Open Interest </w:t>
      </w:r>
    </w:p>
    <w:p w14:paraId="4B91F4E5" w14:textId="77777777" w:rsidR="00DB767F" w:rsidRPr="00DB767F" w:rsidRDefault="00DB767F" w:rsidP="00DB767F">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Max Pain </w:t>
      </w:r>
    </w:p>
    <w:p w14:paraId="396CD566" w14:textId="77777777" w:rsidR="00DB767F" w:rsidRPr="00DB767F" w:rsidRDefault="00DB767F" w:rsidP="00DB767F">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India VIX </w:t>
      </w:r>
    </w:p>
    <w:p w14:paraId="1F438C96"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00DB9172">
          <v:rect id="_x0000_i1165" style="width:0;height:1.5pt" o:hralign="center" o:hrstd="t" o:hr="t" fillcolor="#a0a0a0" stroked="f"/>
        </w:pict>
      </w:r>
    </w:p>
    <w:p w14:paraId="7D752ADC"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14. Metadata</w:t>
      </w:r>
    </w:p>
    <w:p w14:paraId="12FA27F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Source</w:t>
      </w:r>
    </w:p>
    <w:p w14:paraId="21DD0EAC"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NSE Option Chain / Upstox API</w:t>
      </w:r>
    </w:p>
    <w:p w14:paraId="3888965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Calculation</w:t>
      </w:r>
    </w:p>
    <w:p w14:paraId="6AFBF70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Backend</w:t>
      </w:r>
    </w:p>
    <w:p w14:paraId="5F415BB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Updated</w:t>
      </w:r>
    </w:p>
    <w:p w14:paraId="6968DCC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Every Option Chain Refresh</w:t>
      </w:r>
    </w:p>
    <w:p w14:paraId="76EB12A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proofErr w:type="spellStart"/>
      <w:r w:rsidRPr="00DB767F">
        <w:rPr>
          <w:rFonts w:ascii="Times New Roman" w:eastAsia="Times New Roman" w:hAnsi="Times New Roman" w:cs="Times New Roman"/>
          <w:b/>
          <w:bCs/>
          <w:sz w:val="24"/>
          <w:szCs w:val="24"/>
        </w:rPr>
        <w:t>Timezone</w:t>
      </w:r>
      <w:proofErr w:type="spellEnd"/>
    </w:p>
    <w:p w14:paraId="3336EE9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Asia/Kolkata</w:t>
      </w:r>
    </w:p>
    <w:p w14:paraId="5D6B64E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Storage</w:t>
      </w:r>
    </w:p>
    <w:p w14:paraId="7C09DFA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Local Electron Database</w:t>
      </w:r>
    </w:p>
    <w:p w14:paraId="21D61AA8"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lastRenderedPageBreak/>
        <w:pict w14:anchorId="026763D6">
          <v:rect id="_x0000_i1166" style="width:0;height:1.5pt" o:hralign="center" o:hrstd="t" o:hr="t" fillcolor="#a0a0a0" stroked="f"/>
        </w:pict>
      </w:r>
    </w:p>
    <w:p w14:paraId="2DC964CA"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15. Developer Notes</w:t>
      </w:r>
    </w:p>
    <w:p w14:paraId="222C775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Store:</w:t>
      </w:r>
    </w:p>
    <w:p w14:paraId="1EEB3C45" w14:textId="77777777" w:rsidR="00DB767F" w:rsidRPr="00DB767F" w:rsidRDefault="00DB767F" w:rsidP="00DB767F">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Current PCR (Volume) </w:t>
      </w:r>
    </w:p>
    <w:p w14:paraId="4173D99D" w14:textId="77777777" w:rsidR="00DB767F" w:rsidRPr="00DB767F" w:rsidRDefault="00DB767F" w:rsidP="00DB767F">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Historical PCR (Volume) </w:t>
      </w:r>
    </w:p>
    <w:p w14:paraId="14703EDE" w14:textId="77777777" w:rsidR="00DB767F" w:rsidRPr="00DB767F" w:rsidRDefault="00DB767F" w:rsidP="00DB767F">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Current Score </w:t>
      </w:r>
    </w:p>
    <w:p w14:paraId="31289487" w14:textId="77777777" w:rsidR="00DB767F" w:rsidRPr="00DB767F" w:rsidRDefault="00DB767F" w:rsidP="00DB767F">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Bias </w:t>
      </w:r>
    </w:p>
    <w:p w14:paraId="7CD6DCA0" w14:textId="77777777" w:rsidR="00DB767F" w:rsidRPr="00DB767F" w:rsidRDefault="00DB767F" w:rsidP="00DB767F">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Confidence </w:t>
      </w:r>
    </w:p>
    <w:p w14:paraId="59DAE14E" w14:textId="77777777" w:rsidR="00DB767F" w:rsidRPr="00DB767F" w:rsidRDefault="00DB767F" w:rsidP="00DB767F">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Last Updated </w:t>
      </w:r>
    </w:p>
    <w:p w14:paraId="3D025ED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Reset cumulative trading volume at the beginning of each trading session. Maintain historical values for trend analysis and compare with PCR (OI) to improve signal reliability.</w:t>
      </w:r>
    </w:p>
    <w:p w14:paraId="1EFDB228"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536DBCAB">
          <v:rect id="_x0000_i1167" style="width:0;height:1.5pt" o:hralign="center" o:hrstd="t" o:hr="t" fillcolor="#a0a0a0" stroked="f"/>
        </w:pict>
      </w:r>
    </w:p>
    <w:p w14:paraId="05A85DA9"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 xml:space="preserve">16. Praxis Engine Integration </w:t>
      </w:r>
      <w:r w:rsidRPr="00DB767F">
        <w:rPr>
          <w:rFonts w:ascii="Segoe UI Emoji" w:eastAsia="Times New Roman" w:hAnsi="Segoe UI Emoji" w:cs="Segoe UI Emoji"/>
          <w:b/>
          <w:bCs/>
          <w:kern w:val="36"/>
          <w:sz w:val="48"/>
          <w:szCs w:val="48"/>
        </w:rPr>
        <w:t>⭐</w:t>
      </w:r>
    </w:p>
    <w:p w14:paraId="271DC78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Engine Weight</w:t>
      </w:r>
    </w:p>
    <w:p w14:paraId="3C7D5E0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Configurable</w:t>
      </w:r>
    </w:p>
    <w:p w14:paraId="308D7C1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Relative Importance</w:t>
      </w:r>
    </w:p>
    <w:p w14:paraId="3EDEBC7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Medium-High</w:t>
      </w:r>
    </w:p>
    <w:p w14:paraId="01F05AC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Decision Engine Role</w:t>
      </w:r>
    </w:p>
    <w:p w14:paraId="7CD827D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Short-Term Sentiment Assessment</w:t>
      </w:r>
    </w:p>
    <w:p w14:paraId="0B7D33E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Primary Use</w:t>
      </w:r>
    </w:p>
    <w:p w14:paraId="5D3C285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Measure short-term options sentiment using trading activity.</w:t>
      </w:r>
    </w:p>
    <w:p w14:paraId="67E35C4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Bullish Confirmation</w:t>
      </w:r>
    </w:p>
    <w:p w14:paraId="1857FA1E" w14:textId="77777777" w:rsidR="00DB767F" w:rsidRPr="00DB767F" w:rsidRDefault="00DB767F" w:rsidP="00DB767F">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PCR (Volume) &gt;1.10 </w:t>
      </w:r>
    </w:p>
    <w:p w14:paraId="02232113" w14:textId="77777777" w:rsidR="00DB767F" w:rsidRPr="00DB767F" w:rsidRDefault="00DB767F" w:rsidP="00DB767F">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PCR (OI) Bullish </w:t>
      </w:r>
    </w:p>
    <w:p w14:paraId="18B89705" w14:textId="77777777" w:rsidR="00DB767F" w:rsidRPr="00DB767F" w:rsidRDefault="00DB767F" w:rsidP="00DB767F">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Long Build-up </w:t>
      </w:r>
    </w:p>
    <w:p w14:paraId="7C86485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Bearish Confirmation</w:t>
      </w:r>
    </w:p>
    <w:p w14:paraId="46936623" w14:textId="77777777" w:rsidR="00DB767F" w:rsidRPr="00DB767F" w:rsidRDefault="00DB767F" w:rsidP="00DB767F">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lastRenderedPageBreak/>
        <w:t xml:space="preserve">PCR (Volume) &lt;0.80 </w:t>
      </w:r>
    </w:p>
    <w:p w14:paraId="1FC22FD9" w14:textId="77777777" w:rsidR="00DB767F" w:rsidRPr="00DB767F" w:rsidRDefault="00DB767F" w:rsidP="00DB767F">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PCR (OI) Bearish </w:t>
      </w:r>
    </w:p>
    <w:p w14:paraId="77B25738" w14:textId="77777777" w:rsidR="00DB767F" w:rsidRPr="00DB767F" w:rsidRDefault="00DB767F" w:rsidP="00DB767F">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Short Build-up </w:t>
      </w:r>
    </w:p>
    <w:p w14:paraId="0FC8F2D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Display Priority</w:t>
      </w:r>
    </w:p>
    <w:p w14:paraId="2B17C59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High</w:t>
      </w:r>
    </w:p>
    <w:p w14:paraId="4A041C41"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33EBCCBD">
          <v:rect id="_x0000_i1168" style="width:0;height:1.5pt" o:hralign="center" o:hrstd="t" o:hr="t" fillcolor="#a0a0a0" stroked="f"/>
        </w:pict>
      </w:r>
    </w:p>
    <w:p w14:paraId="1ABCC0C2"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17. Praxis Recommendation</w:t>
      </w:r>
    </w:p>
    <w:p w14:paraId="563B8F7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PCR (Volume) should serve as the </w:t>
      </w:r>
      <w:r w:rsidRPr="00DB767F">
        <w:rPr>
          <w:rFonts w:ascii="Times New Roman" w:eastAsia="Times New Roman" w:hAnsi="Times New Roman" w:cs="Times New Roman"/>
          <w:b/>
          <w:bCs/>
          <w:sz w:val="24"/>
          <w:szCs w:val="24"/>
        </w:rPr>
        <w:t>short-term sentiment confirmation indicator</w:t>
      </w:r>
      <w:r w:rsidRPr="00DB767F">
        <w:rPr>
          <w:rFonts w:ascii="Times New Roman" w:eastAsia="Times New Roman" w:hAnsi="Times New Roman" w:cs="Times New Roman"/>
          <w:sz w:val="24"/>
          <w:szCs w:val="24"/>
        </w:rPr>
        <w:t xml:space="preserve"> within the Put-Call Ratio category.</w:t>
      </w:r>
    </w:p>
    <w:p w14:paraId="45FBC2E3"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Put-Call Ratio Hierarchy</w:t>
      </w:r>
    </w:p>
    <w:p w14:paraId="66706590" w14:textId="77777777" w:rsidR="00DB767F" w:rsidRPr="00DB767F" w:rsidRDefault="00DB767F" w:rsidP="00DB767F">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B767F">
        <w:rPr>
          <w:rFonts w:ascii="Segoe UI Emoji" w:eastAsia="Times New Roman" w:hAnsi="Segoe UI Emoji" w:cs="Segoe UI Emoji"/>
          <w:sz w:val="24"/>
          <w:szCs w:val="24"/>
        </w:rPr>
        <w:t>⭐⭐⭐⭐⭐</w:t>
      </w:r>
      <w:r w:rsidRPr="00DB767F">
        <w:rPr>
          <w:rFonts w:ascii="Times New Roman" w:eastAsia="Times New Roman" w:hAnsi="Times New Roman" w:cs="Times New Roman"/>
          <w:sz w:val="24"/>
          <w:szCs w:val="24"/>
        </w:rPr>
        <w:t xml:space="preserve"> PCR (Open Interest) </w:t>
      </w:r>
    </w:p>
    <w:p w14:paraId="00F5431F" w14:textId="77777777" w:rsidR="00DB767F" w:rsidRPr="00DB767F" w:rsidRDefault="00DB767F" w:rsidP="00DB767F">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B767F">
        <w:rPr>
          <w:rFonts w:ascii="Segoe UI Emoji" w:eastAsia="Times New Roman" w:hAnsi="Segoe UI Emoji" w:cs="Segoe UI Emoji"/>
          <w:sz w:val="24"/>
          <w:szCs w:val="24"/>
        </w:rPr>
        <w:t>⭐⭐⭐⭐</w:t>
      </w:r>
      <w:r w:rsidRPr="00DB767F">
        <w:rPr>
          <w:rFonts w:ascii="Segoe UI Symbol" w:eastAsia="Times New Roman" w:hAnsi="Segoe UI Symbol" w:cs="Segoe UI Symbol"/>
          <w:sz w:val="24"/>
          <w:szCs w:val="24"/>
        </w:rPr>
        <w:t>☆</w:t>
      </w:r>
      <w:r w:rsidRPr="00DB767F">
        <w:rPr>
          <w:rFonts w:ascii="Times New Roman" w:eastAsia="Times New Roman" w:hAnsi="Times New Roman" w:cs="Times New Roman"/>
          <w:sz w:val="24"/>
          <w:szCs w:val="24"/>
        </w:rPr>
        <w:t xml:space="preserve"> PCR (Volume) </w:t>
      </w:r>
    </w:p>
    <w:p w14:paraId="5C1CAEC3"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Engine Rules</w:t>
      </w:r>
    </w:p>
    <w:p w14:paraId="53695903" w14:textId="77777777" w:rsidR="00DB767F" w:rsidRPr="00DB767F" w:rsidRDefault="00DB767F" w:rsidP="00DB767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Rising PCR (Volume) + Rising PCR (OI) → Increase Options Score. </w:t>
      </w:r>
    </w:p>
    <w:p w14:paraId="0B88BC28" w14:textId="77777777" w:rsidR="00DB767F" w:rsidRPr="00DB767F" w:rsidRDefault="00DB767F" w:rsidP="00DB767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Falling PCR (Volume) + Short Build-up → Reduce Options Score. </w:t>
      </w:r>
    </w:p>
    <w:p w14:paraId="17A70BDF" w14:textId="77777777" w:rsidR="00DB767F" w:rsidRPr="00DB767F" w:rsidRDefault="00DB767F" w:rsidP="00DB767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Significant divergence between PCR (Volume) and PCR (OI) → Reduce confidence until confirmed. </w:t>
      </w:r>
    </w:p>
    <w:p w14:paraId="7E7F2C78" w14:textId="0BAA192A" w:rsidR="00DB767F" w:rsidRDefault="00DB767F" w:rsidP="00DB767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Use PCR (Volume) to capture rapid changes in trader sentiment, while relying on PCR (OI) for the primary market bias.</w:t>
      </w:r>
    </w:p>
    <w:p w14:paraId="1794117D" w14:textId="266FA8DA"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24AD6EC4" w14:textId="2C7F1831"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22CFD21D" w14:textId="19BC72DC"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6D8F30F8" w14:textId="29568C23"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784ADFDF" w14:textId="6B7B60F3"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77433CB1" w14:textId="697C3A39"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5DD29A83" w14:textId="737E6C74"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54138850" w14:textId="77777777" w:rsidR="00A5115D" w:rsidRPr="00DB767F"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2169494D"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DB767F">
        <w:rPr>
          <w:rFonts w:ascii="Times New Roman" w:eastAsia="Times New Roman" w:hAnsi="Times New Roman" w:cs="Times New Roman"/>
          <w:b/>
          <w:bCs/>
          <w:color w:val="FF0000"/>
          <w:kern w:val="36"/>
          <w:sz w:val="48"/>
          <w:szCs w:val="48"/>
        </w:rPr>
        <w:lastRenderedPageBreak/>
        <w:t>6. At-the-Money Implied Volatility (ATM IV)</w:t>
      </w:r>
    </w:p>
    <w:p w14:paraId="5F2DC12C"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Module:</w:t>
      </w:r>
      <w:r w:rsidRPr="00DB767F">
        <w:rPr>
          <w:rFonts w:ascii="Times New Roman" w:eastAsia="Times New Roman" w:hAnsi="Times New Roman" w:cs="Times New Roman"/>
          <w:sz w:val="24"/>
          <w:szCs w:val="24"/>
        </w:rPr>
        <w:t xml:space="preserve"> Options</w:t>
      </w:r>
      <w:r w:rsidRPr="00DB767F">
        <w:rPr>
          <w:rFonts w:ascii="Times New Roman" w:eastAsia="Times New Roman" w:hAnsi="Times New Roman" w:cs="Times New Roman"/>
          <w:sz w:val="24"/>
          <w:szCs w:val="24"/>
        </w:rPr>
        <w:br/>
      </w:r>
      <w:r w:rsidRPr="00DB767F">
        <w:rPr>
          <w:rFonts w:ascii="Times New Roman" w:eastAsia="Times New Roman" w:hAnsi="Times New Roman" w:cs="Times New Roman"/>
          <w:b/>
          <w:bCs/>
          <w:sz w:val="24"/>
          <w:szCs w:val="24"/>
        </w:rPr>
        <w:t>Category:</w:t>
      </w:r>
      <w:r w:rsidRPr="00DB767F">
        <w:rPr>
          <w:rFonts w:ascii="Times New Roman" w:eastAsia="Times New Roman" w:hAnsi="Times New Roman" w:cs="Times New Roman"/>
          <w:sz w:val="24"/>
          <w:szCs w:val="24"/>
        </w:rPr>
        <w:t xml:space="preserve"> Implied Volatility</w:t>
      </w:r>
      <w:r w:rsidRPr="00DB767F">
        <w:rPr>
          <w:rFonts w:ascii="Times New Roman" w:eastAsia="Times New Roman" w:hAnsi="Times New Roman" w:cs="Times New Roman"/>
          <w:sz w:val="24"/>
          <w:szCs w:val="24"/>
        </w:rPr>
        <w:br/>
      </w:r>
      <w:r w:rsidRPr="00DB767F">
        <w:rPr>
          <w:rFonts w:ascii="Times New Roman" w:eastAsia="Times New Roman" w:hAnsi="Times New Roman" w:cs="Times New Roman"/>
          <w:b/>
          <w:bCs/>
          <w:sz w:val="24"/>
          <w:szCs w:val="24"/>
        </w:rPr>
        <w:t>Status:</w:t>
      </w:r>
      <w:r w:rsidRPr="00DB767F">
        <w:rPr>
          <w:rFonts w:ascii="Times New Roman" w:eastAsia="Times New Roman" w:hAnsi="Times New Roman" w:cs="Times New Roman"/>
          <w:sz w:val="24"/>
          <w:szCs w:val="24"/>
        </w:rPr>
        <w:t xml:space="preserve"> Production Ready</w:t>
      </w:r>
    </w:p>
    <w:p w14:paraId="7958A9A5" w14:textId="77777777" w:rsidR="00DB767F" w:rsidRPr="00DB767F" w:rsidRDefault="00DB767F" w:rsidP="00DB767F">
      <w:pPr>
        <w:spacing w:before="100" w:beforeAutospacing="1" w:after="100" w:afterAutospacing="1" w:line="240" w:lineRule="auto"/>
        <w:outlineLvl w:val="1"/>
        <w:rPr>
          <w:rFonts w:ascii="Times New Roman" w:eastAsia="Times New Roman" w:hAnsi="Times New Roman" w:cs="Times New Roman"/>
          <w:b/>
          <w:bCs/>
          <w:sz w:val="36"/>
          <w:szCs w:val="36"/>
        </w:rPr>
      </w:pPr>
      <w:r w:rsidRPr="00DB767F">
        <w:rPr>
          <w:rFonts w:ascii="Times New Roman" w:eastAsia="Times New Roman" w:hAnsi="Times New Roman" w:cs="Times New Roman"/>
          <w:b/>
          <w:bCs/>
          <w:sz w:val="36"/>
          <w:szCs w:val="36"/>
        </w:rPr>
        <w:t>1. Overview</w:t>
      </w:r>
    </w:p>
    <w:p w14:paraId="5971180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Name:</w:t>
      </w:r>
      <w:r w:rsidRPr="00DB767F">
        <w:rPr>
          <w:rFonts w:ascii="Times New Roman" w:eastAsia="Times New Roman" w:hAnsi="Times New Roman" w:cs="Times New Roman"/>
          <w:sz w:val="24"/>
          <w:szCs w:val="24"/>
        </w:rPr>
        <w:t xml:space="preserve"> At-the-Money Implied Volatility</w:t>
      </w:r>
    </w:p>
    <w:p w14:paraId="62B38C6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Short Name:</w:t>
      </w:r>
      <w:r w:rsidRPr="00DB767F">
        <w:rPr>
          <w:rFonts w:ascii="Times New Roman" w:eastAsia="Times New Roman" w:hAnsi="Times New Roman" w:cs="Times New Roman"/>
          <w:sz w:val="24"/>
          <w:szCs w:val="24"/>
        </w:rPr>
        <w:t xml:space="preserve"> ATM IV</w:t>
      </w:r>
    </w:p>
    <w:p w14:paraId="1D1E065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Module:</w:t>
      </w:r>
      <w:r w:rsidRPr="00DB767F">
        <w:rPr>
          <w:rFonts w:ascii="Times New Roman" w:eastAsia="Times New Roman" w:hAnsi="Times New Roman" w:cs="Times New Roman"/>
          <w:sz w:val="24"/>
          <w:szCs w:val="24"/>
        </w:rPr>
        <w:t xml:space="preserve"> Options</w:t>
      </w:r>
    </w:p>
    <w:p w14:paraId="23E4FC1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Category:</w:t>
      </w:r>
      <w:r w:rsidRPr="00DB767F">
        <w:rPr>
          <w:rFonts w:ascii="Times New Roman" w:eastAsia="Times New Roman" w:hAnsi="Times New Roman" w:cs="Times New Roman"/>
          <w:sz w:val="24"/>
          <w:szCs w:val="24"/>
        </w:rPr>
        <w:t xml:space="preserve"> Implied Volatility</w:t>
      </w:r>
    </w:p>
    <w:p w14:paraId="22A6B2D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Purpose:</w:t>
      </w:r>
    </w:p>
    <w:p w14:paraId="7028222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Measures the market's expected future volatility using the implied volatility of the At-the-Money (ATM) option. It helps estimate expected price movement and option premiums.</w:t>
      </w:r>
    </w:p>
    <w:p w14:paraId="4EB2D42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Based On:</w:t>
      </w:r>
    </w:p>
    <w:p w14:paraId="3D82FAE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ATM Call IV and ATM Put IV</w:t>
      </w:r>
    </w:p>
    <w:p w14:paraId="64E00BA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Importance:</w:t>
      </w:r>
    </w:p>
    <w:p w14:paraId="022B745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Segoe UI Emoji" w:eastAsia="Times New Roman" w:hAnsi="Segoe UI Emoji" w:cs="Segoe UI Emoji"/>
          <w:sz w:val="24"/>
          <w:szCs w:val="24"/>
        </w:rPr>
        <w:t>⭐⭐⭐⭐⭐</w:t>
      </w:r>
      <w:r w:rsidRPr="00DB767F">
        <w:rPr>
          <w:rFonts w:ascii="Times New Roman" w:eastAsia="Times New Roman" w:hAnsi="Times New Roman" w:cs="Times New Roman"/>
          <w:sz w:val="24"/>
          <w:szCs w:val="24"/>
        </w:rPr>
        <w:t xml:space="preserve"> (Core Volatility Indicator)</w:t>
      </w:r>
    </w:p>
    <w:p w14:paraId="581BC8D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Auto / Manual:</w:t>
      </w:r>
    </w:p>
    <w:p w14:paraId="3CF4844C"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Auto</w:t>
      </w:r>
    </w:p>
    <w:p w14:paraId="0B843E3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Update Frequency:</w:t>
      </w:r>
    </w:p>
    <w:p w14:paraId="6B52847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Every Option Chain Refresh (Market Hours)</w:t>
      </w:r>
    </w:p>
    <w:p w14:paraId="57B0989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Praxis Note:</w:t>
      </w:r>
    </w:p>
    <w:p w14:paraId="2CDA4D6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ATM IV reflects expected future volatility, not direction. Rising IV indicates increasing uncertainty, while falling IV suggests calmer market conditions.</w:t>
      </w:r>
    </w:p>
    <w:p w14:paraId="4DD7D72F"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27ECB5A0">
          <v:rect id="_x0000_i1185" style="width:0;height:1.5pt" o:hralign="center" o:hrstd="t" o:hr="t" fillcolor="#a0a0a0" stroked="f"/>
        </w:pict>
      </w:r>
    </w:p>
    <w:p w14:paraId="6C670874"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lastRenderedPageBreak/>
        <w:t>2. Data Requirements</w:t>
      </w:r>
    </w:p>
    <w:p w14:paraId="47BC36F0"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Required Data</w:t>
      </w:r>
    </w:p>
    <w:p w14:paraId="1A946523" w14:textId="77777777" w:rsidR="00DB767F" w:rsidRPr="00DB767F" w:rsidRDefault="00DB767F" w:rsidP="00DB767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ATM Call Implied Volatility </w:t>
      </w:r>
    </w:p>
    <w:p w14:paraId="49F8C249" w14:textId="77777777" w:rsidR="00DB767F" w:rsidRPr="00DB767F" w:rsidRDefault="00DB767F" w:rsidP="00DB767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ATM Put Implied Volatility </w:t>
      </w:r>
    </w:p>
    <w:p w14:paraId="67424ACD" w14:textId="77777777" w:rsidR="00DB767F" w:rsidRPr="00DB767F" w:rsidRDefault="00DB767F" w:rsidP="00DB767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Spot Price </w:t>
      </w:r>
    </w:p>
    <w:p w14:paraId="753C83F8" w14:textId="77777777" w:rsidR="00DB767F" w:rsidRPr="00DB767F" w:rsidRDefault="00DB767F" w:rsidP="00DB767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Strike Price </w:t>
      </w:r>
    </w:p>
    <w:p w14:paraId="2D9FB7B5" w14:textId="77777777" w:rsidR="00DB767F" w:rsidRPr="00DB767F" w:rsidRDefault="00DB767F" w:rsidP="00DB767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Expiry Date </w:t>
      </w:r>
    </w:p>
    <w:p w14:paraId="635762E8"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Minimum Historical Data</w:t>
      </w:r>
    </w:p>
    <w:p w14:paraId="2A7A5B6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30 Trading Days</w:t>
      </w:r>
    </w:p>
    <w:p w14:paraId="3311B20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Recommended</w:t>
      </w:r>
    </w:p>
    <w:p w14:paraId="48E752B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1 Year</w:t>
      </w:r>
    </w:p>
    <w:p w14:paraId="6D5D1BB5"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Primary Source</w:t>
      </w:r>
    </w:p>
    <w:p w14:paraId="27FCD7CE" w14:textId="77777777" w:rsidR="00DB767F" w:rsidRPr="00DB767F" w:rsidRDefault="00DB767F" w:rsidP="00DB767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NSE Option Chain </w:t>
      </w:r>
    </w:p>
    <w:p w14:paraId="29EFC6CA" w14:textId="77777777" w:rsidR="00DB767F" w:rsidRPr="00DB767F" w:rsidRDefault="00DB767F" w:rsidP="00DB767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Upstox API </w:t>
      </w:r>
    </w:p>
    <w:p w14:paraId="6EA9FBC3"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3F0082D5">
          <v:rect id="_x0000_i1186" style="width:0;height:1.5pt" o:hralign="center" o:hrstd="t" o:hr="t" fillcolor="#a0a0a0" stroked="f"/>
        </w:pict>
      </w:r>
    </w:p>
    <w:p w14:paraId="0A2C5384"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3. Industry Standard Calculation</w:t>
      </w:r>
    </w:p>
    <w:p w14:paraId="618CA32D"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Formula</w:t>
      </w:r>
    </w:p>
    <w:p w14:paraId="6B5CE656" w14:textId="77777777" w:rsidR="00DB767F" w:rsidRPr="00DB767F" w:rsidRDefault="00DB767F" w:rsidP="00DB7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767F">
        <w:rPr>
          <w:rFonts w:ascii="Courier New" w:eastAsia="Times New Roman" w:hAnsi="Courier New" w:cs="Courier New"/>
          <w:sz w:val="20"/>
          <w:szCs w:val="20"/>
        </w:rPr>
        <w:t>ATM IV =</w:t>
      </w:r>
    </w:p>
    <w:p w14:paraId="65FD6E25" w14:textId="77777777" w:rsidR="00DB767F" w:rsidRPr="00DB767F" w:rsidRDefault="00DB767F" w:rsidP="00DB7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767F">
        <w:rPr>
          <w:rFonts w:ascii="Courier New" w:eastAsia="Times New Roman" w:hAnsi="Courier New" w:cs="Courier New"/>
          <w:sz w:val="20"/>
          <w:szCs w:val="20"/>
        </w:rPr>
        <w:t>(Call IV + Put IV)</w:t>
      </w:r>
    </w:p>
    <w:p w14:paraId="467779DA" w14:textId="77777777" w:rsidR="00DB767F" w:rsidRPr="00DB767F" w:rsidRDefault="00DB767F" w:rsidP="00DB7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767F">
        <w:rPr>
          <w:rFonts w:ascii="Courier New" w:eastAsia="Times New Roman" w:hAnsi="Courier New" w:cs="Courier New"/>
          <w:sz w:val="20"/>
          <w:szCs w:val="20"/>
        </w:rPr>
        <w:t>÷</w:t>
      </w:r>
    </w:p>
    <w:p w14:paraId="708A760F" w14:textId="77777777" w:rsidR="00DB767F" w:rsidRPr="00DB767F" w:rsidRDefault="00DB767F" w:rsidP="00DB7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767F">
        <w:rPr>
          <w:rFonts w:ascii="Courier New" w:eastAsia="Times New Roman" w:hAnsi="Courier New" w:cs="Courier New"/>
          <w:sz w:val="20"/>
          <w:szCs w:val="20"/>
        </w:rPr>
        <w:t>2</w:t>
      </w:r>
    </w:p>
    <w:p w14:paraId="0AE023CD"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Implementation Steps</w:t>
      </w:r>
    </w:p>
    <w:p w14:paraId="53CA16CF" w14:textId="77777777" w:rsidR="00DB767F" w:rsidRPr="00DB767F" w:rsidRDefault="00DB767F" w:rsidP="00DB767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Identify the At-the-Money strike. </w:t>
      </w:r>
    </w:p>
    <w:p w14:paraId="0AD9EAE7" w14:textId="77777777" w:rsidR="00DB767F" w:rsidRPr="00DB767F" w:rsidRDefault="00DB767F" w:rsidP="00DB767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Retrieve Call IV. </w:t>
      </w:r>
    </w:p>
    <w:p w14:paraId="65156261" w14:textId="77777777" w:rsidR="00DB767F" w:rsidRPr="00DB767F" w:rsidRDefault="00DB767F" w:rsidP="00DB767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Retrieve Put IV. </w:t>
      </w:r>
    </w:p>
    <w:p w14:paraId="006C0181" w14:textId="77777777" w:rsidR="00DB767F" w:rsidRPr="00DB767F" w:rsidRDefault="00DB767F" w:rsidP="00DB767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Calculate average ATM IV. </w:t>
      </w:r>
    </w:p>
    <w:p w14:paraId="4A82524F" w14:textId="77777777" w:rsidR="00DB767F" w:rsidRPr="00DB767F" w:rsidRDefault="00DB767F" w:rsidP="00DB767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Compare with historical values. </w:t>
      </w:r>
    </w:p>
    <w:p w14:paraId="049C6D22" w14:textId="77777777" w:rsidR="00DB767F" w:rsidRPr="00DB767F" w:rsidRDefault="00DB767F" w:rsidP="00DB767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Generate the Options Score. </w:t>
      </w:r>
    </w:p>
    <w:p w14:paraId="0013546C"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Notes</w:t>
      </w:r>
    </w:p>
    <w:p w14:paraId="009A6704" w14:textId="77777777" w:rsidR="00DB767F" w:rsidRPr="00DB767F" w:rsidRDefault="00DB767F" w:rsidP="00DB767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lastRenderedPageBreak/>
        <w:t xml:space="preserve">Use the nearest weekly expiry by default. </w:t>
      </w:r>
    </w:p>
    <w:p w14:paraId="3E6EA546" w14:textId="77777777" w:rsidR="00DB767F" w:rsidRPr="00DB767F" w:rsidRDefault="00DB767F" w:rsidP="00DB767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Switch to monthly expiry after weekly expiry. </w:t>
      </w:r>
    </w:p>
    <w:p w14:paraId="35C744FE" w14:textId="77777777" w:rsidR="00DB767F" w:rsidRPr="00DB767F" w:rsidRDefault="00DB767F" w:rsidP="00DB767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Ignore illiquid strikes. </w:t>
      </w:r>
    </w:p>
    <w:p w14:paraId="38AE88AF" w14:textId="77777777" w:rsidR="00DB767F" w:rsidRPr="00DB767F" w:rsidRDefault="00DB767F" w:rsidP="00DB767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Follow standard options market convention. </w:t>
      </w:r>
    </w:p>
    <w:p w14:paraId="1ABE7532"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11A7F8B4">
          <v:rect id="_x0000_i1187" style="width:0;height:1.5pt" o:hralign="center" o:hrstd="t" o:hr="t" fillcolor="#a0a0a0" stroked="f"/>
        </w:pict>
      </w:r>
    </w:p>
    <w:p w14:paraId="17A2CDEB"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4. Card Fields</w:t>
      </w:r>
    </w:p>
    <w:p w14:paraId="5BC2602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Current Value</w:t>
      </w:r>
    </w:p>
    <w:p w14:paraId="4AF073D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ATM IV (%)</w:t>
      </w:r>
    </w:p>
    <w:p w14:paraId="0598E29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ATM Strike</w:t>
      </w:r>
    </w:p>
    <w:p w14:paraId="553A5CE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Current ATM Strike</w:t>
      </w:r>
    </w:p>
    <w:p w14:paraId="3B0AE8C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IV Trend</w:t>
      </w:r>
    </w:p>
    <w:p w14:paraId="2C90F27C" w14:textId="77777777" w:rsidR="00DB767F" w:rsidRPr="00DB767F" w:rsidRDefault="00DB767F" w:rsidP="00DB767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Rising </w:t>
      </w:r>
    </w:p>
    <w:p w14:paraId="4FB350DE" w14:textId="77777777" w:rsidR="00DB767F" w:rsidRPr="00DB767F" w:rsidRDefault="00DB767F" w:rsidP="00DB767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Stable </w:t>
      </w:r>
    </w:p>
    <w:p w14:paraId="2D323BFA" w14:textId="77777777" w:rsidR="00DB767F" w:rsidRPr="00DB767F" w:rsidRDefault="00DB767F" w:rsidP="00DB767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Falling </w:t>
      </w:r>
    </w:p>
    <w:p w14:paraId="7B33ABC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Score</w:t>
      </w:r>
    </w:p>
    <w:p w14:paraId="0852CA5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0–100</w:t>
      </w:r>
    </w:p>
    <w:p w14:paraId="6B29309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Bias</w:t>
      </w:r>
    </w:p>
    <w:p w14:paraId="263ADC0A" w14:textId="77777777" w:rsidR="00DB767F" w:rsidRPr="00DB767F" w:rsidRDefault="00DB767F" w:rsidP="00DB767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Bullish </w:t>
      </w:r>
    </w:p>
    <w:p w14:paraId="3B183FC7" w14:textId="77777777" w:rsidR="00DB767F" w:rsidRPr="00DB767F" w:rsidRDefault="00DB767F" w:rsidP="00DB767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Neutral </w:t>
      </w:r>
    </w:p>
    <w:p w14:paraId="2C538E76" w14:textId="77777777" w:rsidR="00DB767F" w:rsidRPr="00DB767F" w:rsidRDefault="00DB767F" w:rsidP="00DB767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Bearish </w:t>
      </w:r>
    </w:p>
    <w:p w14:paraId="1C8CFE3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Confidence</w:t>
      </w:r>
    </w:p>
    <w:p w14:paraId="68004F8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Volatility Confidence</w:t>
      </w:r>
    </w:p>
    <w:p w14:paraId="6EF8C57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Impact Weight</w:t>
      </w:r>
    </w:p>
    <w:p w14:paraId="58BB452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High</w:t>
      </w:r>
    </w:p>
    <w:p w14:paraId="2358157A"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73FCC444">
          <v:rect id="_x0000_i1188" style="width:0;height:1.5pt" o:hralign="center" o:hrstd="t" o:hr="t" fillcolor="#a0a0a0" stroked="f"/>
        </w:pict>
      </w:r>
    </w:p>
    <w:p w14:paraId="053CA0EC"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4"/>
        <w:gridCol w:w="634"/>
        <w:gridCol w:w="1469"/>
      </w:tblGrid>
      <w:tr w:rsidR="00DB767F" w:rsidRPr="00DB767F" w14:paraId="55F4C18B" w14:textId="77777777" w:rsidTr="00DB767F">
        <w:trPr>
          <w:tblHeader/>
          <w:tblCellSpacing w:w="15" w:type="dxa"/>
        </w:trPr>
        <w:tc>
          <w:tcPr>
            <w:tcW w:w="0" w:type="auto"/>
            <w:vAlign w:val="center"/>
            <w:hideMark/>
          </w:tcPr>
          <w:p w14:paraId="01F628AC" w14:textId="77777777" w:rsidR="00DB767F" w:rsidRPr="00DB767F" w:rsidRDefault="00DB767F" w:rsidP="00DB767F">
            <w:pPr>
              <w:spacing w:after="0" w:line="240" w:lineRule="auto"/>
              <w:jc w:val="center"/>
              <w:rPr>
                <w:rFonts w:ascii="Times New Roman" w:eastAsia="Times New Roman" w:hAnsi="Times New Roman" w:cs="Times New Roman"/>
                <w:b/>
                <w:bCs/>
                <w:sz w:val="24"/>
                <w:szCs w:val="24"/>
              </w:rPr>
            </w:pPr>
            <w:r w:rsidRPr="00DB767F">
              <w:rPr>
                <w:rFonts w:ascii="Times New Roman" w:eastAsia="Times New Roman" w:hAnsi="Times New Roman" w:cs="Times New Roman"/>
                <w:b/>
                <w:bCs/>
                <w:sz w:val="24"/>
                <w:szCs w:val="24"/>
              </w:rPr>
              <w:lastRenderedPageBreak/>
              <w:t>Condition</w:t>
            </w:r>
          </w:p>
        </w:tc>
        <w:tc>
          <w:tcPr>
            <w:tcW w:w="0" w:type="auto"/>
            <w:vAlign w:val="center"/>
            <w:hideMark/>
          </w:tcPr>
          <w:p w14:paraId="5B830508" w14:textId="77777777" w:rsidR="00DB767F" w:rsidRPr="00DB767F" w:rsidRDefault="00DB767F" w:rsidP="00DB767F">
            <w:pPr>
              <w:spacing w:after="0" w:line="240" w:lineRule="auto"/>
              <w:jc w:val="center"/>
              <w:rPr>
                <w:rFonts w:ascii="Times New Roman" w:eastAsia="Times New Roman" w:hAnsi="Times New Roman" w:cs="Times New Roman"/>
                <w:b/>
                <w:bCs/>
                <w:sz w:val="24"/>
                <w:szCs w:val="24"/>
              </w:rPr>
            </w:pPr>
            <w:r w:rsidRPr="00DB767F">
              <w:rPr>
                <w:rFonts w:ascii="Times New Roman" w:eastAsia="Times New Roman" w:hAnsi="Times New Roman" w:cs="Times New Roman"/>
                <w:b/>
                <w:bCs/>
                <w:sz w:val="24"/>
                <w:szCs w:val="24"/>
              </w:rPr>
              <w:t>Score</w:t>
            </w:r>
          </w:p>
        </w:tc>
        <w:tc>
          <w:tcPr>
            <w:tcW w:w="0" w:type="auto"/>
            <w:vAlign w:val="center"/>
            <w:hideMark/>
          </w:tcPr>
          <w:p w14:paraId="4C64E6BD" w14:textId="77777777" w:rsidR="00DB767F" w:rsidRPr="00DB767F" w:rsidRDefault="00DB767F" w:rsidP="00DB767F">
            <w:pPr>
              <w:spacing w:after="0" w:line="240" w:lineRule="auto"/>
              <w:jc w:val="center"/>
              <w:rPr>
                <w:rFonts w:ascii="Times New Roman" w:eastAsia="Times New Roman" w:hAnsi="Times New Roman" w:cs="Times New Roman"/>
                <w:b/>
                <w:bCs/>
                <w:sz w:val="24"/>
                <w:szCs w:val="24"/>
              </w:rPr>
            </w:pPr>
            <w:r w:rsidRPr="00DB767F">
              <w:rPr>
                <w:rFonts w:ascii="Times New Roman" w:eastAsia="Times New Roman" w:hAnsi="Times New Roman" w:cs="Times New Roman"/>
                <w:b/>
                <w:bCs/>
                <w:sz w:val="24"/>
                <w:szCs w:val="24"/>
              </w:rPr>
              <w:t>Bias</w:t>
            </w:r>
          </w:p>
        </w:tc>
      </w:tr>
      <w:tr w:rsidR="00DB767F" w:rsidRPr="00DB767F" w14:paraId="433925E2" w14:textId="77777777" w:rsidTr="00DB767F">
        <w:trPr>
          <w:tblCellSpacing w:w="15" w:type="dxa"/>
        </w:trPr>
        <w:tc>
          <w:tcPr>
            <w:tcW w:w="0" w:type="auto"/>
            <w:vAlign w:val="center"/>
            <w:hideMark/>
          </w:tcPr>
          <w:p w14:paraId="29B1C604"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Falling IV + Rising Price</w:t>
            </w:r>
          </w:p>
        </w:tc>
        <w:tc>
          <w:tcPr>
            <w:tcW w:w="0" w:type="auto"/>
            <w:vAlign w:val="center"/>
            <w:hideMark/>
          </w:tcPr>
          <w:p w14:paraId="24065D19"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90</w:t>
            </w:r>
          </w:p>
        </w:tc>
        <w:tc>
          <w:tcPr>
            <w:tcW w:w="0" w:type="auto"/>
            <w:vAlign w:val="center"/>
            <w:hideMark/>
          </w:tcPr>
          <w:p w14:paraId="232E532A"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Strong Bullish</w:t>
            </w:r>
          </w:p>
        </w:tc>
      </w:tr>
      <w:tr w:rsidR="00DB767F" w:rsidRPr="00DB767F" w14:paraId="42EC8700" w14:textId="77777777" w:rsidTr="00DB767F">
        <w:trPr>
          <w:tblCellSpacing w:w="15" w:type="dxa"/>
        </w:trPr>
        <w:tc>
          <w:tcPr>
            <w:tcW w:w="0" w:type="auto"/>
            <w:vAlign w:val="center"/>
            <w:hideMark/>
          </w:tcPr>
          <w:p w14:paraId="026F2EB7"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Stable IV</w:t>
            </w:r>
          </w:p>
        </w:tc>
        <w:tc>
          <w:tcPr>
            <w:tcW w:w="0" w:type="auto"/>
            <w:vAlign w:val="center"/>
            <w:hideMark/>
          </w:tcPr>
          <w:p w14:paraId="7E5FCD43"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70</w:t>
            </w:r>
          </w:p>
        </w:tc>
        <w:tc>
          <w:tcPr>
            <w:tcW w:w="0" w:type="auto"/>
            <w:vAlign w:val="center"/>
            <w:hideMark/>
          </w:tcPr>
          <w:p w14:paraId="3C5278AE"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Neutral</w:t>
            </w:r>
          </w:p>
        </w:tc>
      </w:tr>
      <w:tr w:rsidR="00DB767F" w:rsidRPr="00DB767F" w14:paraId="796B08E7" w14:textId="77777777" w:rsidTr="00DB767F">
        <w:trPr>
          <w:tblCellSpacing w:w="15" w:type="dxa"/>
        </w:trPr>
        <w:tc>
          <w:tcPr>
            <w:tcW w:w="0" w:type="auto"/>
            <w:vAlign w:val="center"/>
            <w:hideMark/>
          </w:tcPr>
          <w:p w14:paraId="0703D209"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Rising IV</w:t>
            </w:r>
          </w:p>
        </w:tc>
        <w:tc>
          <w:tcPr>
            <w:tcW w:w="0" w:type="auto"/>
            <w:vAlign w:val="center"/>
            <w:hideMark/>
          </w:tcPr>
          <w:p w14:paraId="389D5E3D"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45</w:t>
            </w:r>
          </w:p>
        </w:tc>
        <w:tc>
          <w:tcPr>
            <w:tcW w:w="0" w:type="auto"/>
            <w:vAlign w:val="center"/>
            <w:hideMark/>
          </w:tcPr>
          <w:p w14:paraId="08352221"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Cautious</w:t>
            </w:r>
          </w:p>
        </w:tc>
      </w:tr>
      <w:tr w:rsidR="00DB767F" w:rsidRPr="00DB767F" w14:paraId="6301C058" w14:textId="77777777" w:rsidTr="00DB767F">
        <w:trPr>
          <w:tblCellSpacing w:w="15" w:type="dxa"/>
        </w:trPr>
        <w:tc>
          <w:tcPr>
            <w:tcW w:w="0" w:type="auto"/>
            <w:vAlign w:val="center"/>
            <w:hideMark/>
          </w:tcPr>
          <w:p w14:paraId="1A41799C"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Extremely High IV</w:t>
            </w:r>
          </w:p>
        </w:tc>
        <w:tc>
          <w:tcPr>
            <w:tcW w:w="0" w:type="auto"/>
            <w:vAlign w:val="center"/>
            <w:hideMark/>
          </w:tcPr>
          <w:p w14:paraId="5CE31A88"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15</w:t>
            </w:r>
          </w:p>
        </w:tc>
        <w:tc>
          <w:tcPr>
            <w:tcW w:w="0" w:type="auto"/>
            <w:vAlign w:val="center"/>
            <w:hideMark/>
          </w:tcPr>
          <w:p w14:paraId="0F7DAA7A"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High Risk</w:t>
            </w:r>
          </w:p>
        </w:tc>
      </w:tr>
    </w:tbl>
    <w:p w14:paraId="553CC862"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Notes</w:t>
      </w:r>
    </w:p>
    <w:p w14:paraId="17E03E55" w14:textId="77777777" w:rsidR="00DB767F" w:rsidRPr="00DB767F" w:rsidRDefault="00DB767F" w:rsidP="00DB767F">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Rising IV increases uncertainty. </w:t>
      </w:r>
    </w:p>
    <w:p w14:paraId="10C3F77B" w14:textId="77777777" w:rsidR="00DB767F" w:rsidRPr="00DB767F" w:rsidRDefault="00DB767F" w:rsidP="00DB767F">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Falling IV generally supports trend continuation. </w:t>
      </w:r>
    </w:p>
    <w:p w14:paraId="48F9F0CA" w14:textId="77777777" w:rsidR="00DB767F" w:rsidRPr="00DB767F" w:rsidRDefault="00DB767F" w:rsidP="00DB767F">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Extremely high IV indicates elevated market risk. </w:t>
      </w:r>
    </w:p>
    <w:p w14:paraId="37975DAF"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43024B5B">
          <v:rect id="_x0000_i1189" style="width:0;height:1.5pt" o:hralign="center" o:hrstd="t" o:hr="t" fillcolor="#a0a0a0" stroked="f"/>
        </w:pict>
      </w:r>
    </w:p>
    <w:p w14:paraId="44F1D66B"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6. Bias Rules</w:t>
      </w:r>
    </w:p>
    <w:p w14:paraId="0CBBAA8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Low / Falling IV</w:t>
      </w:r>
    </w:p>
    <w:p w14:paraId="1689C6D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Bullish</w:t>
      </w:r>
    </w:p>
    <w:p w14:paraId="3E9E497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Stable IV</w:t>
      </w:r>
    </w:p>
    <w:p w14:paraId="597499B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Neutral</w:t>
      </w:r>
    </w:p>
    <w:p w14:paraId="6939F29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Rising IV</w:t>
      </w:r>
    </w:p>
    <w:p w14:paraId="6F1DA23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Cautious</w:t>
      </w:r>
    </w:p>
    <w:p w14:paraId="5EE5EE4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Extremely High IV</w:t>
      </w:r>
    </w:p>
    <w:p w14:paraId="35F2034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Bearish</w:t>
      </w:r>
    </w:p>
    <w:p w14:paraId="2073FE67"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4A11B634">
          <v:rect id="_x0000_i1190" style="width:0;height:1.5pt" o:hralign="center" o:hrstd="t" o:hr="t" fillcolor="#a0a0a0" stroked="f"/>
        </w:pict>
      </w:r>
    </w:p>
    <w:p w14:paraId="1CF37FD3"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7. Confidence Logic</w:t>
      </w:r>
    </w:p>
    <w:p w14:paraId="447B834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Base Confidence</w:t>
      </w:r>
    </w:p>
    <w:p w14:paraId="51688C3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90%</w:t>
      </w:r>
    </w:p>
    <w:p w14:paraId="32D80E1F"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Increase Confidence</w:t>
      </w:r>
    </w:p>
    <w:p w14:paraId="25A2839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+5% High option liquidity</w:t>
      </w:r>
    </w:p>
    <w:p w14:paraId="669E366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lastRenderedPageBreak/>
        <w:t>+5% Stable option spreads</w:t>
      </w:r>
    </w:p>
    <w:p w14:paraId="5E9905D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+5% Confirmed IV trend</w:t>
      </w:r>
    </w:p>
    <w:p w14:paraId="2F8325A9"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Decrease Confidence</w:t>
      </w:r>
    </w:p>
    <w:p w14:paraId="5548A29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-10% Wide bid-ask spreads</w:t>
      </w:r>
    </w:p>
    <w:p w14:paraId="5E91EDF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-5% Low option liquidity</w:t>
      </w:r>
    </w:p>
    <w:p w14:paraId="1F6313A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-5% Expiry-day volatility</w:t>
      </w:r>
    </w:p>
    <w:p w14:paraId="36F55E89"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Minimum</w:t>
      </w:r>
    </w:p>
    <w:p w14:paraId="7E386D1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65%</w:t>
      </w:r>
    </w:p>
    <w:p w14:paraId="55BDAB2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Maximum</w:t>
      </w:r>
    </w:p>
    <w:p w14:paraId="685AC51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99%</w:t>
      </w:r>
    </w:p>
    <w:p w14:paraId="7D46D9DD"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2487C20F">
          <v:rect id="_x0000_i1191" style="width:0;height:1.5pt" o:hralign="center" o:hrstd="t" o:hr="t" fillcolor="#a0a0a0" stroked="f"/>
        </w:pict>
      </w:r>
    </w:p>
    <w:p w14:paraId="2220F86F"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8. Score Range Bar</w:t>
      </w:r>
    </w:p>
    <w:p w14:paraId="65E78B9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Minimum</w:t>
      </w:r>
    </w:p>
    <w:p w14:paraId="7EE42FA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0</w:t>
      </w:r>
    </w:p>
    <w:p w14:paraId="1305BC5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Maximum</w:t>
      </w:r>
    </w:p>
    <w:p w14:paraId="5E16396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100</w:t>
      </w:r>
    </w:p>
    <w:p w14:paraId="15A422CC"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Pointer</w:t>
      </w:r>
    </w:p>
    <w:p w14:paraId="54D7967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Current Score</w:t>
      </w:r>
    </w:p>
    <w:p w14:paraId="6DB35EF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Average Marker</w:t>
      </w:r>
    </w:p>
    <w:p w14:paraId="154E20F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30-Day Average Score</w:t>
      </w:r>
    </w:p>
    <w:p w14:paraId="715450DD"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Color Zones</w:t>
      </w:r>
    </w:p>
    <w:p w14:paraId="4AAF2F0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0–30 → High Risk</w:t>
      </w:r>
    </w:p>
    <w:p w14:paraId="3DAB625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30–60 → Elevated IV</w:t>
      </w:r>
    </w:p>
    <w:p w14:paraId="72E7FAF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lastRenderedPageBreak/>
        <w:t>60–80 → Normal</w:t>
      </w:r>
    </w:p>
    <w:p w14:paraId="4894D13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80–100 → Low IV</w:t>
      </w:r>
    </w:p>
    <w:p w14:paraId="102C11D1"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072C72C6">
          <v:rect id="_x0000_i1192" style="width:0;height:1.5pt" o:hralign="center" o:hrstd="t" o:hr="t" fillcolor="#a0a0a0" stroked="f"/>
        </w:pict>
      </w:r>
    </w:p>
    <w:p w14:paraId="05B42DAF"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9. Dual Trend Chart</w:t>
      </w:r>
    </w:p>
    <w:p w14:paraId="6C49533C"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Chart Type</w:t>
      </w:r>
    </w:p>
    <w:p w14:paraId="540B1BA2"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Dual Line</w:t>
      </w:r>
    </w:p>
    <w:p w14:paraId="492FF2F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Line 1</w:t>
      </w:r>
    </w:p>
    <w:p w14:paraId="4F89A54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ATM IV (%)</w:t>
      </w:r>
    </w:p>
    <w:p w14:paraId="6E969F0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Line 2</w:t>
      </w:r>
    </w:p>
    <w:p w14:paraId="235FFAF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Praxis Score</w:t>
      </w:r>
    </w:p>
    <w:p w14:paraId="342C397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History</w:t>
      </w:r>
    </w:p>
    <w:p w14:paraId="1FA457C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30 Trading Days</w:t>
      </w:r>
    </w:p>
    <w:p w14:paraId="7EC7475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Update</w:t>
      </w:r>
    </w:p>
    <w:p w14:paraId="3E082E8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Every option chain refresh.</w:t>
      </w:r>
    </w:p>
    <w:p w14:paraId="5AEE59D8"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4F3BC7AE">
          <v:rect id="_x0000_i1193" style="width:0;height:1.5pt" o:hralign="center" o:hrstd="t" o:hr="t" fillcolor="#a0a0a0" stroked="f"/>
        </w:pict>
      </w:r>
    </w:p>
    <w:p w14:paraId="04F99B06"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10. AI Insight Rules</w:t>
      </w:r>
    </w:p>
    <w:p w14:paraId="76BCE9B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Falling IV</w:t>
      </w:r>
    </w:p>
    <w:p w14:paraId="485E84E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Explain that market uncertainty is declining and option premiums are becoming cheaper.</w:t>
      </w:r>
    </w:p>
    <w:p w14:paraId="6D1D0B3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Stable IV</w:t>
      </w:r>
    </w:p>
    <w:p w14:paraId="0E4569B9"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Explain that volatility expectations remain relatively unchanged.</w:t>
      </w:r>
    </w:p>
    <w:p w14:paraId="17F59F2C"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Rising IV</w:t>
      </w:r>
    </w:p>
    <w:p w14:paraId="44E820F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Explain that traders expect larger future price movements.</w:t>
      </w:r>
    </w:p>
    <w:p w14:paraId="18459699"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lastRenderedPageBreak/>
        <w:t>Extremely High IV</w:t>
      </w:r>
    </w:p>
    <w:p w14:paraId="40AF308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Explain that options are expensive and market uncertainty is elevated.</w:t>
      </w:r>
    </w:p>
    <w:p w14:paraId="1BE515FE"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43684F6D">
          <v:rect id="_x0000_i1194" style="width:0;height:1.5pt" o:hralign="center" o:hrstd="t" o:hr="t" fillcolor="#a0a0a0" stroked="f"/>
        </w:pict>
      </w:r>
    </w:p>
    <w:p w14:paraId="3E89632D"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11. Why It Matters</w:t>
      </w:r>
    </w:p>
    <w:p w14:paraId="37AE8E23" w14:textId="77777777" w:rsidR="00DB767F" w:rsidRPr="00DB767F" w:rsidRDefault="00DB767F" w:rsidP="00DB767F">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Measures expected market volatility. </w:t>
      </w:r>
    </w:p>
    <w:p w14:paraId="3E8FB7EC" w14:textId="77777777" w:rsidR="00DB767F" w:rsidRPr="00DB767F" w:rsidRDefault="00DB767F" w:rsidP="00DB767F">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Helps evaluate option premiums. </w:t>
      </w:r>
    </w:p>
    <w:p w14:paraId="2A8F9F18" w14:textId="77777777" w:rsidR="00DB767F" w:rsidRPr="00DB767F" w:rsidRDefault="00DB767F" w:rsidP="00DB767F">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Identifies high-risk periods. </w:t>
      </w:r>
    </w:p>
    <w:p w14:paraId="62D724B2" w14:textId="77777777" w:rsidR="00DB767F" w:rsidRPr="00DB767F" w:rsidRDefault="00DB767F" w:rsidP="00DB767F">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Supports volatility-based trading decisions. </w:t>
      </w:r>
    </w:p>
    <w:p w14:paraId="72A7BDB7" w14:textId="77777777" w:rsidR="00DB767F" w:rsidRPr="00DB767F" w:rsidRDefault="00DB767F" w:rsidP="00DB767F">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Confirms market uncertainty. </w:t>
      </w:r>
    </w:p>
    <w:p w14:paraId="28261BC1"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13BBF40C">
          <v:rect id="_x0000_i1195" style="width:0;height:1.5pt" o:hralign="center" o:hrstd="t" o:hr="t" fillcolor="#a0a0a0" stroked="f"/>
        </w:pict>
      </w:r>
    </w:p>
    <w:p w14:paraId="590381C5"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12. Trading Impact</w:t>
      </w:r>
    </w:p>
    <w:p w14:paraId="7696476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Intraday</w:t>
      </w:r>
    </w:p>
    <w:p w14:paraId="7E3EC07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Segoe UI Symbol" w:eastAsia="Times New Roman" w:hAnsi="Segoe UI Symbol" w:cs="Segoe UI Symbol"/>
          <w:sz w:val="24"/>
          <w:szCs w:val="24"/>
        </w:rPr>
        <w:t>★★★★☆</w:t>
      </w:r>
    </w:p>
    <w:p w14:paraId="4869908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Swing Trading</w:t>
      </w:r>
    </w:p>
    <w:p w14:paraId="14DA976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Segoe UI Symbol" w:eastAsia="Times New Roman" w:hAnsi="Segoe UI Symbol" w:cs="Segoe UI Symbol"/>
          <w:sz w:val="24"/>
          <w:szCs w:val="24"/>
        </w:rPr>
        <w:t>★★★★☆</w:t>
      </w:r>
    </w:p>
    <w:p w14:paraId="20EE6C9C"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Positional Trading</w:t>
      </w:r>
    </w:p>
    <w:p w14:paraId="75C966A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Segoe UI Symbol" w:eastAsia="Times New Roman" w:hAnsi="Segoe UI Symbol" w:cs="Segoe UI Symbol"/>
          <w:sz w:val="24"/>
          <w:szCs w:val="24"/>
        </w:rPr>
        <w:t>★★★☆☆</w:t>
      </w:r>
    </w:p>
    <w:p w14:paraId="4A72ECAE"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Options Trading</w:t>
      </w:r>
    </w:p>
    <w:p w14:paraId="35EEA00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Segoe UI Symbol" w:eastAsia="Times New Roman" w:hAnsi="Segoe UI Symbol" w:cs="Segoe UI Symbol"/>
          <w:sz w:val="24"/>
          <w:szCs w:val="24"/>
        </w:rPr>
        <w:t>★★★★★</w:t>
      </w:r>
    </w:p>
    <w:p w14:paraId="1E7F38E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Best Use</w:t>
      </w:r>
    </w:p>
    <w:p w14:paraId="11B73E3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Evaluating expected market volatility.</w:t>
      </w:r>
    </w:p>
    <w:p w14:paraId="3DDA188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Avoid Using Alone</w:t>
      </w:r>
    </w:p>
    <w:p w14:paraId="72EB990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Yes</w:t>
      </w:r>
    </w:p>
    <w:p w14:paraId="535AA544"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2C8E35F8">
          <v:rect id="_x0000_i1196" style="width:0;height:1.5pt" o:hralign="center" o:hrstd="t" o:hr="t" fillcolor="#a0a0a0" stroked="f"/>
        </w:pict>
      </w:r>
    </w:p>
    <w:p w14:paraId="57830821"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lastRenderedPageBreak/>
        <w:t>13. Supporting Indicators</w:t>
      </w:r>
    </w:p>
    <w:p w14:paraId="58DBBF71" w14:textId="77777777" w:rsidR="00DB767F" w:rsidRPr="00DB767F" w:rsidRDefault="00DB767F" w:rsidP="00DB767F">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IV Rank </w:t>
      </w:r>
    </w:p>
    <w:p w14:paraId="014C29A5" w14:textId="77777777" w:rsidR="00DB767F" w:rsidRPr="00DB767F" w:rsidRDefault="00DB767F" w:rsidP="00DB767F">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IV Percentile </w:t>
      </w:r>
    </w:p>
    <w:p w14:paraId="61E65F61" w14:textId="77777777" w:rsidR="00DB767F" w:rsidRPr="00DB767F" w:rsidRDefault="00DB767F" w:rsidP="00DB767F">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India VIX </w:t>
      </w:r>
    </w:p>
    <w:p w14:paraId="5DE5EE2B" w14:textId="77777777" w:rsidR="00DB767F" w:rsidRPr="00DB767F" w:rsidRDefault="00DB767F" w:rsidP="00DB767F">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PCR (OI) </w:t>
      </w:r>
    </w:p>
    <w:p w14:paraId="58EEDC6F" w14:textId="77777777" w:rsidR="00DB767F" w:rsidRPr="00DB767F" w:rsidRDefault="00DB767F" w:rsidP="00DB767F">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Max Pain </w:t>
      </w:r>
    </w:p>
    <w:p w14:paraId="5E8B6EFB" w14:textId="77777777" w:rsidR="00DB767F" w:rsidRPr="00DB767F" w:rsidRDefault="00DB767F" w:rsidP="00DB767F">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OI Change </w:t>
      </w:r>
    </w:p>
    <w:p w14:paraId="262D792A"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66B93B1D">
          <v:rect id="_x0000_i1197" style="width:0;height:1.5pt" o:hralign="center" o:hrstd="t" o:hr="t" fillcolor="#a0a0a0" stroked="f"/>
        </w:pict>
      </w:r>
    </w:p>
    <w:p w14:paraId="398DFBE7"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14. Metadata</w:t>
      </w:r>
    </w:p>
    <w:p w14:paraId="170596E0"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Source</w:t>
      </w:r>
    </w:p>
    <w:p w14:paraId="4C79CD9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NSE Option Chain / Upstox API</w:t>
      </w:r>
    </w:p>
    <w:p w14:paraId="77D0045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Calculation</w:t>
      </w:r>
    </w:p>
    <w:p w14:paraId="0244A26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Backend</w:t>
      </w:r>
    </w:p>
    <w:p w14:paraId="1E1726D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Updated</w:t>
      </w:r>
    </w:p>
    <w:p w14:paraId="793A667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Every Option Chain Refresh</w:t>
      </w:r>
    </w:p>
    <w:p w14:paraId="5078E773"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proofErr w:type="spellStart"/>
      <w:r w:rsidRPr="00DB767F">
        <w:rPr>
          <w:rFonts w:ascii="Times New Roman" w:eastAsia="Times New Roman" w:hAnsi="Times New Roman" w:cs="Times New Roman"/>
          <w:b/>
          <w:bCs/>
          <w:sz w:val="24"/>
          <w:szCs w:val="24"/>
        </w:rPr>
        <w:t>Timezone</w:t>
      </w:r>
      <w:proofErr w:type="spellEnd"/>
    </w:p>
    <w:p w14:paraId="4953FDEB"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Asia/Kolkata</w:t>
      </w:r>
    </w:p>
    <w:p w14:paraId="364103B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Storage</w:t>
      </w:r>
    </w:p>
    <w:p w14:paraId="7738CAD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Local Electron Database</w:t>
      </w:r>
    </w:p>
    <w:p w14:paraId="58CB6763"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6B1DC76F">
          <v:rect id="_x0000_i1198" style="width:0;height:1.5pt" o:hralign="center" o:hrstd="t" o:hr="t" fillcolor="#a0a0a0" stroked="f"/>
        </w:pict>
      </w:r>
    </w:p>
    <w:p w14:paraId="0E4A1869"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15. Developer Notes</w:t>
      </w:r>
    </w:p>
    <w:p w14:paraId="4B9726A5"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Store:</w:t>
      </w:r>
    </w:p>
    <w:p w14:paraId="00B2721E" w14:textId="77777777" w:rsidR="00DB767F" w:rsidRPr="00DB767F" w:rsidRDefault="00DB767F" w:rsidP="00DB767F">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ATM IV </w:t>
      </w:r>
    </w:p>
    <w:p w14:paraId="58D0AB22" w14:textId="77777777" w:rsidR="00DB767F" w:rsidRPr="00DB767F" w:rsidRDefault="00DB767F" w:rsidP="00DB767F">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ATM Strike </w:t>
      </w:r>
    </w:p>
    <w:p w14:paraId="58422712" w14:textId="77777777" w:rsidR="00DB767F" w:rsidRPr="00DB767F" w:rsidRDefault="00DB767F" w:rsidP="00DB767F">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Historical ATM IV </w:t>
      </w:r>
    </w:p>
    <w:p w14:paraId="7CE1BC2C" w14:textId="77777777" w:rsidR="00DB767F" w:rsidRPr="00DB767F" w:rsidRDefault="00DB767F" w:rsidP="00DB767F">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Current Score </w:t>
      </w:r>
    </w:p>
    <w:p w14:paraId="7AFCCDA1" w14:textId="77777777" w:rsidR="00DB767F" w:rsidRPr="00DB767F" w:rsidRDefault="00DB767F" w:rsidP="00DB767F">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lastRenderedPageBreak/>
        <w:t xml:space="preserve">Confidence </w:t>
      </w:r>
    </w:p>
    <w:p w14:paraId="4F699E30" w14:textId="77777777" w:rsidR="00DB767F" w:rsidRPr="00DB767F" w:rsidRDefault="00DB767F" w:rsidP="00DB767F">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Last Updated </w:t>
      </w:r>
    </w:p>
    <w:p w14:paraId="21E6654A"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Recalculate whenever the ATM strike changes due to spot price movement. Maintain rolling historical IV data for IV Rank and IV Percentile calculations.</w:t>
      </w:r>
    </w:p>
    <w:p w14:paraId="1EC89729"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7078EFD9">
          <v:rect id="_x0000_i1199" style="width:0;height:1.5pt" o:hralign="center" o:hrstd="t" o:hr="t" fillcolor="#a0a0a0" stroked="f"/>
        </w:pict>
      </w:r>
    </w:p>
    <w:p w14:paraId="105BBA1E"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t xml:space="preserve">16. Praxis Engine Integration </w:t>
      </w:r>
      <w:r w:rsidRPr="00DB767F">
        <w:rPr>
          <w:rFonts w:ascii="Segoe UI Emoji" w:eastAsia="Times New Roman" w:hAnsi="Segoe UI Emoji" w:cs="Segoe UI Emoji"/>
          <w:b/>
          <w:bCs/>
          <w:kern w:val="36"/>
          <w:sz w:val="48"/>
          <w:szCs w:val="48"/>
        </w:rPr>
        <w:t>⭐</w:t>
      </w:r>
    </w:p>
    <w:p w14:paraId="29FFC98C"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Engine Weight</w:t>
      </w:r>
    </w:p>
    <w:p w14:paraId="54E3BF9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Configurable</w:t>
      </w:r>
    </w:p>
    <w:p w14:paraId="403B26B4"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Relative Importance</w:t>
      </w:r>
    </w:p>
    <w:p w14:paraId="3848AF7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Very High</w:t>
      </w:r>
    </w:p>
    <w:p w14:paraId="57804D8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Decision Engine Role</w:t>
      </w:r>
    </w:p>
    <w:p w14:paraId="702B4A6C"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Expected Volatility Assessment</w:t>
      </w:r>
    </w:p>
    <w:p w14:paraId="47D30047"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Primary Use</w:t>
      </w:r>
    </w:p>
    <w:p w14:paraId="04BE8521"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Measure expected market volatility using ATM option pricing.</w:t>
      </w:r>
    </w:p>
    <w:p w14:paraId="1C05F498"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Bullish Confirmation</w:t>
      </w:r>
    </w:p>
    <w:p w14:paraId="2B852823" w14:textId="77777777" w:rsidR="00DB767F" w:rsidRPr="00DB767F" w:rsidRDefault="00DB767F" w:rsidP="00DB767F">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Falling ATM IV </w:t>
      </w:r>
    </w:p>
    <w:p w14:paraId="2E61940B" w14:textId="77777777" w:rsidR="00DB767F" w:rsidRPr="00DB767F" w:rsidRDefault="00DB767F" w:rsidP="00DB767F">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Bullish PCR </w:t>
      </w:r>
    </w:p>
    <w:p w14:paraId="70792EDA" w14:textId="77777777" w:rsidR="00DB767F" w:rsidRPr="00DB767F" w:rsidRDefault="00DB767F" w:rsidP="00DB767F">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Long Build-up </w:t>
      </w:r>
    </w:p>
    <w:p w14:paraId="74075E9F"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Bearish Confirmation</w:t>
      </w:r>
    </w:p>
    <w:p w14:paraId="59C5FCA9" w14:textId="77777777" w:rsidR="00DB767F" w:rsidRPr="00DB767F" w:rsidRDefault="00DB767F" w:rsidP="00DB767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Rising ATM IV </w:t>
      </w:r>
    </w:p>
    <w:p w14:paraId="1B7AC5D3" w14:textId="77777777" w:rsidR="00DB767F" w:rsidRPr="00DB767F" w:rsidRDefault="00DB767F" w:rsidP="00DB767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Short Build-up </w:t>
      </w:r>
    </w:p>
    <w:p w14:paraId="5003EEBE" w14:textId="77777777" w:rsidR="00DB767F" w:rsidRPr="00DB767F" w:rsidRDefault="00DB767F" w:rsidP="00DB767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Rising India VIX </w:t>
      </w:r>
    </w:p>
    <w:p w14:paraId="41EAC69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b/>
          <w:bCs/>
          <w:sz w:val="24"/>
          <w:szCs w:val="24"/>
        </w:rPr>
        <w:t>Display Priority</w:t>
      </w:r>
    </w:p>
    <w:p w14:paraId="66D25BD6"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Highest</w:t>
      </w:r>
    </w:p>
    <w:p w14:paraId="2F1A02AD" w14:textId="77777777" w:rsidR="00DB767F" w:rsidRPr="00DB767F" w:rsidRDefault="00DB767F" w:rsidP="00DB767F">
      <w:pPr>
        <w:spacing w:after="0"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pict w14:anchorId="6A9641DA">
          <v:rect id="_x0000_i1200" style="width:0;height:1.5pt" o:hralign="center" o:hrstd="t" o:hr="t" fillcolor="#a0a0a0" stroked="f"/>
        </w:pict>
      </w:r>
    </w:p>
    <w:p w14:paraId="13E569D6" w14:textId="77777777" w:rsidR="00DB767F" w:rsidRPr="00DB767F" w:rsidRDefault="00DB767F" w:rsidP="00DB76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767F">
        <w:rPr>
          <w:rFonts w:ascii="Times New Roman" w:eastAsia="Times New Roman" w:hAnsi="Times New Roman" w:cs="Times New Roman"/>
          <w:b/>
          <w:bCs/>
          <w:kern w:val="36"/>
          <w:sz w:val="48"/>
          <w:szCs w:val="48"/>
        </w:rPr>
        <w:lastRenderedPageBreak/>
        <w:t>17. Praxis Recommendation</w:t>
      </w:r>
    </w:p>
    <w:p w14:paraId="6319F90D" w14:textId="77777777" w:rsidR="00DB767F" w:rsidRPr="00DB767F" w:rsidRDefault="00DB767F" w:rsidP="00DB767F">
      <w:p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ATM Implied Volatility should be the </w:t>
      </w:r>
      <w:r w:rsidRPr="00DB767F">
        <w:rPr>
          <w:rFonts w:ascii="Times New Roman" w:eastAsia="Times New Roman" w:hAnsi="Times New Roman" w:cs="Times New Roman"/>
          <w:b/>
          <w:bCs/>
          <w:sz w:val="24"/>
          <w:szCs w:val="24"/>
        </w:rPr>
        <w:t>primary volatility indicator</w:t>
      </w:r>
      <w:r w:rsidRPr="00DB767F">
        <w:rPr>
          <w:rFonts w:ascii="Times New Roman" w:eastAsia="Times New Roman" w:hAnsi="Times New Roman" w:cs="Times New Roman"/>
          <w:sz w:val="24"/>
          <w:szCs w:val="24"/>
        </w:rPr>
        <w:t xml:space="preserve"> within the Implied Volatility category.</w:t>
      </w:r>
    </w:p>
    <w:p w14:paraId="76745E68"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Implied Volatility Hierarchy</w:t>
      </w:r>
    </w:p>
    <w:p w14:paraId="6956B131" w14:textId="77777777" w:rsidR="00DB767F" w:rsidRPr="00DB767F" w:rsidRDefault="00DB767F" w:rsidP="00DB767F">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DB767F">
        <w:rPr>
          <w:rFonts w:ascii="Segoe UI Emoji" w:eastAsia="Times New Roman" w:hAnsi="Segoe UI Emoji" w:cs="Segoe UI Emoji"/>
          <w:sz w:val="24"/>
          <w:szCs w:val="24"/>
        </w:rPr>
        <w:t>⭐⭐⭐⭐⭐</w:t>
      </w:r>
      <w:r w:rsidRPr="00DB767F">
        <w:rPr>
          <w:rFonts w:ascii="Times New Roman" w:eastAsia="Times New Roman" w:hAnsi="Times New Roman" w:cs="Times New Roman"/>
          <w:sz w:val="24"/>
          <w:szCs w:val="24"/>
        </w:rPr>
        <w:t xml:space="preserve"> ATM IV </w:t>
      </w:r>
    </w:p>
    <w:p w14:paraId="3DD896EB" w14:textId="77777777" w:rsidR="00DB767F" w:rsidRPr="00DB767F" w:rsidRDefault="00DB767F" w:rsidP="00DB767F">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DB767F">
        <w:rPr>
          <w:rFonts w:ascii="Segoe UI Emoji" w:eastAsia="Times New Roman" w:hAnsi="Segoe UI Emoji" w:cs="Segoe UI Emoji"/>
          <w:sz w:val="24"/>
          <w:szCs w:val="24"/>
        </w:rPr>
        <w:t>⭐⭐⭐⭐</w:t>
      </w:r>
      <w:r w:rsidRPr="00DB767F">
        <w:rPr>
          <w:rFonts w:ascii="Segoe UI Symbol" w:eastAsia="Times New Roman" w:hAnsi="Segoe UI Symbol" w:cs="Segoe UI Symbol"/>
          <w:sz w:val="24"/>
          <w:szCs w:val="24"/>
        </w:rPr>
        <w:t>☆</w:t>
      </w:r>
      <w:r w:rsidRPr="00DB767F">
        <w:rPr>
          <w:rFonts w:ascii="Times New Roman" w:eastAsia="Times New Roman" w:hAnsi="Times New Roman" w:cs="Times New Roman"/>
          <w:sz w:val="24"/>
          <w:szCs w:val="24"/>
        </w:rPr>
        <w:t xml:space="preserve"> IV Rank </w:t>
      </w:r>
    </w:p>
    <w:p w14:paraId="39228159" w14:textId="77777777" w:rsidR="00DB767F" w:rsidRPr="00DB767F" w:rsidRDefault="00DB767F" w:rsidP="00DB767F">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DB767F">
        <w:rPr>
          <w:rFonts w:ascii="Segoe UI Emoji" w:eastAsia="Times New Roman" w:hAnsi="Segoe UI Emoji" w:cs="Segoe UI Emoji"/>
          <w:sz w:val="24"/>
          <w:szCs w:val="24"/>
        </w:rPr>
        <w:t>⭐⭐⭐⭐</w:t>
      </w:r>
      <w:r w:rsidRPr="00DB767F">
        <w:rPr>
          <w:rFonts w:ascii="Segoe UI Symbol" w:eastAsia="Times New Roman" w:hAnsi="Segoe UI Symbol" w:cs="Segoe UI Symbol"/>
          <w:sz w:val="24"/>
          <w:szCs w:val="24"/>
        </w:rPr>
        <w:t>☆</w:t>
      </w:r>
      <w:r w:rsidRPr="00DB767F">
        <w:rPr>
          <w:rFonts w:ascii="Times New Roman" w:eastAsia="Times New Roman" w:hAnsi="Times New Roman" w:cs="Times New Roman"/>
          <w:sz w:val="24"/>
          <w:szCs w:val="24"/>
        </w:rPr>
        <w:t xml:space="preserve"> IV Percentile </w:t>
      </w:r>
    </w:p>
    <w:p w14:paraId="7BC91436" w14:textId="77777777" w:rsidR="00DB767F" w:rsidRPr="00DB767F" w:rsidRDefault="00DB767F" w:rsidP="00DB767F">
      <w:pPr>
        <w:spacing w:before="100" w:beforeAutospacing="1" w:after="100" w:afterAutospacing="1" w:line="240" w:lineRule="auto"/>
        <w:outlineLvl w:val="2"/>
        <w:rPr>
          <w:rFonts w:ascii="Times New Roman" w:eastAsia="Times New Roman" w:hAnsi="Times New Roman" w:cs="Times New Roman"/>
          <w:b/>
          <w:bCs/>
          <w:sz w:val="27"/>
          <w:szCs w:val="27"/>
        </w:rPr>
      </w:pPr>
      <w:r w:rsidRPr="00DB767F">
        <w:rPr>
          <w:rFonts w:ascii="Times New Roman" w:eastAsia="Times New Roman" w:hAnsi="Times New Roman" w:cs="Times New Roman"/>
          <w:b/>
          <w:bCs/>
          <w:sz w:val="27"/>
          <w:szCs w:val="27"/>
        </w:rPr>
        <w:t>Engine Rules</w:t>
      </w:r>
    </w:p>
    <w:p w14:paraId="6C19567F" w14:textId="77777777" w:rsidR="00DB767F" w:rsidRPr="00DB767F" w:rsidRDefault="00DB767F" w:rsidP="00DB767F">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Falling ATM IV + Bullish PCR + Long Build-up → Increase Options Score. </w:t>
      </w:r>
    </w:p>
    <w:p w14:paraId="23184225" w14:textId="77777777" w:rsidR="00DB767F" w:rsidRPr="00DB767F" w:rsidRDefault="00DB767F" w:rsidP="00DB767F">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Rising ATM IV + Rising India VIX → Reduce Options Score. </w:t>
      </w:r>
    </w:p>
    <w:p w14:paraId="74AE5097" w14:textId="77777777" w:rsidR="00DB767F" w:rsidRPr="00DB767F" w:rsidRDefault="00DB767F" w:rsidP="00DB767F">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 xml:space="preserve">Extremely High ATM IV → Trigger a High Volatility warning. </w:t>
      </w:r>
    </w:p>
    <w:p w14:paraId="5E56B82D" w14:textId="0C614DBE" w:rsidR="00DB767F" w:rsidRDefault="00DB767F" w:rsidP="00DB767F">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B767F">
        <w:rPr>
          <w:rFonts w:ascii="Times New Roman" w:eastAsia="Times New Roman" w:hAnsi="Times New Roman" w:cs="Times New Roman"/>
          <w:sz w:val="24"/>
          <w:szCs w:val="24"/>
        </w:rPr>
        <w:t>Use ATM IV as the base volatility measure for all volatility-related analysis and confirm with IV Rank and IV Percentile before generating high-confidence options signals.</w:t>
      </w:r>
    </w:p>
    <w:p w14:paraId="0BF01BFD" w14:textId="156E6199"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46A2F642" w14:textId="74CE2D59"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24AE9456" w14:textId="587D7B63"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60F35E21" w14:textId="736EF7AB"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0320599B" w14:textId="0B1A33CD"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07420490" w14:textId="0AB5BE8E"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795C0548" w14:textId="5A43A131"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6F8BC411" w14:textId="5FEDB643"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3D760C5F" w14:textId="74C55ECB"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52D27A1F" w14:textId="6FA3D226"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7AC1E24E" w14:textId="7B13B6C1"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3E570406" w14:textId="77777777" w:rsidR="00A5115D" w:rsidRPr="00DB767F"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1071B6C6"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color w:val="FF0000"/>
          <w:kern w:val="36"/>
          <w:sz w:val="48"/>
          <w:szCs w:val="48"/>
        </w:rPr>
        <w:lastRenderedPageBreak/>
        <w:t>7. IV Rank</w:t>
      </w:r>
    </w:p>
    <w:p w14:paraId="757D8306"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Module:</w:t>
      </w:r>
      <w:r w:rsidRPr="008E39ED">
        <w:rPr>
          <w:rFonts w:ascii="Times New Roman" w:eastAsia="Times New Roman" w:hAnsi="Times New Roman" w:cs="Times New Roman"/>
          <w:sz w:val="24"/>
          <w:szCs w:val="24"/>
        </w:rPr>
        <w:t xml:space="preserve"> Options</w:t>
      </w:r>
      <w:r w:rsidRPr="008E39ED">
        <w:rPr>
          <w:rFonts w:ascii="Times New Roman" w:eastAsia="Times New Roman" w:hAnsi="Times New Roman" w:cs="Times New Roman"/>
          <w:sz w:val="24"/>
          <w:szCs w:val="24"/>
        </w:rPr>
        <w:br/>
      </w:r>
      <w:r w:rsidRPr="008E39ED">
        <w:rPr>
          <w:rFonts w:ascii="Times New Roman" w:eastAsia="Times New Roman" w:hAnsi="Times New Roman" w:cs="Times New Roman"/>
          <w:b/>
          <w:bCs/>
          <w:sz w:val="24"/>
          <w:szCs w:val="24"/>
        </w:rPr>
        <w:t>Category:</w:t>
      </w:r>
      <w:r w:rsidRPr="008E39ED">
        <w:rPr>
          <w:rFonts w:ascii="Times New Roman" w:eastAsia="Times New Roman" w:hAnsi="Times New Roman" w:cs="Times New Roman"/>
          <w:sz w:val="24"/>
          <w:szCs w:val="24"/>
        </w:rPr>
        <w:t xml:space="preserve"> Implied Volatility</w:t>
      </w:r>
      <w:r w:rsidRPr="008E39ED">
        <w:rPr>
          <w:rFonts w:ascii="Times New Roman" w:eastAsia="Times New Roman" w:hAnsi="Times New Roman" w:cs="Times New Roman"/>
          <w:sz w:val="24"/>
          <w:szCs w:val="24"/>
        </w:rPr>
        <w:br/>
      </w:r>
      <w:r w:rsidRPr="008E39ED">
        <w:rPr>
          <w:rFonts w:ascii="Times New Roman" w:eastAsia="Times New Roman" w:hAnsi="Times New Roman" w:cs="Times New Roman"/>
          <w:b/>
          <w:bCs/>
          <w:sz w:val="24"/>
          <w:szCs w:val="24"/>
        </w:rPr>
        <w:t>Status:</w:t>
      </w:r>
      <w:r w:rsidRPr="008E39ED">
        <w:rPr>
          <w:rFonts w:ascii="Times New Roman" w:eastAsia="Times New Roman" w:hAnsi="Times New Roman" w:cs="Times New Roman"/>
          <w:sz w:val="24"/>
          <w:szCs w:val="24"/>
        </w:rPr>
        <w:t xml:space="preserve"> Production Ready</w:t>
      </w:r>
    </w:p>
    <w:p w14:paraId="6B1866C0" w14:textId="77777777" w:rsidR="008E39ED" w:rsidRPr="008E39ED" w:rsidRDefault="008E39ED" w:rsidP="008E39ED">
      <w:pPr>
        <w:spacing w:before="100" w:beforeAutospacing="1" w:after="100" w:afterAutospacing="1" w:line="240" w:lineRule="auto"/>
        <w:outlineLvl w:val="1"/>
        <w:rPr>
          <w:rFonts w:ascii="Times New Roman" w:eastAsia="Times New Roman" w:hAnsi="Times New Roman" w:cs="Times New Roman"/>
          <w:b/>
          <w:bCs/>
          <w:sz w:val="36"/>
          <w:szCs w:val="36"/>
        </w:rPr>
      </w:pPr>
      <w:r w:rsidRPr="008E39ED">
        <w:rPr>
          <w:rFonts w:ascii="Times New Roman" w:eastAsia="Times New Roman" w:hAnsi="Times New Roman" w:cs="Times New Roman"/>
          <w:b/>
          <w:bCs/>
          <w:sz w:val="36"/>
          <w:szCs w:val="36"/>
        </w:rPr>
        <w:t>1. Overview</w:t>
      </w:r>
    </w:p>
    <w:p w14:paraId="222AD168"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Name:</w:t>
      </w:r>
      <w:r w:rsidRPr="008E39ED">
        <w:rPr>
          <w:rFonts w:ascii="Times New Roman" w:eastAsia="Times New Roman" w:hAnsi="Times New Roman" w:cs="Times New Roman"/>
          <w:sz w:val="24"/>
          <w:szCs w:val="24"/>
        </w:rPr>
        <w:t xml:space="preserve"> IV Rank</w:t>
      </w:r>
    </w:p>
    <w:p w14:paraId="5FB04DC8"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Short Name:</w:t>
      </w:r>
      <w:r w:rsidRPr="008E39ED">
        <w:rPr>
          <w:rFonts w:ascii="Times New Roman" w:eastAsia="Times New Roman" w:hAnsi="Times New Roman" w:cs="Times New Roman"/>
          <w:sz w:val="24"/>
          <w:szCs w:val="24"/>
        </w:rPr>
        <w:t xml:space="preserve"> IV Rank</w:t>
      </w:r>
    </w:p>
    <w:p w14:paraId="09A4EB0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Module:</w:t>
      </w:r>
      <w:r w:rsidRPr="008E39ED">
        <w:rPr>
          <w:rFonts w:ascii="Times New Roman" w:eastAsia="Times New Roman" w:hAnsi="Times New Roman" w:cs="Times New Roman"/>
          <w:sz w:val="24"/>
          <w:szCs w:val="24"/>
        </w:rPr>
        <w:t xml:space="preserve"> Options</w:t>
      </w:r>
    </w:p>
    <w:p w14:paraId="16D9C25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Category:</w:t>
      </w:r>
      <w:r w:rsidRPr="008E39ED">
        <w:rPr>
          <w:rFonts w:ascii="Times New Roman" w:eastAsia="Times New Roman" w:hAnsi="Times New Roman" w:cs="Times New Roman"/>
          <w:sz w:val="24"/>
          <w:szCs w:val="24"/>
        </w:rPr>
        <w:t xml:space="preserve"> Implied Volatility</w:t>
      </w:r>
    </w:p>
    <w:p w14:paraId="3B023A8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Purpose:</w:t>
      </w:r>
    </w:p>
    <w:p w14:paraId="5F8D5272"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Measures where the current Implied Volatility (IV) stands relative to its highest and lowest values over a historical period. It helps determine whether options are relatively cheap or expensive.</w:t>
      </w:r>
    </w:p>
    <w:p w14:paraId="4BA0B8B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Based On:</w:t>
      </w:r>
    </w:p>
    <w:p w14:paraId="6FDBA53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Current ATM IV, Historical Highest IV, Historical Lowest IV</w:t>
      </w:r>
    </w:p>
    <w:p w14:paraId="585D18AC"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Importance:</w:t>
      </w:r>
    </w:p>
    <w:p w14:paraId="0688709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Segoe UI Emoji" w:eastAsia="Times New Roman" w:hAnsi="Segoe UI Emoji" w:cs="Segoe UI Emoji"/>
          <w:sz w:val="24"/>
          <w:szCs w:val="24"/>
        </w:rPr>
        <w:t>⭐⭐⭐⭐⭐</w:t>
      </w:r>
      <w:r w:rsidRPr="008E39ED">
        <w:rPr>
          <w:rFonts w:ascii="Times New Roman" w:eastAsia="Times New Roman" w:hAnsi="Times New Roman" w:cs="Times New Roman"/>
          <w:sz w:val="24"/>
          <w:szCs w:val="24"/>
        </w:rPr>
        <w:t xml:space="preserve"> (Core Volatility Indicator)</w:t>
      </w:r>
    </w:p>
    <w:p w14:paraId="3B548FEC"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Auto / Manual:</w:t>
      </w:r>
    </w:p>
    <w:p w14:paraId="3622319E"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Auto</w:t>
      </w:r>
    </w:p>
    <w:p w14:paraId="58D64EE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Update Frequency:</w:t>
      </w:r>
    </w:p>
    <w:p w14:paraId="309E630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Every Option Chain Refresh (Market Hours)</w:t>
      </w:r>
    </w:p>
    <w:p w14:paraId="47495B88"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Praxis Note:</w:t>
      </w:r>
    </w:p>
    <w:p w14:paraId="64494A65"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IV Rank measures the relative position of the current IV within its historical range. It does </w:t>
      </w:r>
      <w:r w:rsidRPr="008E39ED">
        <w:rPr>
          <w:rFonts w:ascii="Times New Roman" w:eastAsia="Times New Roman" w:hAnsi="Times New Roman" w:cs="Times New Roman"/>
          <w:b/>
          <w:bCs/>
          <w:sz w:val="24"/>
          <w:szCs w:val="24"/>
        </w:rPr>
        <w:t>not</w:t>
      </w:r>
      <w:r w:rsidRPr="008E39ED">
        <w:rPr>
          <w:rFonts w:ascii="Times New Roman" w:eastAsia="Times New Roman" w:hAnsi="Times New Roman" w:cs="Times New Roman"/>
          <w:sz w:val="24"/>
          <w:szCs w:val="24"/>
        </w:rPr>
        <w:t xml:space="preserve"> indicate market direction and should always be used with IV Percentile, ATM IV, and India VIX.</w:t>
      </w:r>
    </w:p>
    <w:p w14:paraId="6AB7E44C"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766F05CD">
          <v:rect id="_x0000_i1217" style="width:0;height:1.5pt" o:hralign="center" o:hrstd="t" o:hr="t" fillcolor="#a0a0a0" stroked="f"/>
        </w:pict>
      </w:r>
    </w:p>
    <w:p w14:paraId="2BBE2F1F"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lastRenderedPageBreak/>
        <w:t>2. Data Requirements</w:t>
      </w:r>
    </w:p>
    <w:p w14:paraId="3A22873D"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Required Data</w:t>
      </w:r>
    </w:p>
    <w:p w14:paraId="59AAF3DE" w14:textId="77777777" w:rsidR="008E39ED" w:rsidRPr="008E39ED" w:rsidRDefault="008E39ED" w:rsidP="008E39ED">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Current ATM IV </w:t>
      </w:r>
    </w:p>
    <w:p w14:paraId="0E5A7B25" w14:textId="77777777" w:rsidR="008E39ED" w:rsidRPr="008E39ED" w:rsidRDefault="008E39ED" w:rsidP="008E39ED">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Highest Historical IV </w:t>
      </w:r>
    </w:p>
    <w:p w14:paraId="4032F8B5" w14:textId="77777777" w:rsidR="008E39ED" w:rsidRPr="008E39ED" w:rsidRDefault="008E39ED" w:rsidP="008E39ED">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Lowest Historical IV </w:t>
      </w:r>
    </w:p>
    <w:p w14:paraId="7E7C0F6B"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Minimum Historical Data</w:t>
      </w:r>
    </w:p>
    <w:p w14:paraId="786869A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252 Trading Days</w:t>
      </w:r>
    </w:p>
    <w:p w14:paraId="58A99676"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Recommended</w:t>
      </w:r>
    </w:p>
    <w:p w14:paraId="7CFE1DA2"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1 Year</w:t>
      </w:r>
    </w:p>
    <w:p w14:paraId="3BC3B7DA"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Primary Source</w:t>
      </w:r>
    </w:p>
    <w:p w14:paraId="5E710487" w14:textId="77777777" w:rsidR="008E39ED" w:rsidRPr="008E39ED" w:rsidRDefault="008E39ED" w:rsidP="008E39ED">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NSE Option Chain </w:t>
      </w:r>
    </w:p>
    <w:p w14:paraId="30C7A32F" w14:textId="77777777" w:rsidR="008E39ED" w:rsidRPr="008E39ED" w:rsidRDefault="008E39ED" w:rsidP="008E39ED">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Upstox API </w:t>
      </w:r>
    </w:p>
    <w:p w14:paraId="75CC0A61"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1C3E834F">
          <v:rect id="_x0000_i1218" style="width:0;height:1.5pt" o:hralign="center" o:hrstd="t" o:hr="t" fillcolor="#a0a0a0" stroked="f"/>
        </w:pict>
      </w:r>
    </w:p>
    <w:p w14:paraId="2FB70FF1"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3. Industry Standard Calculation</w:t>
      </w:r>
    </w:p>
    <w:p w14:paraId="1CEB6F30"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Formula</w:t>
      </w:r>
    </w:p>
    <w:p w14:paraId="0F1547BA" w14:textId="77777777" w:rsidR="008E39ED" w:rsidRPr="008E39ED" w:rsidRDefault="008E39ED" w:rsidP="008E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39ED">
        <w:rPr>
          <w:rFonts w:ascii="Courier New" w:eastAsia="Times New Roman" w:hAnsi="Courier New" w:cs="Courier New"/>
          <w:sz w:val="20"/>
          <w:szCs w:val="20"/>
        </w:rPr>
        <w:t>IV Rank (%) =</w:t>
      </w:r>
    </w:p>
    <w:p w14:paraId="3E6D6264" w14:textId="77777777" w:rsidR="008E39ED" w:rsidRPr="008E39ED" w:rsidRDefault="008E39ED" w:rsidP="008E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647C89" w14:textId="77777777" w:rsidR="008E39ED" w:rsidRPr="008E39ED" w:rsidRDefault="008E39ED" w:rsidP="008E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39ED">
        <w:rPr>
          <w:rFonts w:ascii="Courier New" w:eastAsia="Times New Roman" w:hAnsi="Courier New" w:cs="Courier New"/>
          <w:sz w:val="20"/>
          <w:szCs w:val="20"/>
        </w:rPr>
        <w:t>((Current IV − Lowest IV)</w:t>
      </w:r>
    </w:p>
    <w:p w14:paraId="7B0A3DF3" w14:textId="77777777" w:rsidR="008E39ED" w:rsidRPr="008E39ED" w:rsidRDefault="008E39ED" w:rsidP="008E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F79D98" w14:textId="77777777" w:rsidR="008E39ED" w:rsidRPr="008E39ED" w:rsidRDefault="008E39ED" w:rsidP="008E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39ED">
        <w:rPr>
          <w:rFonts w:ascii="Courier New" w:eastAsia="Times New Roman" w:hAnsi="Courier New" w:cs="Courier New"/>
          <w:sz w:val="20"/>
          <w:szCs w:val="20"/>
        </w:rPr>
        <w:t>÷</w:t>
      </w:r>
    </w:p>
    <w:p w14:paraId="0065B60D" w14:textId="77777777" w:rsidR="008E39ED" w:rsidRPr="008E39ED" w:rsidRDefault="008E39ED" w:rsidP="008E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05BE6D" w14:textId="77777777" w:rsidR="008E39ED" w:rsidRPr="008E39ED" w:rsidRDefault="008E39ED" w:rsidP="008E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39ED">
        <w:rPr>
          <w:rFonts w:ascii="Courier New" w:eastAsia="Times New Roman" w:hAnsi="Courier New" w:cs="Courier New"/>
          <w:sz w:val="20"/>
          <w:szCs w:val="20"/>
        </w:rPr>
        <w:t>(Highest IV − Lowest IV))</w:t>
      </w:r>
    </w:p>
    <w:p w14:paraId="4C675429" w14:textId="77777777" w:rsidR="008E39ED" w:rsidRPr="008E39ED" w:rsidRDefault="008E39ED" w:rsidP="008E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1474B9" w14:textId="77777777" w:rsidR="008E39ED" w:rsidRPr="008E39ED" w:rsidRDefault="008E39ED" w:rsidP="008E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39ED">
        <w:rPr>
          <w:rFonts w:ascii="Courier New" w:eastAsia="Times New Roman" w:hAnsi="Courier New" w:cs="Courier New"/>
          <w:sz w:val="20"/>
          <w:szCs w:val="20"/>
        </w:rPr>
        <w:t>× 100</w:t>
      </w:r>
    </w:p>
    <w:p w14:paraId="32CEB027"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Implementation Steps</w:t>
      </w:r>
    </w:p>
    <w:p w14:paraId="3E48A4EE" w14:textId="77777777" w:rsidR="008E39ED" w:rsidRPr="008E39ED" w:rsidRDefault="008E39ED" w:rsidP="008E39ED">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Retrieve Current ATM IV. </w:t>
      </w:r>
    </w:p>
    <w:p w14:paraId="03EC135C" w14:textId="77777777" w:rsidR="008E39ED" w:rsidRPr="008E39ED" w:rsidRDefault="008E39ED" w:rsidP="008E39ED">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Identify the highest IV over the lookback period. </w:t>
      </w:r>
    </w:p>
    <w:p w14:paraId="12AF5C2F" w14:textId="77777777" w:rsidR="008E39ED" w:rsidRPr="008E39ED" w:rsidRDefault="008E39ED" w:rsidP="008E39ED">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Identify the lowest IV over the lookback period. </w:t>
      </w:r>
    </w:p>
    <w:p w14:paraId="6C702D8B" w14:textId="77777777" w:rsidR="008E39ED" w:rsidRPr="008E39ED" w:rsidRDefault="008E39ED" w:rsidP="008E39ED">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Calculate IV Rank. </w:t>
      </w:r>
    </w:p>
    <w:p w14:paraId="26902FB9" w14:textId="77777777" w:rsidR="008E39ED" w:rsidRPr="008E39ED" w:rsidRDefault="008E39ED" w:rsidP="008E39ED">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Generate the Options Score. </w:t>
      </w:r>
    </w:p>
    <w:p w14:paraId="04839A5C"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lastRenderedPageBreak/>
        <w:t>Notes</w:t>
      </w:r>
    </w:p>
    <w:p w14:paraId="47C58035" w14:textId="77777777" w:rsidR="008E39ED" w:rsidRPr="008E39ED" w:rsidRDefault="008E39ED" w:rsidP="008E39ED">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Default lookback period: </w:t>
      </w:r>
      <w:r w:rsidRPr="008E39ED">
        <w:rPr>
          <w:rFonts w:ascii="Times New Roman" w:eastAsia="Times New Roman" w:hAnsi="Times New Roman" w:cs="Times New Roman"/>
          <w:b/>
          <w:bCs/>
          <w:sz w:val="24"/>
          <w:szCs w:val="24"/>
        </w:rPr>
        <w:t>252 trading days</w:t>
      </w:r>
      <w:r w:rsidRPr="008E39ED">
        <w:rPr>
          <w:rFonts w:ascii="Times New Roman" w:eastAsia="Times New Roman" w:hAnsi="Times New Roman" w:cs="Times New Roman"/>
          <w:sz w:val="24"/>
          <w:szCs w:val="24"/>
        </w:rPr>
        <w:t xml:space="preserve">. </w:t>
      </w:r>
    </w:p>
    <w:p w14:paraId="7ED44159" w14:textId="77777777" w:rsidR="008E39ED" w:rsidRPr="008E39ED" w:rsidRDefault="008E39ED" w:rsidP="008E39ED">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Clamp values between </w:t>
      </w:r>
      <w:r w:rsidRPr="008E39ED">
        <w:rPr>
          <w:rFonts w:ascii="Times New Roman" w:eastAsia="Times New Roman" w:hAnsi="Times New Roman" w:cs="Times New Roman"/>
          <w:b/>
          <w:bCs/>
          <w:sz w:val="24"/>
          <w:szCs w:val="24"/>
        </w:rPr>
        <w:t>0 and 100</w:t>
      </w:r>
      <w:r w:rsidRPr="008E39ED">
        <w:rPr>
          <w:rFonts w:ascii="Times New Roman" w:eastAsia="Times New Roman" w:hAnsi="Times New Roman" w:cs="Times New Roman"/>
          <w:sz w:val="24"/>
          <w:szCs w:val="24"/>
        </w:rPr>
        <w:t xml:space="preserve">. </w:t>
      </w:r>
    </w:p>
    <w:p w14:paraId="2FDBFA34" w14:textId="77777777" w:rsidR="008E39ED" w:rsidRPr="008E39ED" w:rsidRDefault="008E39ED" w:rsidP="008E39ED">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Ignore invalid historical values. </w:t>
      </w:r>
    </w:p>
    <w:p w14:paraId="251A74EF"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25402EAA">
          <v:rect id="_x0000_i1219" style="width:0;height:1.5pt" o:hralign="center" o:hrstd="t" o:hr="t" fillcolor="#a0a0a0" stroked="f"/>
        </w:pict>
      </w:r>
    </w:p>
    <w:p w14:paraId="0304B8B7"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4. Card Fields</w:t>
      </w:r>
    </w:p>
    <w:p w14:paraId="672EE752"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Current Value</w:t>
      </w:r>
    </w:p>
    <w:p w14:paraId="0D6D206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IV Rank (%)</w:t>
      </w:r>
    </w:p>
    <w:p w14:paraId="2E80608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Current ATM IV</w:t>
      </w:r>
    </w:p>
    <w:p w14:paraId="0E0366AC"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Current ATM IV</w:t>
      </w:r>
    </w:p>
    <w:p w14:paraId="3386893C"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Lookback Period</w:t>
      </w:r>
    </w:p>
    <w:p w14:paraId="4B4B97D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252 Trading Days</w:t>
      </w:r>
    </w:p>
    <w:p w14:paraId="2E0CF32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Score</w:t>
      </w:r>
    </w:p>
    <w:p w14:paraId="41D966D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0–100</w:t>
      </w:r>
    </w:p>
    <w:p w14:paraId="4C4B95CE"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Bias</w:t>
      </w:r>
    </w:p>
    <w:p w14:paraId="0ABEED29" w14:textId="77777777" w:rsidR="008E39ED" w:rsidRPr="008E39ED" w:rsidRDefault="008E39ED" w:rsidP="008E39ED">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Bullish </w:t>
      </w:r>
    </w:p>
    <w:p w14:paraId="599CF1E5" w14:textId="77777777" w:rsidR="008E39ED" w:rsidRPr="008E39ED" w:rsidRDefault="008E39ED" w:rsidP="008E39ED">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Neutral </w:t>
      </w:r>
    </w:p>
    <w:p w14:paraId="74F8BA46" w14:textId="77777777" w:rsidR="008E39ED" w:rsidRPr="008E39ED" w:rsidRDefault="008E39ED" w:rsidP="008E39ED">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Bearish </w:t>
      </w:r>
    </w:p>
    <w:p w14:paraId="050F18B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Confidence</w:t>
      </w:r>
    </w:p>
    <w:p w14:paraId="2F335BE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Volatility Confidence</w:t>
      </w:r>
    </w:p>
    <w:p w14:paraId="605879D6"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Impact Weight</w:t>
      </w:r>
    </w:p>
    <w:p w14:paraId="3D47024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High</w:t>
      </w:r>
    </w:p>
    <w:p w14:paraId="68300B9A"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2A4AF5BE">
          <v:rect id="_x0000_i1220" style="width:0;height:1.5pt" o:hralign="center" o:hrstd="t" o:hr="t" fillcolor="#a0a0a0" stroked="f"/>
        </w:pict>
      </w:r>
    </w:p>
    <w:p w14:paraId="163A05AA"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634"/>
        <w:gridCol w:w="1056"/>
      </w:tblGrid>
      <w:tr w:rsidR="008E39ED" w:rsidRPr="008E39ED" w14:paraId="021ACC4E" w14:textId="77777777" w:rsidTr="008E39ED">
        <w:trPr>
          <w:tblHeader/>
          <w:tblCellSpacing w:w="15" w:type="dxa"/>
        </w:trPr>
        <w:tc>
          <w:tcPr>
            <w:tcW w:w="0" w:type="auto"/>
            <w:vAlign w:val="center"/>
            <w:hideMark/>
          </w:tcPr>
          <w:p w14:paraId="4AF801C1" w14:textId="77777777" w:rsidR="008E39ED" w:rsidRPr="008E39ED" w:rsidRDefault="008E39ED" w:rsidP="008E39ED">
            <w:pPr>
              <w:spacing w:after="0" w:line="240" w:lineRule="auto"/>
              <w:jc w:val="center"/>
              <w:rPr>
                <w:rFonts w:ascii="Times New Roman" w:eastAsia="Times New Roman" w:hAnsi="Times New Roman" w:cs="Times New Roman"/>
                <w:b/>
                <w:bCs/>
                <w:sz w:val="24"/>
                <w:szCs w:val="24"/>
              </w:rPr>
            </w:pPr>
            <w:r w:rsidRPr="008E39ED">
              <w:rPr>
                <w:rFonts w:ascii="Times New Roman" w:eastAsia="Times New Roman" w:hAnsi="Times New Roman" w:cs="Times New Roman"/>
                <w:b/>
                <w:bCs/>
                <w:sz w:val="24"/>
                <w:szCs w:val="24"/>
              </w:rPr>
              <w:lastRenderedPageBreak/>
              <w:t>IV Rank</w:t>
            </w:r>
          </w:p>
        </w:tc>
        <w:tc>
          <w:tcPr>
            <w:tcW w:w="0" w:type="auto"/>
            <w:vAlign w:val="center"/>
            <w:hideMark/>
          </w:tcPr>
          <w:p w14:paraId="27682F64" w14:textId="77777777" w:rsidR="008E39ED" w:rsidRPr="008E39ED" w:rsidRDefault="008E39ED" w:rsidP="008E39ED">
            <w:pPr>
              <w:spacing w:after="0" w:line="240" w:lineRule="auto"/>
              <w:jc w:val="center"/>
              <w:rPr>
                <w:rFonts w:ascii="Times New Roman" w:eastAsia="Times New Roman" w:hAnsi="Times New Roman" w:cs="Times New Roman"/>
                <w:b/>
                <w:bCs/>
                <w:sz w:val="24"/>
                <w:szCs w:val="24"/>
              </w:rPr>
            </w:pPr>
            <w:r w:rsidRPr="008E39ED">
              <w:rPr>
                <w:rFonts w:ascii="Times New Roman" w:eastAsia="Times New Roman" w:hAnsi="Times New Roman" w:cs="Times New Roman"/>
                <w:b/>
                <w:bCs/>
                <w:sz w:val="24"/>
                <w:szCs w:val="24"/>
              </w:rPr>
              <w:t>Score</w:t>
            </w:r>
          </w:p>
        </w:tc>
        <w:tc>
          <w:tcPr>
            <w:tcW w:w="0" w:type="auto"/>
            <w:vAlign w:val="center"/>
            <w:hideMark/>
          </w:tcPr>
          <w:p w14:paraId="62EEE6D8" w14:textId="77777777" w:rsidR="008E39ED" w:rsidRPr="008E39ED" w:rsidRDefault="008E39ED" w:rsidP="008E39ED">
            <w:pPr>
              <w:spacing w:after="0" w:line="240" w:lineRule="auto"/>
              <w:jc w:val="center"/>
              <w:rPr>
                <w:rFonts w:ascii="Times New Roman" w:eastAsia="Times New Roman" w:hAnsi="Times New Roman" w:cs="Times New Roman"/>
                <w:b/>
                <w:bCs/>
                <w:sz w:val="24"/>
                <w:szCs w:val="24"/>
              </w:rPr>
            </w:pPr>
            <w:r w:rsidRPr="008E39ED">
              <w:rPr>
                <w:rFonts w:ascii="Times New Roman" w:eastAsia="Times New Roman" w:hAnsi="Times New Roman" w:cs="Times New Roman"/>
                <w:b/>
                <w:bCs/>
                <w:sz w:val="24"/>
                <w:szCs w:val="24"/>
              </w:rPr>
              <w:t>Bias</w:t>
            </w:r>
          </w:p>
        </w:tc>
      </w:tr>
      <w:tr w:rsidR="008E39ED" w:rsidRPr="008E39ED" w14:paraId="0D0FC404" w14:textId="77777777" w:rsidTr="008E39ED">
        <w:trPr>
          <w:tblCellSpacing w:w="15" w:type="dxa"/>
        </w:trPr>
        <w:tc>
          <w:tcPr>
            <w:tcW w:w="0" w:type="auto"/>
            <w:vAlign w:val="center"/>
            <w:hideMark/>
          </w:tcPr>
          <w:p w14:paraId="591C8C06"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0–20</w:t>
            </w:r>
          </w:p>
        </w:tc>
        <w:tc>
          <w:tcPr>
            <w:tcW w:w="0" w:type="auto"/>
            <w:vAlign w:val="center"/>
            <w:hideMark/>
          </w:tcPr>
          <w:p w14:paraId="3734AB28"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90</w:t>
            </w:r>
          </w:p>
        </w:tc>
        <w:tc>
          <w:tcPr>
            <w:tcW w:w="0" w:type="auto"/>
            <w:vAlign w:val="center"/>
            <w:hideMark/>
          </w:tcPr>
          <w:p w14:paraId="7A96FA5D"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Bullish</w:t>
            </w:r>
          </w:p>
        </w:tc>
      </w:tr>
      <w:tr w:rsidR="008E39ED" w:rsidRPr="008E39ED" w14:paraId="50EDD09E" w14:textId="77777777" w:rsidTr="008E39ED">
        <w:trPr>
          <w:tblCellSpacing w:w="15" w:type="dxa"/>
        </w:trPr>
        <w:tc>
          <w:tcPr>
            <w:tcW w:w="0" w:type="auto"/>
            <w:vAlign w:val="center"/>
            <w:hideMark/>
          </w:tcPr>
          <w:p w14:paraId="30DF753E"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20–50</w:t>
            </w:r>
          </w:p>
        </w:tc>
        <w:tc>
          <w:tcPr>
            <w:tcW w:w="0" w:type="auto"/>
            <w:vAlign w:val="center"/>
            <w:hideMark/>
          </w:tcPr>
          <w:p w14:paraId="07A19050"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75</w:t>
            </w:r>
          </w:p>
        </w:tc>
        <w:tc>
          <w:tcPr>
            <w:tcW w:w="0" w:type="auto"/>
            <w:vAlign w:val="center"/>
            <w:hideMark/>
          </w:tcPr>
          <w:p w14:paraId="5C29F6CC"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Neutral</w:t>
            </w:r>
          </w:p>
        </w:tc>
      </w:tr>
      <w:tr w:rsidR="008E39ED" w:rsidRPr="008E39ED" w14:paraId="2C81D2ED" w14:textId="77777777" w:rsidTr="008E39ED">
        <w:trPr>
          <w:tblCellSpacing w:w="15" w:type="dxa"/>
        </w:trPr>
        <w:tc>
          <w:tcPr>
            <w:tcW w:w="0" w:type="auto"/>
            <w:vAlign w:val="center"/>
            <w:hideMark/>
          </w:tcPr>
          <w:p w14:paraId="4E691570"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50–80</w:t>
            </w:r>
          </w:p>
        </w:tc>
        <w:tc>
          <w:tcPr>
            <w:tcW w:w="0" w:type="auto"/>
            <w:vAlign w:val="center"/>
            <w:hideMark/>
          </w:tcPr>
          <w:p w14:paraId="306853F0"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50</w:t>
            </w:r>
          </w:p>
        </w:tc>
        <w:tc>
          <w:tcPr>
            <w:tcW w:w="0" w:type="auto"/>
            <w:vAlign w:val="center"/>
            <w:hideMark/>
          </w:tcPr>
          <w:p w14:paraId="2D68E765"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Cautious</w:t>
            </w:r>
          </w:p>
        </w:tc>
      </w:tr>
      <w:tr w:rsidR="008E39ED" w:rsidRPr="008E39ED" w14:paraId="10C2B242" w14:textId="77777777" w:rsidTr="008E39ED">
        <w:trPr>
          <w:tblCellSpacing w:w="15" w:type="dxa"/>
        </w:trPr>
        <w:tc>
          <w:tcPr>
            <w:tcW w:w="0" w:type="auto"/>
            <w:vAlign w:val="center"/>
            <w:hideMark/>
          </w:tcPr>
          <w:p w14:paraId="0B85A1A5"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80–100</w:t>
            </w:r>
          </w:p>
        </w:tc>
        <w:tc>
          <w:tcPr>
            <w:tcW w:w="0" w:type="auto"/>
            <w:vAlign w:val="center"/>
            <w:hideMark/>
          </w:tcPr>
          <w:p w14:paraId="2096FEBA"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20</w:t>
            </w:r>
          </w:p>
        </w:tc>
        <w:tc>
          <w:tcPr>
            <w:tcW w:w="0" w:type="auto"/>
            <w:vAlign w:val="center"/>
            <w:hideMark/>
          </w:tcPr>
          <w:p w14:paraId="5BB6D97F"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High Risk</w:t>
            </w:r>
          </w:p>
        </w:tc>
      </w:tr>
    </w:tbl>
    <w:p w14:paraId="183D4EA4"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Notes</w:t>
      </w:r>
    </w:p>
    <w:p w14:paraId="02FEBA0E" w14:textId="77777777" w:rsidR="008E39ED" w:rsidRPr="008E39ED" w:rsidRDefault="008E39ED" w:rsidP="008E39ED">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Low IV Rank generally indicates cheaper options. </w:t>
      </w:r>
    </w:p>
    <w:p w14:paraId="013461B6" w14:textId="77777777" w:rsidR="008E39ED" w:rsidRPr="008E39ED" w:rsidRDefault="008E39ED" w:rsidP="008E39ED">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High IV Rank indicates expensive options. </w:t>
      </w:r>
    </w:p>
    <w:p w14:paraId="5195468E" w14:textId="77777777" w:rsidR="008E39ED" w:rsidRPr="008E39ED" w:rsidRDefault="008E39ED" w:rsidP="008E39ED">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IV Rank should not be used as a directional indicator. </w:t>
      </w:r>
    </w:p>
    <w:p w14:paraId="66C09257"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18C24687">
          <v:rect id="_x0000_i1221" style="width:0;height:1.5pt" o:hralign="center" o:hrstd="t" o:hr="t" fillcolor="#a0a0a0" stroked="f"/>
        </w:pict>
      </w:r>
    </w:p>
    <w:p w14:paraId="04BAFBC2"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6. Bias Rules</w:t>
      </w:r>
    </w:p>
    <w:p w14:paraId="1459076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IV Rank Below 20</w:t>
      </w:r>
    </w:p>
    <w:p w14:paraId="367D268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Bullish</w:t>
      </w:r>
    </w:p>
    <w:p w14:paraId="7A3AC58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IV Rank Between 20–50</w:t>
      </w:r>
    </w:p>
    <w:p w14:paraId="3BB9B63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Neutral</w:t>
      </w:r>
    </w:p>
    <w:p w14:paraId="5E916AD2"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IV Rank Between 50–80</w:t>
      </w:r>
    </w:p>
    <w:p w14:paraId="0BBBF5A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Cautious</w:t>
      </w:r>
    </w:p>
    <w:p w14:paraId="44CAADD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IV Rank Above 80</w:t>
      </w:r>
    </w:p>
    <w:p w14:paraId="2E7C5CE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Bearish</w:t>
      </w:r>
    </w:p>
    <w:p w14:paraId="740532E1"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70186DF9">
          <v:rect id="_x0000_i1222" style="width:0;height:1.5pt" o:hralign="center" o:hrstd="t" o:hr="t" fillcolor="#a0a0a0" stroked="f"/>
        </w:pict>
      </w:r>
    </w:p>
    <w:p w14:paraId="067DD296"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7. Confidence Logic</w:t>
      </w:r>
    </w:p>
    <w:p w14:paraId="240466E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Base Confidence</w:t>
      </w:r>
    </w:p>
    <w:p w14:paraId="57EBD44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90%</w:t>
      </w:r>
    </w:p>
    <w:p w14:paraId="0D3A8786"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Increase Confidence</w:t>
      </w:r>
    </w:p>
    <w:p w14:paraId="196DE53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+5% Complete historical IV data</w:t>
      </w:r>
    </w:p>
    <w:p w14:paraId="27FF380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lastRenderedPageBreak/>
        <w:t>+5% Stable IV trend</w:t>
      </w:r>
    </w:p>
    <w:p w14:paraId="05158EE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+5% High option liquidity</w:t>
      </w:r>
    </w:p>
    <w:p w14:paraId="27191C40"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Decrease Confidence</w:t>
      </w:r>
    </w:p>
    <w:p w14:paraId="095D8A4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-10% Missing historical data</w:t>
      </w:r>
    </w:p>
    <w:p w14:paraId="648ECD7C"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-5% Low liquidity</w:t>
      </w:r>
    </w:p>
    <w:p w14:paraId="556E0C6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-5% Expiry-day volatility</w:t>
      </w:r>
    </w:p>
    <w:p w14:paraId="79DDA22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Minimum</w:t>
      </w:r>
    </w:p>
    <w:p w14:paraId="46A2A5D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65%</w:t>
      </w:r>
    </w:p>
    <w:p w14:paraId="68C1ADC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Maximum</w:t>
      </w:r>
    </w:p>
    <w:p w14:paraId="6934A8B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99%</w:t>
      </w:r>
    </w:p>
    <w:p w14:paraId="24399D98"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743FEDDA">
          <v:rect id="_x0000_i1223" style="width:0;height:1.5pt" o:hralign="center" o:hrstd="t" o:hr="t" fillcolor="#a0a0a0" stroked="f"/>
        </w:pict>
      </w:r>
    </w:p>
    <w:p w14:paraId="515FA8A2"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8. Score Range Bar</w:t>
      </w:r>
    </w:p>
    <w:p w14:paraId="5DD5359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Minimum</w:t>
      </w:r>
    </w:p>
    <w:p w14:paraId="577549B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0</w:t>
      </w:r>
    </w:p>
    <w:p w14:paraId="499A520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Maximum</w:t>
      </w:r>
    </w:p>
    <w:p w14:paraId="404A31E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100</w:t>
      </w:r>
    </w:p>
    <w:p w14:paraId="796A71A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Pointer</w:t>
      </w:r>
    </w:p>
    <w:p w14:paraId="039790C8"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Current Score</w:t>
      </w:r>
    </w:p>
    <w:p w14:paraId="6899EC3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Average Marker</w:t>
      </w:r>
    </w:p>
    <w:p w14:paraId="7409117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252-Day Average Score</w:t>
      </w:r>
    </w:p>
    <w:p w14:paraId="1AEEECC0"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Color Zones</w:t>
      </w:r>
    </w:p>
    <w:p w14:paraId="5AFD4D5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0–30 → Cheap Options</w:t>
      </w:r>
    </w:p>
    <w:p w14:paraId="428D5A1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30–60 → Fair Value</w:t>
      </w:r>
    </w:p>
    <w:p w14:paraId="43C65A35"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lastRenderedPageBreak/>
        <w:t>60–80 → Expensive</w:t>
      </w:r>
    </w:p>
    <w:p w14:paraId="2B7F7706"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80–100 → Very Expensive</w:t>
      </w:r>
    </w:p>
    <w:p w14:paraId="5405FDDD"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5394C2E6">
          <v:rect id="_x0000_i1224" style="width:0;height:1.5pt" o:hralign="center" o:hrstd="t" o:hr="t" fillcolor="#a0a0a0" stroked="f"/>
        </w:pict>
      </w:r>
    </w:p>
    <w:p w14:paraId="04E8FB94"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9. Dual Trend Chart</w:t>
      </w:r>
    </w:p>
    <w:p w14:paraId="79080CA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Chart Type</w:t>
      </w:r>
    </w:p>
    <w:p w14:paraId="44D9F26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Dual Line</w:t>
      </w:r>
    </w:p>
    <w:p w14:paraId="783538F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Line 1</w:t>
      </w:r>
    </w:p>
    <w:p w14:paraId="2CD6B2D2"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IV Rank</w:t>
      </w:r>
    </w:p>
    <w:p w14:paraId="4396F58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Line 2</w:t>
      </w:r>
    </w:p>
    <w:p w14:paraId="11565B0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Praxis Score</w:t>
      </w:r>
    </w:p>
    <w:p w14:paraId="38EF7968"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History</w:t>
      </w:r>
    </w:p>
    <w:p w14:paraId="56115E66"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252 Trading Days</w:t>
      </w:r>
    </w:p>
    <w:p w14:paraId="735F642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Update</w:t>
      </w:r>
    </w:p>
    <w:p w14:paraId="2D929BC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Every option chain refresh.</w:t>
      </w:r>
    </w:p>
    <w:p w14:paraId="6C6F6A06"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0D05D164">
          <v:rect id="_x0000_i1225" style="width:0;height:1.5pt" o:hralign="center" o:hrstd="t" o:hr="t" fillcolor="#a0a0a0" stroked="f"/>
        </w:pict>
      </w:r>
    </w:p>
    <w:p w14:paraId="094359A0"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10. AI Insight Rules</w:t>
      </w:r>
    </w:p>
    <w:p w14:paraId="77D202E6"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IV Rank Below 20</w:t>
      </w:r>
    </w:p>
    <w:p w14:paraId="4EC61F1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Explain that implied volatility is near the lower end of its historical range, making option premiums relatively inexpensive.</w:t>
      </w:r>
    </w:p>
    <w:p w14:paraId="21A3F181"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IV Rank Between 20–50</w:t>
      </w:r>
    </w:p>
    <w:p w14:paraId="2974992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Explain that implied volatility is within its normal historical range.</w:t>
      </w:r>
    </w:p>
    <w:p w14:paraId="792495AE"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IV Rank Between 50–80</w:t>
      </w:r>
    </w:p>
    <w:p w14:paraId="0B8F219C"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Explain that option premiums are becoming relatively expensive.</w:t>
      </w:r>
    </w:p>
    <w:p w14:paraId="0D0918A5"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lastRenderedPageBreak/>
        <w:t>IV Rank Above 80</w:t>
      </w:r>
    </w:p>
    <w:p w14:paraId="3103238C"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Explain that implied volatility is near historical highs, increasing option premiums and market uncertainty.</w:t>
      </w:r>
    </w:p>
    <w:p w14:paraId="60776EC6"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333EA905">
          <v:rect id="_x0000_i1226" style="width:0;height:1.5pt" o:hralign="center" o:hrstd="t" o:hr="t" fillcolor="#a0a0a0" stroked="f"/>
        </w:pict>
      </w:r>
    </w:p>
    <w:p w14:paraId="60E1959E"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11. Why It Matters</w:t>
      </w:r>
    </w:p>
    <w:p w14:paraId="4935B99F" w14:textId="77777777" w:rsidR="008E39ED" w:rsidRPr="008E39ED" w:rsidRDefault="008E39ED" w:rsidP="008E39ED">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Identifies expensive and cheap option premiums. </w:t>
      </w:r>
    </w:p>
    <w:p w14:paraId="2D1EDFD4" w14:textId="77777777" w:rsidR="008E39ED" w:rsidRPr="008E39ED" w:rsidRDefault="008E39ED" w:rsidP="008E39ED">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Supports volatility-based strategies. </w:t>
      </w:r>
    </w:p>
    <w:p w14:paraId="147DA468" w14:textId="77777777" w:rsidR="008E39ED" w:rsidRPr="008E39ED" w:rsidRDefault="008E39ED" w:rsidP="008E39ED">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Improves options timing. </w:t>
      </w:r>
    </w:p>
    <w:p w14:paraId="3318DBD6" w14:textId="77777777" w:rsidR="008E39ED" w:rsidRPr="008E39ED" w:rsidRDefault="008E39ED" w:rsidP="008E39ED">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Complements ATM IV and IV Percentile. </w:t>
      </w:r>
    </w:p>
    <w:p w14:paraId="5BB6611B" w14:textId="77777777" w:rsidR="008E39ED" w:rsidRPr="008E39ED" w:rsidRDefault="008E39ED" w:rsidP="008E39ED">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Widely used by professional options traders. </w:t>
      </w:r>
    </w:p>
    <w:p w14:paraId="7EB823C5"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05E6E76E">
          <v:rect id="_x0000_i1227" style="width:0;height:1.5pt" o:hralign="center" o:hrstd="t" o:hr="t" fillcolor="#a0a0a0" stroked="f"/>
        </w:pict>
      </w:r>
    </w:p>
    <w:p w14:paraId="79412A09"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12. Trading Impact</w:t>
      </w:r>
    </w:p>
    <w:p w14:paraId="53F683A5"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Intraday</w:t>
      </w:r>
    </w:p>
    <w:p w14:paraId="33252BD5"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Segoe UI Symbol" w:eastAsia="Times New Roman" w:hAnsi="Segoe UI Symbol" w:cs="Segoe UI Symbol"/>
          <w:sz w:val="24"/>
          <w:szCs w:val="24"/>
        </w:rPr>
        <w:t>★★★☆☆</w:t>
      </w:r>
    </w:p>
    <w:p w14:paraId="340F4A85"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Swing Trading</w:t>
      </w:r>
    </w:p>
    <w:p w14:paraId="49AA966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Segoe UI Symbol" w:eastAsia="Times New Roman" w:hAnsi="Segoe UI Symbol" w:cs="Segoe UI Symbol"/>
          <w:sz w:val="24"/>
          <w:szCs w:val="24"/>
        </w:rPr>
        <w:t>★★★★☆</w:t>
      </w:r>
    </w:p>
    <w:p w14:paraId="3057B45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Positional Trading</w:t>
      </w:r>
    </w:p>
    <w:p w14:paraId="2FAE7B25"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Segoe UI Symbol" w:eastAsia="Times New Roman" w:hAnsi="Segoe UI Symbol" w:cs="Segoe UI Symbol"/>
          <w:sz w:val="24"/>
          <w:szCs w:val="24"/>
        </w:rPr>
        <w:t>★★★★☆</w:t>
      </w:r>
    </w:p>
    <w:p w14:paraId="53B718D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Options Trading</w:t>
      </w:r>
    </w:p>
    <w:p w14:paraId="324137F1"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Segoe UI Symbol" w:eastAsia="Times New Roman" w:hAnsi="Segoe UI Symbol" w:cs="Segoe UI Symbol"/>
          <w:sz w:val="24"/>
          <w:szCs w:val="24"/>
        </w:rPr>
        <w:t>★★★★★</w:t>
      </w:r>
    </w:p>
    <w:p w14:paraId="0B0BDCB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Best Use</w:t>
      </w:r>
    </w:p>
    <w:p w14:paraId="611FFD6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Evaluating relative option pricing.</w:t>
      </w:r>
    </w:p>
    <w:p w14:paraId="234826F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Avoid Using Alone</w:t>
      </w:r>
    </w:p>
    <w:p w14:paraId="220C8CF5"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Yes</w:t>
      </w:r>
    </w:p>
    <w:p w14:paraId="56884CB3"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06492CCC">
          <v:rect id="_x0000_i1228" style="width:0;height:1.5pt" o:hralign="center" o:hrstd="t" o:hr="t" fillcolor="#a0a0a0" stroked="f"/>
        </w:pict>
      </w:r>
    </w:p>
    <w:p w14:paraId="45F3439F"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lastRenderedPageBreak/>
        <w:t>13. Supporting Indicators</w:t>
      </w:r>
    </w:p>
    <w:p w14:paraId="20760760" w14:textId="77777777" w:rsidR="008E39ED" w:rsidRPr="008E39ED" w:rsidRDefault="008E39ED" w:rsidP="008E39ED">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ATM IV </w:t>
      </w:r>
    </w:p>
    <w:p w14:paraId="6B05B4D4" w14:textId="77777777" w:rsidR="008E39ED" w:rsidRPr="008E39ED" w:rsidRDefault="008E39ED" w:rsidP="008E39ED">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IV Percentile </w:t>
      </w:r>
    </w:p>
    <w:p w14:paraId="54F729BE" w14:textId="77777777" w:rsidR="008E39ED" w:rsidRPr="008E39ED" w:rsidRDefault="008E39ED" w:rsidP="008E39ED">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India VIX </w:t>
      </w:r>
    </w:p>
    <w:p w14:paraId="29093A43" w14:textId="77777777" w:rsidR="008E39ED" w:rsidRPr="008E39ED" w:rsidRDefault="008E39ED" w:rsidP="008E39ED">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PCR (OI) </w:t>
      </w:r>
    </w:p>
    <w:p w14:paraId="620CE6D1" w14:textId="77777777" w:rsidR="008E39ED" w:rsidRPr="008E39ED" w:rsidRDefault="008E39ED" w:rsidP="008E39ED">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OI Change </w:t>
      </w:r>
    </w:p>
    <w:p w14:paraId="23FFCEE6"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40484CAD">
          <v:rect id="_x0000_i1229" style="width:0;height:1.5pt" o:hralign="center" o:hrstd="t" o:hr="t" fillcolor="#a0a0a0" stroked="f"/>
        </w:pict>
      </w:r>
    </w:p>
    <w:p w14:paraId="27B10168"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14. Metadata</w:t>
      </w:r>
    </w:p>
    <w:p w14:paraId="4C8FC0EE"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Source</w:t>
      </w:r>
    </w:p>
    <w:p w14:paraId="41E9559C"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NSE Option Chain / Upstox API</w:t>
      </w:r>
    </w:p>
    <w:p w14:paraId="2F8611C6"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Calculation</w:t>
      </w:r>
    </w:p>
    <w:p w14:paraId="4564931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Backend</w:t>
      </w:r>
    </w:p>
    <w:p w14:paraId="3E6B17F2"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Updated</w:t>
      </w:r>
    </w:p>
    <w:p w14:paraId="2D8262C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Every Option Chain Refresh</w:t>
      </w:r>
    </w:p>
    <w:p w14:paraId="7E151BA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proofErr w:type="spellStart"/>
      <w:r w:rsidRPr="008E39ED">
        <w:rPr>
          <w:rFonts w:ascii="Times New Roman" w:eastAsia="Times New Roman" w:hAnsi="Times New Roman" w:cs="Times New Roman"/>
          <w:b/>
          <w:bCs/>
          <w:sz w:val="24"/>
          <w:szCs w:val="24"/>
        </w:rPr>
        <w:t>Timezone</w:t>
      </w:r>
      <w:proofErr w:type="spellEnd"/>
    </w:p>
    <w:p w14:paraId="0AD3A77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Asia/Kolkata</w:t>
      </w:r>
    </w:p>
    <w:p w14:paraId="74CB93F5"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Storage</w:t>
      </w:r>
    </w:p>
    <w:p w14:paraId="40F80C26"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Local Electron Database</w:t>
      </w:r>
    </w:p>
    <w:p w14:paraId="06F6E83F"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30B25606">
          <v:rect id="_x0000_i1230" style="width:0;height:1.5pt" o:hralign="center" o:hrstd="t" o:hr="t" fillcolor="#a0a0a0" stroked="f"/>
        </w:pict>
      </w:r>
    </w:p>
    <w:p w14:paraId="49387594"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15. Developer Notes</w:t>
      </w:r>
    </w:p>
    <w:p w14:paraId="16038D8E"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Store:</w:t>
      </w:r>
    </w:p>
    <w:p w14:paraId="215A2B72" w14:textId="77777777" w:rsidR="008E39ED" w:rsidRPr="008E39ED" w:rsidRDefault="008E39ED" w:rsidP="008E39E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Current IV Rank </w:t>
      </w:r>
    </w:p>
    <w:p w14:paraId="1B418A5C" w14:textId="77777777" w:rsidR="008E39ED" w:rsidRPr="008E39ED" w:rsidRDefault="008E39ED" w:rsidP="008E39E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Historical IV </w:t>
      </w:r>
    </w:p>
    <w:p w14:paraId="3C65AC03" w14:textId="77777777" w:rsidR="008E39ED" w:rsidRPr="008E39ED" w:rsidRDefault="008E39ED" w:rsidP="008E39E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Highest IV </w:t>
      </w:r>
    </w:p>
    <w:p w14:paraId="2384B899" w14:textId="77777777" w:rsidR="008E39ED" w:rsidRPr="008E39ED" w:rsidRDefault="008E39ED" w:rsidP="008E39E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Lowest IV </w:t>
      </w:r>
    </w:p>
    <w:p w14:paraId="35AA8054" w14:textId="77777777" w:rsidR="008E39ED" w:rsidRPr="008E39ED" w:rsidRDefault="008E39ED" w:rsidP="008E39E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Current Score </w:t>
      </w:r>
    </w:p>
    <w:p w14:paraId="6909D993" w14:textId="77777777" w:rsidR="008E39ED" w:rsidRPr="008E39ED" w:rsidRDefault="008E39ED" w:rsidP="008E39E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lastRenderedPageBreak/>
        <w:t xml:space="preserve">Confidence </w:t>
      </w:r>
    </w:p>
    <w:p w14:paraId="39ECCC0C" w14:textId="77777777" w:rsidR="008E39ED" w:rsidRPr="008E39ED" w:rsidRDefault="008E39ED" w:rsidP="008E39E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Last Updated </w:t>
      </w:r>
    </w:p>
    <w:p w14:paraId="4C5CB49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Maintain a rolling </w:t>
      </w:r>
      <w:r w:rsidRPr="008E39ED">
        <w:rPr>
          <w:rFonts w:ascii="Times New Roman" w:eastAsia="Times New Roman" w:hAnsi="Times New Roman" w:cs="Times New Roman"/>
          <w:b/>
          <w:bCs/>
          <w:sz w:val="24"/>
          <w:szCs w:val="24"/>
        </w:rPr>
        <w:t>252-day</w:t>
      </w:r>
      <w:r w:rsidRPr="008E39ED">
        <w:rPr>
          <w:rFonts w:ascii="Times New Roman" w:eastAsia="Times New Roman" w:hAnsi="Times New Roman" w:cs="Times New Roman"/>
          <w:sz w:val="24"/>
          <w:szCs w:val="24"/>
        </w:rPr>
        <w:t xml:space="preserve"> IV history. If historical data is insufficient, display </w:t>
      </w:r>
      <w:r w:rsidRPr="008E39ED">
        <w:rPr>
          <w:rFonts w:ascii="Times New Roman" w:eastAsia="Times New Roman" w:hAnsi="Times New Roman" w:cs="Times New Roman"/>
          <w:b/>
          <w:bCs/>
          <w:sz w:val="24"/>
          <w:szCs w:val="24"/>
        </w:rPr>
        <w:t>"Insufficient Data"</w:t>
      </w:r>
      <w:r w:rsidRPr="008E39ED">
        <w:rPr>
          <w:rFonts w:ascii="Times New Roman" w:eastAsia="Times New Roman" w:hAnsi="Times New Roman" w:cs="Times New Roman"/>
          <w:sz w:val="24"/>
          <w:szCs w:val="24"/>
        </w:rPr>
        <w:t xml:space="preserve"> and reduce confidence accordingly.</w:t>
      </w:r>
    </w:p>
    <w:p w14:paraId="1B87C7BD"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449B0177">
          <v:rect id="_x0000_i1231" style="width:0;height:1.5pt" o:hralign="center" o:hrstd="t" o:hr="t" fillcolor="#a0a0a0" stroked="f"/>
        </w:pict>
      </w:r>
    </w:p>
    <w:p w14:paraId="430665D1"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 xml:space="preserve">16. Praxis Engine Integration </w:t>
      </w:r>
      <w:r w:rsidRPr="008E39ED">
        <w:rPr>
          <w:rFonts w:ascii="Segoe UI Emoji" w:eastAsia="Times New Roman" w:hAnsi="Segoe UI Emoji" w:cs="Segoe UI Emoji"/>
          <w:b/>
          <w:bCs/>
          <w:kern w:val="36"/>
          <w:sz w:val="48"/>
          <w:szCs w:val="48"/>
        </w:rPr>
        <w:t>⭐</w:t>
      </w:r>
    </w:p>
    <w:p w14:paraId="677CD9B1"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Engine Weight</w:t>
      </w:r>
    </w:p>
    <w:p w14:paraId="3BB8422E"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Configurable</w:t>
      </w:r>
    </w:p>
    <w:p w14:paraId="26CFA14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Relative Importance</w:t>
      </w:r>
    </w:p>
    <w:p w14:paraId="0669D31E"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High</w:t>
      </w:r>
    </w:p>
    <w:p w14:paraId="24D4E896"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Decision Engine Role</w:t>
      </w:r>
    </w:p>
    <w:p w14:paraId="16EB8F4C"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Relative Volatility Assessment</w:t>
      </w:r>
    </w:p>
    <w:p w14:paraId="65E5110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Primary Use</w:t>
      </w:r>
    </w:p>
    <w:p w14:paraId="1FCC13A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Determine whether current implied volatility is high or low compared to its historical range.</w:t>
      </w:r>
    </w:p>
    <w:p w14:paraId="731A2DF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Bullish Confirmation</w:t>
      </w:r>
    </w:p>
    <w:p w14:paraId="4E62C0E3" w14:textId="77777777" w:rsidR="008E39ED" w:rsidRPr="008E39ED" w:rsidRDefault="008E39ED" w:rsidP="008E39E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IV Rank Below 20 </w:t>
      </w:r>
    </w:p>
    <w:p w14:paraId="3D8EA20D" w14:textId="77777777" w:rsidR="008E39ED" w:rsidRPr="008E39ED" w:rsidRDefault="008E39ED" w:rsidP="008E39E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Low ATM IV </w:t>
      </w:r>
    </w:p>
    <w:p w14:paraId="23EBA18B" w14:textId="77777777" w:rsidR="008E39ED" w:rsidRPr="008E39ED" w:rsidRDefault="008E39ED" w:rsidP="008E39E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Stable India VIX </w:t>
      </w:r>
    </w:p>
    <w:p w14:paraId="21A11CA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Bearish Confirmation</w:t>
      </w:r>
    </w:p>
    <w:p w14:paraId="3CD4ED43" w14:textId="77777777" w:rsidR="008E39ED" w:rsidRPr="008E39ED" w:rsidRDefault="008E39ED" w:rsidP="008E39E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IV Rank Above 80 </w:t>
      </w:r>
    </w:p>
    <w:p w14:paraId="4F9EFED4" w14:textId="77777777" w:rsidR="008E39ED" w:rsidRPr="008E39ED" w:rsidRDefault="008E39ED" w:rsidP="008E39E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Rising ATM IV </w:t>
      </w:r>
    </w:p>
    <w:p w14:paraId="21A2DC8A" w14:textId="77777777" w:rsidR="008E39ED" w:rsidRPr="008E39ED" w:rsidRDefault="008E39ED" w:rsidP="008E39E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Rising India VIX </w:t>
      </w:r>
    </w:p>
    <w:p w14:paraId="7FF36595"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Display Priority</w:t>
      </w:r>
    </w:p>
    <w:p w14:paraId="378D01F6"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High</w:t>
      </w:r>
    </w:p>
    <w:p w14:paraId="37910585"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0994118B">
          <v:rect id="_x0000_i1232" style="width:0;height:1.5pt" o:hralign="center" o:hrstd="t" o:hr="t" fillcolor="#a0a0a0" stroked="f"/>
        </w:pict>
      </w:r>
    </w:p>
    <w:p w14:paraId="518DA046"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lastRenderedPageBreak/>
        <w:t>17. Praxis Recommendation</w:t>
      </w:r>
    </w:p>
    <w:p w14:paraId="414A78E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IV Rank should serve as the </w:t>
      </w:r>
      <w:r w:rsidRPr="008E39ED">
        <w:rPr>
          <w:rFonts w:ascii="Times New Roman" w:eastAsia="Times New Roman" w:hAnsi="Times New Roman" w:cs="Times New Roman"/>
          <w:b/>
          <w:bCs/>
          <w:sz w:val="24"/>
          <w:szCs w:val="24"/>
        </w:rPr>
        <w:t>relative volatility indicator</w:t>
      </w:r>
      <w:r w:rsidRPr="008E39ED">
        <w:rPr>
          <w:rFonts w:ascii="Times New Roman" w:eastAsia="Times New Roman" w:hAnsi="Times New Roman" w:cs="Times New Roman"/>
          <w:sz w:val="24"/>
          <w:szCs w:val="24"/>
        </w:rPr>
        <w:t xml:space="preserve"> within the Implied Volatility category.</w:t>
      </w:r>
    </w:p>
    <w:p w14:paraId="610DA0E4"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Implied Volatility Hierarchy</w:t>
      </w:r>
    </w:p>
    <w:p w14:paraId="62E23CA4" w14:textId="77777777" w:rsidR="008E39ED" w:rsidRPr="008E39ED" w:rsidRDefault="008E39ED" w:rsidP="008E39ED">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8E39ED">
        <w:rPr>
          <w:rFonts w:ascii="Segoe UI Emoji" w:eastAsia="Times New Roman" w:hAnsi="Segoe UI Emoji" w:cs="Segoe UI Emoji"/>
          <w:sz w:val="24"/>
          <w:szCs w:val="24"/>
        </w:rPr>
        <w:t>⭐⭐⭐⭐⭐</w:t>
      </w:r>
      <w:r w:rsidRPr="008E39ED">
        <w:rPr>
          <w:rFonts w:ascii="Times New Roman" w:eastAsia="Times New Roman" w:hAnsi="Times New Roman" w:cs="Times New Roman"/>
          <w:sz w:val="24"/>
          <w:szCs w:val="24"/>
        </w:rPr>
        <w:t xml:space="preserve"> ATM IV </w:t>
      </w:r>
    </w:p>
    <w:p w14:paraId="1C3D5C69" w14:textId="77777777" w:rsidR="008E39ED" w:rsidRPr="008E39ED" w:rsidRDefault="008E39ED" w:rsidP="008E39ED">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8E39ED">
        <w:rPr>
          <w:rFonts w:ascii="Segoe UI Emoji" w:eastAsia="Times New Roman" w:hAnsi="Segoe UI Emoji" w:cs="Segoe UI Emoji"/>
          <w:sz w:val="24"/>
          <w:szCs w:val="24"/>
        </w:rPr>
        <w:t>⭐⭐⭐⭐</w:t>
      </w:r>
      <w:r w:rsidRPr="008E39ED">
        <w:rPr>
          <w:rFonts w:ascii="Segoe UI Symbol" w:eastAsia="Times New Roman" w:hAnsi="Segoe UI Symbol" w:cs="Segoe UI Symbol"/>
          <w:sz w:val="24"/>
          <w:szCs w:val="24"/>
        </w:rPr>
        <w:t>☆</w:t>
      </w:r>
      <w:r w:rsidRPr="008E39ED">
        <w:rPr>
          <w:rFonts w:ascii="Times New Roman" w:eastAsia="Times New Roman" w:hAnsi="Times New Roman" w:cs="Times New Roman"/>
          <w:sz w:val="24"/>
          <w:szCs w:val="24"/>
        </w:rPr>
        <w:t xml:space="preserve"> IV Rank </w:t>
      </w:r>
    </w:p>
    <w:p w14:paraId="790EF325" w14:textId="77777777" w:rsidR="008E39ED" w:rsidRPr="008E39ED" w:rsidRDefault="008E39ED" w:rsidP="008E39ED">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8E39ED">
        <w:rPr>
          <w:rFonts w:ascii="Segoe UI Emoji" w:eastAsia="Times New Roman" w:hAnsi="Segoe UI Emoji" w:cs="Segoe UI Emoji"/>
          <w:sz w:val="24"/>
          <w:szCs w:val="24"/>
        </w:rPr>
        <w:t>⭐⭐⭐⭐</w:t>
      </w:r>
      <w:r w:rsidRPr="008E39ED">
        <w:rPr>
          <w:rFonts w:ascii="Segoe UI Symbol" w:eastAsia="Times New Roman" w:hAnsi="Segoe UI Symbol" w:cs="Segoe UI Symbol"/>
          <w:sz w:val="24"/>
          <w:szCs w:val="24"/>
        </w:rPr>
        <w:t>☆</w:t>
      </w:r>
      <w:r w:rsidRPr="008E39ED">
        <w:rPr>
          <w:rFonts w:ascii="Times New Roman" w:eastAsia="Times New Roman" w:hAnsi="Times New Roman" w:cs="Times New Roman"/>
          <w:sz w:val="24"/>
          <w:szCs w:val="24"/>
        </w:rPr>
        <w:t xml:space="preserve"> IV Percentile </w:t>
      </w:r>
    </w:p>
    <w:p w14:paraId="4D92CBD3"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Engine Rules</w:t>
      </w:r>
    </w:p>
    <w:p w14:paraId="13A24163" w14:textId="77777777" w:rsidR="008E39ED" w:rsidRPr="008E39ED" w:rsidRDefault="008E39ED" w:rsidP="008E39ED">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IV Rank &lt;20 + Low ATM IV → Increase Options Score. </w:t>
      </w:r>
    </w:p>
    <w:p w14:paraId="52B31D60" w14:textId="77777777" w:rsidR="008E39ED" w:rsidRPr="008E39ED" w:rsidRDefault="008E39ED" w:rsidP="008E39ED">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IV Rank &gt;80 + Rising India VIX → Reduce Options Score. </w:t>
      </w:r>
    </w:p>
    <w:p w14:paraId="3C7ABE5F" w14:textId="77777777" w:rsidR="008E39ED" w:rsidRPr="008E39ED" w:rsidRDefault="008E39ED" w:rsidP="008E39ED">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Confirm IV Rank with IV Percentile before generating high-confidence volatility signals. </w:t>
      </w:r>
    </w:p>
    <w:p w14:paraId="4BE61BD3" w14:textId="77777777" w:rsidR="008E39ED" w:rsidRPr="008E39ED" w:rsidRDefault="008E39ED" w:rsidP="008E39ED">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Never use IV Rank as a directional indicator; use it only to evaluate the relative cost of option premiums. </w:t>
      </w:r>
    </w:p>
    <w:p w14:paraId="55C65B45" w14:textId="2B42220A" w:rsid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IV Rank should strengthen the </w:t>
      </w:r>
      <w:r w:rsidRPr="008E39ED">
        <w:rPr>
          <w:rFonts w:ascii="Times New Roman" w:eastAsia="Times New Roman" w:hAnsi="Times New Roman" w:cs="Times New Roman"/>
          <w:b/>
          <w:bCs/>
          <w:sz w:val="24"/>
          <w:szCs w:val="24"/>
        </w:rPr>
        <w:t>Options Score</w:t>
      </w:r>
      <w:r w:rsidRPr="008E39ED">
        <w:rPr>
          <w:rFonts w:ascii="Times New Roman" w:eastAsia="Times New Roman" w:hAnsi="Times New Roman" w:cs="Times New Roman"/>
          <w:sz w:val="24"/>
          <w:szCs w:val="24"/>
        </w:rPr>
        <w:t xml:space="preserve"> by identifying whether implied volatility is historically high or low, helping traders assess option pricing and volatility conditions rather than predicting market direction.</w:t>
      </w:r>
    </w:p>
    <w:p w14:paraId="23209487" w14:textId="33EED00B" w:rsidR="00A5115D" w:rsidRDefault="00A5115D" w:rsidP="008E39ED">
      <w:pPr>
        <w:spacing w:before="100" w:beforeAutospacing="1" w:after="100" w:afterAutospacing="1" w:line="240" w:lineRule="auto"/>
        <w:rPr>
          <w:rFonts w:ascii="Times New Roman" w:eastAsia="Times New Roman" w:hAnsi="Times New Roman" w:cs="Times New Roman"/>
          <w:sz w:val="24"/>
          <w:szCs w:val="24"/>
        </w:rPr>
      </w:pPr>
    </w:p>
    <w:p w14:paraId="6BAFF708" w14:textId="58A4E138" w:rsidR="00A5115D" w:rsidRDefault="00A5115D" w:rsidP="008E39ED">
      <w:pPr>
        <w:spacing w:before="100" w:beforeAutospacing="1" w:after="100" w:afterAutospacing="1" w:line="240" w:lineRule="auto"/>
        <w:rPr>
          <w:rFonts w:ascii="Times New Roman" w:eastAsia="Times New Roman" w:hAnsi="Times New Roman" w:cs="Times New Roman"/>
          <w:sz w:val="24"/>
          <w:szCs w:val="24"/>
        </w:rPr>
      </w:pPr>
    </w:p>
    <w:p w14:paraId="4861102A" w14:textId="4EB5E789" w:rsidR="00A5115D" w:rsidRDefault="00A5115D" w:rsidP="008E39ED">
      <w:pPr>
        <w:spacing w:before="100" w:beforeAutospacing="1" w:after="100" w:afterAutospacing="1" w:line="240" w:lineRule="auto"/>
        <w:rPr>
          <w:rFonts w:ascii="Times New Roman" w:eastAsia="Times New Roman" w:hAnsi="Times New Roman" w:cs="Times New Roman"/>
          <w:sz w:val="24"/>
          <w:szCs w:val="24"/>
        </w:rPr>
      </w:pPr>
    </w:p>
    <w:p w14:paraId="3380492A" w14:textId="5B83944B" w:rsidR="00A5115D" w:rsidRDefault="00A5115D" w:rsidP="008E39ED">
      <w:pPr>
        <w:spacing w:before="100" w:beforeAutospacing="1" w:after="100" w:afterAutospacing="1" w:line="240" w:lineRule="auto"/>
        <w:rPr>
          <w:rFonts w:ascii="Times New Roman" w:eastAsia="Times New Roman" w:hAnsi="Times New Roman" w:cs="Times New Roman"/>
          <w:sz w:val="24"/>
          <w:szCs w:val="24"/>
        </w:rPr>
      </w:pPr>
    </w:p>
    <w:p w14:paraId="61DCD863" w14:textId="70663151" w:rsidR="00A5115D" w:rsidRDefault="00A5115D" w:rsidP="008E39ED">
      <w:pPr>
        <w:spacing w:before="100" w:beforeAutospacing="1" w:after="100" w:afterAutospacing="1" w:line="240" w:lineRule="auto"/>
        <w:rPr>
          <w:rFonts w:ascii="Times New Roman" w:eastAsia="Times New Roman" w:hAnsi="Times New Roman" w:cs="Times New Roman"/>
          <w:sz w:val="24"/>
          <w:szCs w:val="24"/>
        </w:rPr>
      </w:pPr>
    </w:p>
    <w:p w14:paraId="1B7EEB16" w14:textId="6F0D6BCD" w:rsidR="00A5115D" w:rsidRDefault="00A5115D" w:rsidP="008E39ED">
      <w:pPr>
        <w:spacing w:before="100" w:beforeAutospacing="1" w:after="100" w:afterAutospacing="1" w:line="240" w:lineRule="auto"/>
        <w:rPr>
          <w:rFonts w:ascii="Times New Roman" w:eastAsia="Times New Roman" w:hAnsi="Times New Roman" w:cs="Times New Roman"/>
          <w:sz w:val="24"/>
          <w:szCs w:val="24"/>
        </w:rPr>
      </w:pPr>
    </w:p>
    <w:p w14:paraId="70ED9C3E" w14:textId="668FF1A1" w:rsidR="00A5115D" w:rsidRDefault="00A5115D" w:rsidP="008E39ED">
      <w:pPr>
        <w:spacing w:before="100" w:beforeAutospacing="1" w:after="100" w:afterAutospacing="1" w:line="240" w:lineRule="auto"/>
        <w:rPr>
          <w:rFonts w:ascii="Times New Roman" w:eastAsia="Times New Roman" w:hAnsi="Times New Roman" w:cs="Times New Roman"/>
          <w:sz w:val="24"/>
          <w:szCs w:val="24"/>
        </w:rPr>
      </w:pPr>
    </w:p>
    <w:p w14:paraId="3B35981D" w14:textId="12195639" w:rsidR="00A5115D" w:rsidRDefault="00A5115D" w:rsidP="008E39ED">
      <w:pPr>
        <w:spacing w:before="100" w:beforeAutospacing="1" w:after="100" w:afterAutospacing="1" w:line="240" w:lineRule="auto"/>
        <w:rPr>
          <w:rFonts w:ascii="Times New Roman" w:eastAsia="Times New Roman" w:hAnsi="Times New Roman" w:cs="Times New Roman"/>
          <w:sz w:val="24"/>
          <w:szCs w:val="24"/>
        </w:rPr>
      </w:pPr>
    </w:p>
    <w:p w14:paraId="710D7955" w14:textId="2CF4ADA9" w:rsidR="00A5115D" w:rsidRDefault="00A5115D" w:rsidP="008E39ED">
      <w:pPr>
        <w:spacing w:before="100" w:beforeAutospacing="1" w:after="100" w:afterAutospacing="1" w:line="240" w:lineRule="auto"/>
        <w:rPr>
          <w:rFonts w:ascii="Times New Roman" w:eastAsia="Times New Roman" w:hAnsi="Times New Roman" w:cs="Times New Roman"/>
          <w:sz w:val="24"/>
          <w:szCs w:val="24"/>
        </w:rPr>
      </w:pPr>
    </w:p>
    <w:p w14:paraId="41B708EE" w14:textId="25DE78D1" w:rsidR="00A5115D" w:rsidRDefault="00A5115D" w:rsidP="008E39ED">
      <w:pPr>
        <w:spacing w:before="100" w:beforeAutospacing="1" w:after="100" w:afterAutospacing="1" w:line="240" w:lineRule="auto"/>
        <w:rPr>
          <w:rFonts w:ascii="Times New Roman" w:eastAsia="Times New Roman" w:hAnsi="Times New Roman" w:cs="Times New Roman"/>
          <w:sz w:val="24"/>
          <w:szCs w:val="24"/>
        </w:rPr>
      </w:pPr>
    </w:p>
    <w:p w14:paraId="62CDA20C" w14:textId="77777777" w:rsidR="00A5115D" w:rsidRPr="008E39ED" w:rsidRDefault="00A5115D" w:rsidP="008E39ED">
      <w:pPr>
        <w:spacing w:before="100" w:beforeAutospacing="1" w:after="100" w:afterAutospacing="1" w:line="240" w:lineRule="auto"/>
        <w:rPr>
          <w:rFonts w:ascii="Times New Roman" w:eastAsia="Times New Roman" w:hAnsi="Times New Roman" w:cs="Times New Roman"/>
          <w:sz w:val="24"/>
          <w:szCs w:val="24"/>
        </w:rPr>
      </w:pPr>
    </w:p>
    <w:p w14:paraId="291E2F4B"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8E39ED">
        <w:rPr>
          <w:rFonts w:ascii="Times New Roman" w:eastAsia="Times New Roman" w:hAnsi="Times New Roman" w:cs="Times New Roman"/>
          <w:b/>
          <w:bCs/>
          <w:color w:val="FF0000"/>
          <w:kern w:val="36"/>
          <w:sz w:val="48"/>
          <w:szCs w:val="48"/>
        </w:rPr>
        <w:lastRenderedPageBreak/>
        <w:t>8. IV Percentile</w:t>
      </w:r>
    </w:p>
    <w:p w14:paraId="060927B1"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Module:</w:t>
      </w:r>
      <w:r w:rsidRPr="008E39ED">
        <w:rPr>
          <w:rFonts w:ascii="Times New Roman" w:eastAsia="Times New Roman" w:hAnsi="Times New Roman" w:cs="Times New Roman"/>
          <w:sz w:val="24"/>
          <w:szCs w:val="24"/>
        </w:rPr>
        <w:t xml:space="preserve"> Options</w:t>
      </w:r>
      <w:r w:rsidRPr="008E39ED">
        <w:rPr>
          <w:rFonts w:ascii="Times New Roman" w:eastAsia="Times New Roman" w:hAnsi="Times New Roman" w:cs="Times New Roman"/>
          <w:sz w:val="24"/>
          <w:szCs w:val="24"/>
        </w:rPr>
        <w:br/>
      </w:r>
      <w:r w:rsidRPr="008E39ED">
        <w:rPr>
          <w:rFonts w:ascii="Times New Roman" w:eastAsia="Times New Roman" w:hAnsi="Times New Roman" w:cs="Times New Roman"/>
          <w:b/>
          <w:bCs/>
          <w:sz w:val="24"/>
          <w:szCs w:val="24"/>
        </w:rPr>
        <w:t>Category:</w:t>
      </w:r>
      <w:r w:rsidRPr="008E39ED">
        <w:rPr>
          <w:rFonts w:ascii="Times New Roman" w:eastAsia="Times New Roman" w:hAnsi="Times New Roman" w:cs="Times New Roman"/>
          <w:sz w:val="24"/>
          <w:szCs w:val="24"/>
        </w:rPr>
        <w:t xml:space="preserve"> Implied Volatility</w:t>
      </w:r>
      <w:r w:rsidRPr="008E39ED">
        <w:rPr>
          <w:rFonts w:ascii="Times New Roman" w:eastAsia="Times New Roman" w:hAnsi="Times New Roman" w:cs="Times New Roman"/>
          <w:sz w:val="24"/>
          <w:szCs w:val="24"/>
        </w:rPr>
        <w:br/>
      </w:r>
      <w:r w:rsidRPr="008E39ED">
        <w:rPr>
          <w:rFonts w:ascii="Times New Roman" w:eastAsia="Times New Roman" w:hAnsi="Times New Roman" w:cs="Times New Roman"/>
          <w:b/>
          <w:bCs/>
          <w:sz w:val="24"/>
          <w:szCs w:val="24"/>
        </w:rPr>
        <w:t>Status:</w:t>
      </w:r>
      <w:r w:rsidRPr="008E39ED">
        <w:rPr>
          <w:rFonts w:ascii="Times New Roman" w:eastAsia="Times New Roman" w:hAnsi="Times New Roman" w:cs="Times New Roman"/>
          <w:sz w:val="24"/>
          <w:szCs w:val="24"/>
        </w:rPr>
        <w:t xml:space="preserve"> Production Ready</w:t>
      </w:r>
    </w:p>
    <w:p w14:paraId="284463CE" w14:textId="77777777" w:rsidR="008E39ED" w:rsidRPr="008E39ED" w:rsidRDefault="008E39ED" w:rsidP="008E39ED">
      <w:pPr>
        <w:spacing w:before="100" w:beforeAutospacing="1" w:after="100" w:afterAutospacing="1" w:line="240" w:lineRule="auto"/>
        <w:outlineLvl w:val="1"/>
        <w:rPr>
          <w:rFonts w:ascii="Times New Roman" w:eastAsia="Times New Roman" w:hAnsi="Times New Roman" w:cs="Times New Roman"/>
          <w:b/>
          <w:bCs/>
          <w:sz w:val="36"/>
          <w:szCs w:val="36"/>
        </w:rPr>
      </w:pPr>
      <w:r w:rsidRPr="008E39ED">
        <w:rPr>
          <w:rFonts w:ascii="Times New Roman" w:eastAsia="Times New Roman" w:hAnsi="Times New Roman" w:cs="Times New Roman"/>
          <w:b/>
          <w:bCs/>
          <w:sz w:val="36"/>
          <w:szCs w:val="36"/>
        </w:rPr>
        <w:t>1. Overview</w:t>
      </w:r>
    </w:p>
    <w:p w14:paraId="62B599A5"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Name:</w:t>
      </w:r>
      <w:r w:rsidRPr="008E39ED">
        <w:rPr>
          <w:rFonts w:ascii="Times New Roman" w:eastAsia="Times New Roman" w:hAnsi="Times New Roman" w:cs="Times New Roman"/>
          <w:sz w:val="24"/>
          <w:szCs w:val="24"/>
        </w:rPr>
        <w:t xml:space="preserve"> IV Percentile</w:t>
      </w:r>
    </w:p>
    <w:p w14:paraId="6BD4378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Short Name:</w:t>
      </w:r>
      <w:r w:rsidRPr="008E39ED">
        <w:rPr>
          <w:rFonts w:ascii="Times New Roman" w:eastAsia="Times New Roman" w:hAnsi="Times New Roman" w:cs="Times New Roman"/>
          <w:sz w:val="24"/>
          <w:szCs w:val="24"/>
        </w:rPr>
        <w:t xml:space="preserve"> IV Percentile</w:t>
      </w:r>
    </w:p>
    <w:p w14:paraId="476398D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Module:</w:t>
      </w:r>
      <w:r w:rsidRPr="008E39ED">
        <w:rPr>
          <w:rFonts w:ascii="Times New Roman" w:eastAsia="Times New Roman" w:hAnsi="Times New Roman" w:cs="Times New Roman"/>
          <w:sz w:val="24"/>
          <w:szCs w:val="24"/>
        </w:rPr>
        <w:t xml:space="preserve"> Options</w:t>
      </w:r>
    </w:p>
    <w:p w14:paraId="52EBB671"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Category:</w:t>
      </w:r>
      <w:r w:rsidRPr="008E39ED">
        <w:rPr>
          <w:rFonts w:ascii="Times New Roman" w:eastAsia="Times New Roman" w:hAnsi="Times New Roman" w:cs="Times New Roman"/>
          <w:sz w:val="24"/>
          <w:szCs w:val="24"/>
        </w:rPr>
        <w:t xml:space="preserve"> Implied Volatility</w:t>
      </w:r>
    </w:p>
    <w:p w14:paraId="37C2DF5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Purpose:</w:t>
      </w:r>
    </w:p>
    <w:p w14:paraId="49FE379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Measures the percentage of trading days during the historical lookback period where Implied Volatility was lower than the current IV. It helps determine how frequently the current volatility level has occurred in the past.</w:t>
      </w:r>
    </w:p>
    <w:p w14:paraId="38A662E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Based On:</w:t>
      </w:r>
    </w:p>
    <w:p w14:paraId="622E3992"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Current ATM IV and Historical IV Data</w:t>
      </w:r>
    </w:p>
    <w:p w14:paraId="22639292"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Importance:</w:t>
      </w:r>
    </w:p>
    <w:p w14:paraId="60FAC088"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Segoe UI Emoji" w:eastAsia="Times New Roman" w:hAnsi="Segoe UI Emoji" w:cs="Segoe UI Emoji"/>
          <w:sz w:val="24"/>
          <w:szCs w:val="24"/>
        </w:rPr>
        <w:t>⭐⭐⭐⭐</w:t>
      </w:r>
      <w:r w:rsidRPr="008E39ED">
        <w:rPr>
          <w:rFonts w:ascii="Segoe UI Symbol" w:eastAsia="Times New Roman" w:hAnsi="Segoe UI Symbol" w:cs="Segoe UI Symbol"/>
          <w:sz w:val="24"/>
          <w:szCs w:val="24"/>
        </w:rPr>
        <w:t>☆</w:t>
      </w:r>
      <w:r w:rsidRPr="008E39ED">
        <w:rPr>
          <w:rFonts w:ascii="Times New Roman" w:eastAsia="Times New Roman" w:hAnsi="Times New Roman" w:cs="Times New Roman"/>
          <w:sz w:val="24"/>
          <w:szCs w:val="24"/>
        </w:rPr>
        <w:t xml:space="preserve"> (Core Volatility Indicator)</w:t>
      </w:r>
    </w:p>
    <w:p w14:paraId="0EB904E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Auto / Manual:</w:t>
      </w:r>
    </w:p>
    <w:p w14:paraId="6AFE40E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Auto</w:t>
      </w:r>
    </w:p>
    <w:p w14:paraId="370BB03C"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Update Frequency:</w:t>
      </w:r>
    </w:p>
    <w:p w14:paraId="5674C62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Every Option Chain Refresh (Market Hours)</w:t>
      </w:r>
    </w:p>
    <w:p w14:paraId="58E20C7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Praxis Note:</w:t>
      </w:r>
    </w:p>
    <w:p w14:paraId="73055D0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Unlike IV Rank, which compares the current IV to the historical range, IV Percentile measures how often the current IV has been exceeded historically. Both indicators should be used together for a complete volatility assessment.</w:t>
      </w:r>
    </w:p>
    <w:p w14:paraId="2FCF35BB"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410208A5">
          <v:rect id="_x0000_i1249" style="width:0;height:1.5pt" o:hralign="center" o:hrstd="t" o:hr="t" fillcolor="#a0a0a0" stroked="f"/>
        </w:pict>
      </w:r>
    </w:p>
    <w:p w14:paraId="3B4D0C65"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lastRenderedPageBreak/>
        <w:t>2. Data Requirements</w:t>
      </w:r>
    </w:p>
    <w:p w14:paraId="15E140C8"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Required Data</w:t>
      </w:r>
    </w:p>
    <w:p w14:paraId="7D7EF412" w14:textId="77777777" w:rsidR="008E39ED" w:rsidRPr="008E39ED" w:rsidRDefault="008E39ED" w:rsidP="008E39ED">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Current ATM IV </w:t>
      </w:r>
    </w:p>
    <w:p w14:paraId="0A665852" w14:textId="77777777" w:rsidR="008E39ED" w:rsidRPr="008E39ED" w:rsidRDefault="008E39ED" w:rsidP="008E39ED">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Historical Daily ATM IV </w:t>
      </w:r>
    </w:p>
    <w:p w14:paraId="1356E5FC"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Minimum Historical Data</w:t>
      </w:r>
    </w:p>
    <w:p w14:paraId="07C19DC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252 Trading Days</w:t>
      </w:r>
    </w:p>
    <w:p w14:paraId="29CDF192"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Recommended</w:t>
      </w:r>
    </w:p>
    <w:p w14:paraId="5CB93C9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1 Year</w:t>
      </w:r>
    </w:p>
    <w:p w14:paraId="495547F0"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Primary Source</w:t>
      </w:r>
    </w:p>
    <w:p w14:paraId="67B5A40B" w14:textId="77777777" w:rsidR="008E39ED" w:rsidRPr="008E39ED" w:rsidRDefault="008E39ED" w:rsidP="008E39ED">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NSE Option Chain </w:t>
      </w:r>
    </w:p>
    <w:p w14:paraId="3E631C61" w14:textId="77777777" w:rsidR="008E39ED" w:rsidRPr="008E39ED" w:rsidRDefault="008E39ED" w:rsidP="008E39ED">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Upstox API </w:t>
      </w:r>
    </w:p>
    <w:p w14:paraId="7B447BAB"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06128AB2">
          <v:rect id="_x0000_i1250" style="width:0;height:1.5pt" o:hralign="center" o:hrstd="t" o:hr="t" fillcolor="#a0a0a0" stroked="f"/>
        </w:pict>
      </w:r>
    </w:p>
    <w:p w14:paraId="0D494570"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3. Industry Standard Calculation</w:t>
      </w:r>
    </w:p>
    <w:p w14:paraId="4EF985F8"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Formula</w:t>
      </w:r>
    </w:p>
    <w:p w14:paraId="55956258" w14:textId="77777777" w:rsidR="008E39ED" w:rsidRPr="008E39ED" w:rsidRDefault="008E39ED" w:rsidP="008E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39ED">
        <w:rPr>
          <w:rFonts w:ascii="Courier New" w:eastAsia="Times New Roman" w:hAnsi="Courier New" w:cs="Courier New"/>
          <w:sz w:val="20"/>
          <w:szCs w:val="20"/>
        </w:rPr>
        <w:t>IV Percentile (%) =</w:t>
      </w:r>
    </w:p>
    <w:p w14:paraId="5EEAAF58" w14:textId="77777777" w:rsidR="008E39ED" w:rsidRPr="008E39ED" w:rsidRDefault="008E39ED" w:rsidP="008E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C55B9F4" w14:textId="77777777" w:rsidR="008E39ED" w:rsidRPr="008E39ED" w:rsidRDefault="008E39ED" w:rsidP="008E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39ED">
        <w:rPr>
          <w:rFonts w:ascii="Courier New" w:eastAsia="Times New Roman" w:hAnsi="Courier New" w:cs="Courier New"/>
          <w:sz w:val="20"/>
          <w:szCs w:val="20"/>
        </w:rPr>
        <w:t>(Number of Days Historical IV &lt; Current IV</w:t>
      </w:r>
    </w:p>
    <w:p w14:paraId="2FCBB091" w14:textId="77777777" w:rsidR="008E39ED" w:rsidRPr="008E39ED" w:rsidRDefault="008E39ED" w:rsidP="008E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4165F2" w14:textId="77777777" w:rsidR="008E39ED" w:rsidRPr="008E39ED" w:rsidRDefault="008E39ED" w:rsidP="008E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39ED">
        <w:rPr>
          <w:rFonts w:ascii="Courier New" w:eastAsia="Times New Roman" w:hAnsi="Courier New" w:cs="Courier New"/>
          <w:sz w:val="20"/>
          <w:szCs w:val="20"/>
        </w:rPr>
        <w:t>÷</w:t>
      </w:r>
    </w:p>
    <w:p w14:paraId="4BF0C264" w14:textId="77777777" w:rsidR="008E39ED" w:rsidRPr="008E39ED" w:rsidRDefault="008E39ED" w:rsidP="008E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5E491F" w14:textId="77777777" w:rsidR="008E39ED" w:rsidRPr="008E39ED" w:rsidRDefault="008E39ED" w:rsidP="008E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39ED">
        <w:rPr>
          <w:rFonts w:ascii="Courier New" w:eastAsia="Times New Roman" w:hAnsi="Courier New" w:cs="Courier New"/>
          <w:sz w:val="20"/>
          <w:szCs w:val="20"/>
        </w:rPr>
        <w:t>Total Historical Trading Days)</w:t>
      </w:r>
    </w:p>
    <w:p w14:paraId="32281F73" w14:textId="77777777" w:rsidR="008E39ED" w:rsidRPr="008E39ED" w:rsidRDefault="008E39ED" w:rsidP="008E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4B5BEA" w14:textId="77777777" w:rsidR="008E39ED" w:rsidRPr="008E39ED" w:rsidRDefault="008E39ED" w:rsidP="008E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39ED">
        <w:rPr>
          <w:rFonts w:ascii="Courier New" w:eastAsia="Times New Roman" w:hAnsi="Courier New" w:cs="Courier New"/>
          <w:sz w:val="20"/>
          <w:szCs w:val="20"/>
        </w:rPr>
        <w:t>× 100</w:t>
      </w:r>
    </w:p>
    <w:p w14:paraId="0E11F162"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Implementation Steps</w:t>
      </w:r>
    </w:p>
    <w:p w14:paraId="6165FA1E" w14:textId="77777777" w:rsidR="008E39ED" w:rsidRPr="008E39ED" w:rsidRDefault="008E39ED" w:rsidP="008E39ED">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Retrieve Current ATM IV. </w:t>
      </w:r>
    </w:p>
    <w:p w14:paraId="20392F9C" w14:textId="77777777" w:rsidR="008E39ED" w:rsidRPr="008E39ED" w:rsidRDefault="008E39ED" w:rsidP="008E39ED">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Retrieve historical ATM IV values. </w:t>
      </w:r>
    </w:p>
    <w:p w14:paraId="4CE43DED" w14:textId="77777777" w:rsidR="008E39ED" w:rsidRPr="008E39ED" w:rsidRDefault="008E39ED" w:rsidP="008E39ED">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Count the number of days with IV lower than the current IV. </w:t>
      </w:r>
    </w:p>
    <w:p w14:paraId="6B288729" w14:textId="77777777" w:rsidR="008E39ED" w:rsidRPr="008E39ED" w:rsidRDefault="008E39ED" w:rsidP="008E39ED">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Calculate IV Percentile. </w:t>
      </w:r>
    </w:p>
    <w:p w14:paraId="0CD6167A" w14:textId="77777777" w:rsidR="008E39ED" w:rsidRPr="008E39ED" w:rsidRDefault="008E39ED" w:rsidP="008E39ED">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Generate the Options Score. </w:t>
      </w:r>
    </w:p>
    <w:p w14:paraId="0C28ED10"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Notes</w:t>
      </w:r>
    </w:p>
    <w:p w14:paraId="191B2EC5" w14:textId="77777777" w:rsidR="008E39ED" w:rsidRPr="008E39ED" w:rsidRDefault="008E39ED" w:rsidP="008E39ED">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lastRenderedPageBreak/>
        <w:t xml:space="preserve">Default lookback period: </w:t>
      </w:r>
      <w:r w:rsidRPr="008E39ED">
        <w:rPr>
          <w:rFonts w:ascii="Times New Roman" w:eastAsia="Times New Roman" w:hAnsi="Times New Roman" w:cs="Times New Roman"/>
          <w:b/>
          <w:bCs/>
          <w:sz w:val="24"/>
          <w:szCs w:val="24"/>
        </w:rPr>
        <w:t>252 trading days</w:t>
      </w:r>
      <w:r w:rsidRPr="008E39ED">
        <w:rPr>
          <w:rFonts w:ascii="Times New Roman" w:eastAsia="Times New Roman" w:hAnsi="Times New Roman" w:cs="Times New Roman"/>
          <w:sz w:val="24"/>
          <w:szCs w:val="24"/>
        </w:rPr>
        <w:t xml:space="preserve">. </w:t>
      </w:r>
    </w:p>
    <w:p w14:paraId="42DDF8A2" w14:textId="77777777" w:rsidR="008E39ED" w:rsidRPr="008E39ED" w:rsidRDefault="008E39ED" w:rsidP="008E39ED">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Clamp values between </w:t>
      </w:r>
      <w:r w:rsidRPr="008E39ED">
        <w:rPr>
          <w:rFonts w:ascii="Times New Roman" w:eastAsia="Times New Roman" w:hAnsi="Times New Roman" w:cs="Times New Roman"/>
          <w:b/>
          <w:bCs/>
          <w:sz w:val="24"/>
          <w:szCs w:val="24"/>
        </w:rPr>
        <w:t>0 and 100</w:t>
      </w:r>
      <w:r w:rsidRPr="008E39ED">
        <w:rPr>
          <w:rFonts w:ascii="Times New Roman" w:eastAsia="Times New Roman" w:hAnsi="Times New Roman" w:cs="Times New Roman"/>
          <w:sz w:val="24"/>
          <w:szCs w:val="24"/>
        </w:rPr>
        <w:t xml:space="preserve">. </w:t>
      </w:r>
    </w:p>
    <w:p w14:paraId="58983A1D" w14:textId="77777777" w:rsidR="008E39ED" w:rsidRPr="008E39ED" w:rsidRDefault="008E39ED" w:rsidP="008E39ED">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Exclude invalid or missing historical data. </w:t>
      </w:r>
    </w:p>
    <w:p w14:paraId="62FA4D83"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105F7F98">
          <v:rect id="_x0000_i1251" style="width:0;height:1.5pt" o:hralign="center" o:hrstd="t" o:hr="t" fillcolor="#a0a0a0" stroked="f"/>
        </w:pict>
      </w:r>
    </w:p>
    <w:p w14:paraId="377C98C5"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4. Card Fields</w:t>
      </w:r>
    </w:p>
    <w:p w14:paraId="41FD92E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Current Value</w:t>
      </w:r>
    </w:p>
    <w:p w14:paraId="37F9CA3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IV Percentile (%)</w:t>
      </w:r>
    </w:p>
    <w:p w14:paraId="04CF6418"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Current ATM IV</w:t>
      </w:r>
    </w:p>
    <w:p w14:paraId="233FA478"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Current ATM IV</w:t>
      </w:r>
    </w:p>
    <w:p w14:paraId="5B95487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Lookback Period</w:t>
      </w:r>
    </w:p>
    <w:p w14:paraId="0909D1E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252 Trading Days</w:t>
      </w:r>
    </w:p>
    <w:p w14:paraId="58C64822"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Score</w:t>
      </w:r>
    </w:p>
    <w:p w14:paraId="49CA298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0–100</w:t>
      </w:r>
    </w:p>
    <w:p w14:paraId="6BA8E0F5"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Bias</w:t>
      </w:r>
    </w:p>
    <w:p w14:paraId="48CB15EF" w14:textId="77777777" w:rsidR="008E39ED" w:rsidRPr="008E39ED" w:rsidRDefault="008E39ED" w:rsidP="008E39ED">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Bullish </w:t>
      </w:r>
    </w:p>
    <w:p w14:paraId="32154046" w14:textId="77777777" w:rsidR="008E39ED" w:rsidRPr="008E39ED" w:rsidRDefault="008E39ED" w:rsidP="008E39ED">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Neutral </w:t>
      </w:r>
    </w:p>
    <w:p w14:paraId="744F9E16" w14:textId="77777777" w:rsidR="008E39ED" w:rsidRPr="008E39ED" w:rsidRDefault="008E39ED" w:rsidP="008E39ED">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Bearish </w:t>
      </w:r>
    </w:p>
    <w:p w14:paraId="2D7097F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Confidence</w:t>
      </w:r>
    </w:p>
    <w:p w14:paraId="5382E72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Volatility Confidence</w:t>
      </w:r>
    </w:p>
    <w:p w14:paraId="5FEB7A45"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Impact Weight</w:t>
      </w:r>
    </w:p>
    <w:p w14:paraId="67BE897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Medium</w:t>
      </w:r>
    </w:p>
    <w:p w14:paraId="13ADC493"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3AAEB526">
          <v:rect id="_x0000_i1252" style="width:0;height:1.5pt" o:hralign="center" o:hrstd="t" o:hr="t" fillcolor="#a0a0a0" stroked="f"/>
        </w:pict>
      </w:r>
    </w:p>
    <w:p w14:paraId="0C5B0369"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634"/>
        <w:gridCol w:w="1056"/>
      </w:tblGrid>
      <w:tr w:rsidR="008E39ED" w:rsidRPr="008E39ED" w14:paraId="49745E7E" w14:textId="77777777" w:rsidTr="008E39ED">
        <w:trPr>
          <w:tblHeader/>
          <w:tblCellSpacing w:w="15" w:type="dxa"/>
        </w:trPr>
        <w:tc>
          <w:tcPr>
            <w:tcW w:w="0" w:type="auto"/>
            <w:vAlign w:val="center"/>
            <w:hideMark/>
          </w:tcPr>
          <w:p w14:paraId="1A9E9BFA" w14:textId="77777777" w:rsidR="008E39ED" w:rsidRPr="008E39ED" w:rsidRDefault="008E39ED" w:rsidP="008E39ED">
            <w:pPr>
              <w:spacing w:after="0" w:line="240" w:lineRule="auto"/>
              <w:jc w:val="center"/>
              <w:rPr>
                <w:rFonts w:ascii="Times New Roman" w:eastAsia="Times New Roman" w:hAnsi="Times New Roman" w:cs="Times New Roman"/>
                <w:b/>
                <w:bCs/>
                <w:sz w:val="24"/>
                <w:szCs w:val="24"/>
              </w:rPr>
            </w:pPr>
            <w:r w:rsidRPr="008E39ED">
              <w:rPr>
                <w:rFonts w:ascii="Times New Roman" w:eastAsia="Times New Roman" w:hAnsi="Times New Roman" w:cs="Times New Roman"/>
                <w:b/>
                <w:bCs/>
                <w:sz w:val="24"/>
                <w:szCs w:val="24"/>
              </w:rPr>
              <w:t>IV Percentile</w:t>
            </w:r>
          </w:p>
        </w:tc>
        <w:tc>
          <w:tcPr>
            <w:tcW w:w="0" w:type="auto"/>
            <w:vAlign w:val="center"/>
            <w:hideMark/>
          </w:tcPr>
          <w:p w14:paraId="51D28E93" w14:textId="77777777" w:rsidR="008E39ED" w:rsidRPr="008E39ED" w:rsidRDefault="008E39ED" w:rsidP="008E39ED">
            <w:pPr>
              <w:spacing w:after="0" w:line="240" w:lineRule="auto"/>
              <w:jc w:val="center"/>
              <w:rPr>
                <w:rFonts w:ascii="Times New Roman" w:eastAsia="Times New Roman" w:hAnsi="Times New Roman" w:cs="Times New Roman"/>
                <w:b/>
                <w:bCs/>
                <w:sz w:val="24"/>
                <w:szCs w:val="24"/>
              </w:rPr>
            </w:pPr>
            <w:r w:rsidRPr="008E39ED">
              <w:rPr>
                <w:rFonts w:ascii="Times New Roman" w:eastAsia="Times New Roman" w:hAnsi="Times New Roman" w:cs="Times New Roman"/>
                <w:b/>
                <w:bCs/>
                <w:sz w:val="24"/>
                <w:szCs w:val="24"/>
              </w:rPr>
              <w:t>Score</w:t>
            </w:r>
          </w:p>
        </w:tc>
        <w:tc>
          <w:tcPr>
            <w:tcW w:w="0" w:type="auto"/>
            <w:vAlign w:val="center"/>
            <w:hideMark/>
          </w:tcPr>
          <w:p w14:paraId="15B4858E" w14:textId="77777777" w:rsidR="008E39ED" w:rsidRPr="008E39ED" w:rsidRDefault="008E39ED" w:rsidP="008E39ED">
            <w:pPr>
              <w:spacing w:after="0" w:line="240" w:lineRule="auto"/>
              <w:jc w:val="center"/>
              <w:rPr>
                <w:rFonts w:ascii="Times New Roman" w:eastAsia="Times New Roman" w:hAnsi="Times New Roman" w:cs="Times New Roman"/>
                <w:b/>
                <w:bCs/>
                <w:sz w:val="24"/>
                <w:szCs w:val="24"/>
              </w:rPr>
            </w:pPr>
            <w:r w:rsidRPr="008E39ED">
              <w:rPr>
                <w:rFonts w:ascii="Times New Roman" w:eastAsia="Times New Roman" w:hAnsi="Times New Roman" w:cs="Times New Roman"/>
                <w:b/>
                <w:bCs/>
                <w:sz w:val="24"/>
                <w:szCs w:val="24"/>
              </w:rPr>
              <w:t>Bias</w:t>
            </w:r>
          </w:p>
        </w:tc>
      </w:tr>
      <w:tr w:rsidR="008E39ED" w:rsidRPr="008E39ED" w14:paraId="4B6FCC88" w14:textId="77777777" w:rsidTr="008E39ED">
        <w:trPr>
          <w:tblCellSpacing w:w="15" w:type="dxa"/>
        </w:trPr>
        <w:tc>
          <w:tcPr>
            <w:tcW w:w="0" w:type="auto"/>
            <w:vAlign w:val="center"/>
            <w:hideMark/>
          </w:tcPr>
          <w:p w14:paraId="1059F3AC"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0–20</w:t>
            </w:r>
          </w:p>
        </w:tc>
        <w:tc>
          <w:tcPr>
            <w:tcW w:w="0" w:type="auto"/>
            <w:vAlign w:val="center"/>
            <w:hideMark/>
          </w:tcPr>
          <w:p w14:paraId="65E5D68A"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90</w:t>
            </w:r>
          </w:p>
        </w:tc>
        <w:tc>
          <w:tcPr>
            <w:tcW w:w="0" w:type="auto"/>
            <w:vAlign w:val="center"/>
            <w:hideMark/>
          </w:tcPr>
          <w:p w14:paraId="3D6449CB"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Bullish</w:t>
            </w:r>
          </w:p>
        </w:tc>
      </w:tr>
      <w:tr w:rsidR="008E39ED" w:rsidRPr="008E39ED" w14:paraId="0B30ECC2" w14:textId="77777777" w:rsidTr="008E39ED">
        <w:trPr>
          <w:tblCellSpacing w:w="15" w:type="dxa"/>
        </w:trPr>
        <w:tc>
          <w:tcPr>
            <w:tcW w:w="0" w:type="auto"/>
            <w:vAlign w:val="center"/>
            <w:hideMark/>
          </w:tcPr>
          <w:p w14:paraId="1B066ACE"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lastRenderedPageBreak/>
              <w:t>20–50</w:t>
            </w:r>
          </w:p>
        </w:tc>
        <w:tc>
          <w:tcPr>
            <w:tcW w:w="0" w:type="auto"/>
            <w:vAlign w:val="center"/>
            <w:hideMark/>
          </w:tcPr>
          <w:p w14:paraId="603C1BCE"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75</w:t>
            </w:r>
          </w:p>
        </w:tc>
        <w:tc>
          <w:tcPr>
            <w:tcW w:w="0" w:type="auto"/>
            <w:vAlign w:val="center"/>
            <w:hideMark/>
          </w:tcPr>
          <w:p w14:paraId="7D0385CC"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Neutral</w:t>
            </w:r>
          </w:p>
        </w:tc>
      </w:tr>
      <w:tr w:rsidR="008E39ED" w:rsidRPr="008E39ED" w14:paraId="472963B5" w14:textId="77777777" w:rsidTr="008E39ED">
        <w:trPr>
          <w:tblCellSpacing w:w="15" w:type="dxa"/>
        </w:trPr>
        <w:tc>
          <w:tcPr>
            <w:tcW w:w="0" w:type="auto"/>
            <w:vAlign w:val="center"/>
            <w:hideMark/>
          </w:tcPr>
          <w:p w14:paraId="6EF77583"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50–80</w:t>
            </w:r>
          </w:p>
        </w:tc>
        <w:tc>
          <w:tcPr>
            <w:tcW w:w="0" w:type="auto"/>
            <w:vAlign w:val="center"/>
            <w:hideMark/>
          </w:tcPr>
          <w:p w14:paraId="266414C8"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50</w:t>
            </w:r>
          </w:p>
        </w:tc>
        <w:tc>
          <w:tcPr>
            <w:tcW w:w="0" w:type="auto"/>
            <w:vAlign w:val="center"/>
            <w:hideMark/>
          </w:tcPr>
          <w:p w14:paraId="687E0F9A"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Cautious</w:t>
            </w:r>
          </w:p>
        </w:tc>
      </w:tr>
      <w:tr w:rsidR="008E39ED" w:rsidRPr="008E39ED" w14:paraId="372E0130" w14:textId="77777777" w:rsidTr="008E39ED">
        <w:trPr>
          <w:tblCellSpacing w:w="15" w:type="dxa"/>
        </w:trPr>
        <w:tc>
          <w:tcPr>
            <w:tcW w:w="0" w:type="auto"/>
            <w:vAlign w:val="center"/>
            <w:hideMark/>
          </w:tcPr>
          <w:p w14:paraId="19E2EBA6"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80–100</w:t>
            </w:r>
          </w:p>
        </w:tc>
        <w:tc>
          <w:tcPr>
            <w:tcW w:w="0" w:type="auto"/>
            <w:vAlign w:val="center"/>
            <w:hideMark/>
          </w:tcPr>
          <w:p w14:paraId="3177116D"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20</w:t>
            </w:r>
          </w:p>
        </w:tc>
        <w:tc>
          <w:tcPr>
            <w:tcW w:w="0" w:type="auto"/>
            <w:vAlign w:val="center"/>
            <w:hideMark/>
          </w:tcPr>
          <w:p w14:paraId="3FE45F6F"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High Risk</w:t>
            </w:r>
          </w:p>
        </w:tc>
      </w:tr>
    </w:tbl>
    <w:p w14:paraId="7AF05C6F"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Notes</w:t>
      </w:r>
    </w:p>
    <w:p w14:paraId="721711E5" w14:textId="77777777" w:rsidR="008E39ED" w:rsidRPr="008E39ED" w:rsidRDefault="008E39ED" w:rsidP="008E39ED">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Low IV Percentile generally indicates relatively inexpensive option premiums. </w:t>
      </w:r>
    </w:p>
    <w:p w14:paraId="7A167CE4" w14:textId="77777777" w:rsidR="008E39ED" w:rsidRPr="008E39ED" w:rsidRDefault="008E39ED" w:rsidP="008E39ED">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High IV Percentile indicates relatively expensive option premiums. </w:t>
      </w:r>
    </w:p>
    <w:p w14:paraId="4BC23D06" w14:textId="77777777" w:rsidR="008E39ED" w:rsidRPr="008E39ED" w:rsidRDefault="008E39ED" w:rsidP="008E39ED">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Always confirm with ATM IV and IV Rank. </w:t>
      </w:r>
    </w:p>
    <w:p w14:paraId="75ABF54E"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5B683EDB">
          <v:rect id="_x0000_i1253" style="width:0;height:1.5pt" o:hralign="center" o:hrstd="t" o:hr="t" fillcolor="#a0a0a0" stroked="f"/>
        </w:pict>
      </w:r>
    </w:p>
    <w:p w14:paraId="60EEA147"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6. Bias Rules</w:t>
      </w:r>
    </w:p>
    <w:p w14:paraId="3DAE0905"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IV Percentile Below 20</w:t>
      </w:r>
    </w:p>
    <w:p w14:paraId="589CD1B1"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Bullish</w:t>
      </w:r>
    </w:p>
    <w:p w14:paraId="13255B1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IV Percentile Between 20–50</w:t>
      </w:r>
    </w:p>
    <w:p w14:paraId="1B23D7B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Neutral</w:t>
      </w:r>
    </w:p>
    <w:p w14:paraId="4916A1C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IV Percentile Between 50–80</w:t>
      </w:r>
    </w:p>
    <w:p w14:paraId="044A2306"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Cautious</w:t>
      </w:r>
    </w:p>
    <w:p w14:paraId="2B2E3FB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IV Percentile Above 80</w:t>
      </w:r>
    </w:p>
    <w:p w14:paraId="284F6BE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Bearish</w:t>
      </w:r>
    </w:p>
    <w:p w14:paraId="09EC6D7E"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49403F69">
          <v:rect id="_x0000_i1254" style="width:0;height:1.5pt" o:hralign="center" o:hrstd="t" o:hr="t" fillcolor="#a0a0a0" stroked="f"/>
        </w:pict>
      </w:r>
    </w:p>
    <w:p w14:paraId="4E31410E"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7. Confidence Logic</w:t>
      </w:r>
    </w:p>
    <w:p w14:paraId="52999E76"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Base Confidence</w:t>
      </w:r>
    </w:p>
    <w:p w14:paraId="6A60EFAE"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90%</w:t>
      </w:r>
    </w:p>
    <w:p w14:paraId="23D7C5BF"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Increase Confidence</w:t>
      </w:r>
    </w:p>
    <w:p w14:paraId="27C9FA91"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+5% Complete historical IV data</w:t>
      </w:r>
    </w:p>
    <w:p w14:paraId="0A9E5FC6"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lastRenderedPageBreak/>
        <w:t>+5% Stable IV trend</w:t>
      </w:r>
    </w:p>
    <w:p w14:paraId="78CCF34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+5% High option liquidity</w:t>
      </w:r>
    </w:p>
    <w:p w14:paraId="699D445A"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Decrease Confidence</w:t>
      </w:r>
    </w:p>
    <w:p w14:paraId="51542A01"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-10% Missing historical data</w:t>
      </w:r>
    </w:p>
    <w:p w14:paraId="24DC452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-5% Low option liquidity</w:t>
      </w:r>
    </w:p>
    <w:p w14:paraId="3154B185"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-5% Expiry-day volatility</w:t>
      </w:r>
    </w:p>
    <w:p w14:paraId="192B0D71"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Minimum</w:t>
      </w:r>
    </w:p>
    <w:p w14:paraId="23AF5E8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65%</w:t>
      </w:r>
    </w:p>
    <w:p w14:paraId="19CA168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Maximum</w:t>
      </w:r>
    </w:p>
    <w:p w14:paraId="78CFA07E"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99%</w:t>
      </w:r>
    </w:p>
    <w:p w14:paraId="504D0559"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40CD6F8B">
          <v:rect id="_x0000_i1255" style="width:0;height:1.5pt" o:hralign="center" o:hrstd="t" o:hr="t" fillcolor="#a0a0a0" stroked="f"/>
        </w:pict>
      </w:r>
    </w:p>
    <w:p w14:paraId="35D2FFAC"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8. Score Range Bar</w:t>
      </w:r>
    </w:p>
    <w:p w14:paraId="7AA7493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Minimum</w:t>
      </w:r>
    </w:p>
    <w:p w14:paraId="7EB1AE9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0</w:t>
      </w:r>
    </w:p>
    <w:p w14:paraId="01845D7C"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Maximum</w:t>
      </w:r>
    </w:p>
    <w:p w14:paraId="4E03042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100</w:t>
      </w:r>
    </w:p>
    <w:p w14:paraId="64C46A5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Pointer</w:t>
      </w:r>
    </w:p>
    <w:p w14:paraId="5E31A802"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Current Score</w:t>
      </w:r>
    </w:p>
    <w:p w14:paraId="32074B5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Average Marker</w:t>
      </w:r>
    </w:p>
    <w:p w14:paraId="5CE210A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252-Day Average Score</w:t>
      </w:r>
    </w:p>
    <w:p w14:paraId="67A6FFBC"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Color Zones</w:t>
      </w:r>
    </w:p>
    <w:p w14:paraId="0CADBA4C"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0–30 → Cheap Options</w:t>
      </w:r>
    </w:p>
    <w:p w14:paraId="7FD0B7C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30–60 → Fair Value</w:t>
      </w:r>
    </w:p>
    <w:p w14:paraId="0526E952"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lastRenderedPageBreak/>
        <w:t>60–80 → Expensive</w:t>
      </w:r>
    </w:p>
    <w:p w14:paraId="40D19FDE"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80–100 → Very Expensive</w:t>
      </w:r>
    </w:p>
    <w:p w14:paraId="44EEE083"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243CFD84">
          <v:rect id="_x0000_i1256" style="width:0;height:1.5pt" o:hralign="center" o:hrstd="t" o:hr="t" fillcolor="#a0a0a0" stroked="f"/>
        </w:pict>
      </w:r>
    </w:p>
    <w:p w14:paraId="1B27EBC4"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9. Dual Trend Chart</w:t>
      </w:r>
    </w:p>
    <w:p w14:paraId="658C807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Chart Type</w:t>
      </w:r>
    </w:p>
    <w:p w14:paraId="5A283868"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Dual Line</w:t>
      </w:r>
    </w:p>
    <w:p w14:paraId="5408C0F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Line 1</w:t>
      </w:r>
    </w:p>
    <w:p w14:paraId="6EDF1BF1"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IV Percentile</w:t>
      </w:r>
    </w:p>
    <w:p w14:paraId="003FDB7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Line 2</w:t>
      </w:r>
    </w:p>
    <w:p w14:paraId="2CD277A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Praxis Score</w:t>
      </w:r>
    </w:p>
    <w:p w14:paraId="214560A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History</w:t>
      </w:r>
    </w:p>
    <w:p w14:paraId="7D9A52E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252 Trading Days</w:t>
      </w:r>
    </w:p>
    <w:p w14:paraId="246BD03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Update</w:t>
      </w:r>
    </w:p>
    <w:p w14:paraId="571EEB4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Every option chain refresh.</w:t>
      </w:r>
    </w:p>
    <w:p w14:paraId="5835BA58"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52D67882">
          <v:rect id="_x0000_i1257" style="width:0;height:1.5pt" o:hralign="center" o:hrstd="t" o:hr="t" fillcolor="#a0a0a0" stroked="f"/>
        </w:pict>
      </w:r>
    </w:p>
    <w:p w14:paraId="203AA5DA"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10. AI Insight Rules</w:t>
      </w:r>
    </w:p>
    <w:p w14:paraId="04F9548C"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IV Percentile Below 20</w:t>
      </w:r>
    </w:p>
    <w:p w14:paraId="6C2D22B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Explain that current implied volatility is lower than most historical observations, indicating relatively inexpensive option premiums.</w:t>
      </w:r>
    </w:p>
    <w:p w14:paraId="1A9AF9D1"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IV Percentile Between 20–50</w:t>
      </w:r>
    </w:p>
    <w:p w14:paraId="466E874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Explain that implied volatility is within its normal historical range.</w:t>
      </w:r>
    </w:p>
    <w:p w14:paraId="1948FCD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IV Percentile Between 50–80</w:t>
      </w:r>
    </w:p>
    <w:p w14:paraId="2018D7F1"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lastRenderedPageBreak/>
        <w:t>Explain that implied volatility is higher than average and option premiums are becoming expensive.</w:t>
      </w:r>
    </w:p>
    <w:p w14:paraId="7420FA7C"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IV Percentile Above 80</w:t>
      </w:r>
    </w:p>
    <w:p w14:paraId="30366142"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Explain that implied volatility has remained below the current level for most of the historical period, indicating elevated option premiums and higher uncertainty.</w:t>
      </w:r>
    </w:p>
    <w:p w14:paraId="313DDE58"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08D9FEFA">
          <v:rect id="_x0000_i1258" style="width:0;height:1.5pt" o:hralign="center" o:hrstd="t" o:hr="t" fillcolor="#a0a0a0" stroked="f"/>
        </w:pict>
      </w:r>
    </w:p>
    <w:p w14:paraId="2D87A6BE"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11. Why It Matters</w:t>
      </w:r>
    </w:p>
    <w:p w14:paraId="48149985" w14:textId="77777777" w:rsidR="008E39ED" w:rsidRPr="008E39ED" w:rsidRDefault="008E39ED" w:rsidP="008E39ED">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Measures historical volatility frequency. </w:t>
      </w:r>
    </w:p>
    <w:p w14:paraId="59525CA1" w14:textId="77777777" w:rsidR="008E39ED" w:rsidRPr="008E39ED" w:rsidRDefault="008E39ED" w:rsidP="008E39ED">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Evaluates option premium levels. </w:t>
      </w:r>
    </w:p>
    <w:p w14:paraId="47B87A1C" w14:textId="77777777" w:rsidR="008E39ED" w:rsidRPr="008E39ED" w:rsidRDefault="008E39ED" w:rsidP="008E39ED">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Supports volatility trading strategies. </w:t>
      </w:r>
    </w:p>
    <w:p w14:paraId="0B31540D" w14:textId="77777777" w:rsidR="008E39ED" w:rsidRPr="008E39ED" w:rsidRDefault="008E39ED" w:rsidP="008E39ED">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Complements IV Rank. </w:t>
      </w:r>
    </w:p>
    <w:p w14:paraId="7E721BF5" w14:textId="77777777" w:rsidR="008E39ED" w:rsidRPr="008E39ED" w:rsidRDefault="008E39ED" w:rsidP="008E39ED">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Improves options pricing analysis. </w:t>
      </w:r>
    </w:p>
    <w:p w14:paraId="7AA790C5"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2E1777F1">
          <v:rect id="_x0000_i1259" style="width:0;height:1.5pt" o:hralign="center" o:hrstd="t" o:hr="t" fillcolor="#a0a0a0" stroked="f"/>
        </w:pict>
      </w:r>
    </w:p>
    <w:p w14:paraId="0969BEB2"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12. Trading Impact</w:t>
      </w:r>
    </w:p>
    <w:p w14:paraId="38C56025"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Intraday</w:t>
      </w:r>
    </w:p>
    <w:p w14:paraId="07064F1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Segoe UI Symbol" w:eastAsia="Times New Roman" w:hAnsi="Segoe UI Symbol" w:cs="Segoe UI Symbol"/>
          <w:sz w:val="24"/>
          <w:szCs w:val="24"/>
        </w:rPr>
        <w:t>★★★☆☆</w:t>
      </w:r>
    </w:p>
    <w:p w14:paraId="18153BE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Swing Trading</w:t>
      </w:r>
    </w:p>
    <w:p w14:paraId="01A74A16"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Segoe UI Symbol" w:eastAsia="Times New Roman" w:hAnsi="Segoe UI Symbol" w:cs="Segoe UI Symbol"/>
          <w:sz w:val="24"/>
          <w:szCs w:val="24"/>
        </w:rPr>
        <w:t>★★★★☆</w:t>
      </w:r>
    </w:p>
    <w:p w14:paraId="09D1E09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Positional Trading</w:t>
      </w:r>
    </w:p>
    <w:p w14:paraId="53A10BD1"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Segoe UI Symbol" w:eastAsia="Times New Roman" w:hAnsi="Segoe UI Symbol" w:cs="Segoe UI Symbol"/>
          <w:sz w:val="24"/>
          <w:szCs w:val="24"/>
        </w:rPr>
        <w:t>★★★★☆</w:t>
      </w:r>
    </w:p>
    <w:p w14:paraId="644F40E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Options Trading</w:t>
      </w:r>
    </w:p>
    <w:p w14:paraId="4F79DCB2"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Segoe UI Symbol" w:eastAsia="Times New Roman" w:hAnsi="Segoe UI Symbol" w:cs="Segoe UI Symbol"/>
          <w:sz w:val="24"/>
          <w:szCs w:val="24"/>
        </w:rPr>
        <w:t>★★★★★</w:t>
      </w:r>
    </w:p>
    <w:p w14:paraId="11147F65"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Best Use</w:t>
      </w:r>
    </w:p>
    <w:p w14:paraId="5A67FA4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Evaluating historical volatility positioning.</w:t>
      </w:r>
    </w:p>
    <w:p w14:paraId="61F9D65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Avoid Using Alone</w:t>
      </w:r>
    </w:p>
    <w:p w14:paraId="48A122F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lastRenderedPageBreak/>
        <w:t>Yes</w:t>
      </w:r>
    </w:p>
    <w:p w14:paraId="68C8647B"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55611817">
          <v:rect id="_x0000_i1260" style="width:0;height:1.5pt" o:hralign="center" o:hrstd="t" o:hr="t" fillcolor="#a0a0a0" stroked="f"/>
        </w:pict>
      </w:r>
    </w:p>
    <w:p w14:paraId="6AC3A656"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13. Supporting Indicators</w:t>
      </w:r>
    </w:p>
    <w:p w14:paraId="6ED12168" w14:textId="77777777" w:rsidR="008E39ED" w:rsidRPr="008E39ED" w:rsidRDefault="008E39ED" w:rsidP="008E39ED">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ATM IV </w:t>
      </w:r>
    </w:p>
    <w:p w14:paraId="67FB8FC2" w14:textId="77777777" w:rsidR="008E39ED" w:rsidRPr="008E39ED" w:rsidRDefault="008E39ED" w:rsidP="008E39ED">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IV Rank </w:t>
      </w:r>
    </w:p>
    <w:p w14:paraId="38C704C8" w14:textId="77777777" w:rsidR="008E39ED" w:rsidRPr="008E39ED" w:rsidRDefault="008E39ED" w:rsidP="008E39ED">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India VIX </w:t>
      </w:r>
    </w:p>
    <w:p w14:paraId="460F376F" w14:textId="77777777" w:rsidR="008E39ED" w:rsidRPr="008E39ED" w:rsidRDefault="008E39ED" w:rsidP="008E39ED">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PCR (OI) </w:t>
      </w:r>
    </w:p>
    <w:p w14:paraId="50CE81CD" w14:textId="77777777" w:rsidR="008E39ED" w:rsidRPr="008E39ED" w:rsidRDefault="008E39ED" w:rsidP="008E39ED">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OI Change </w:t>
      </w:r>
    </w:p>
    <w:p w14:paraId="1D568591"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08E60566">
          <v:rect id="_x0000_i1261" style="width:0;height:1.5pt" o:hralign="center" o:hrstd="t" o:hr="t" fillcolor="#a0a0a0" stroked="f"/>
        </w:pict>
      </w:r>
    </w:p>
    <w:p w14:paraId="1B4EDB54"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14. Metadata</w:t>
      </w:r>
    </w:p>
    <w:p w14:paraId="3B40DC3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Source</w:t>
      </w:r>
    </w:p>
    <w:p w14:paraId="424CF462"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NSE Option Chain / Upstox API</w:t>
      </w:r>
    </w:p>
    <w:p w14:paraId="1D483B9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Calculation</w:t>
      </w:r>
    </w:p>
    <w:p w14:paraId="7723614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Backend</w:t>
      </w:r>
    </w:p>
    <w:p w14:paraId="2357D4E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Updated</w:t>
      </w:r>
    </w:p>
    <w:p w14:paraId="7B909D4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Every Option Chain Refresh</w:t>
      </w:r>
    </w:p>
    <w:p w14:paraId="75EE9F6E"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proofErr w:type="spellStart"/>
      <w:r w:rsidRPr="008E39ED">
        <w:rPr>
          <w:rFonts w:ascii="Times New Roman" w:eastAsia="Times New Roman" w:hAnsi="Times New Roman" w:cs="Times New Roman"/>
          <w:b/>
          <w:bCs/>
          <w:sz w:val="24"/>
          <w:szCs w:val="24"/>
        </w:rPr>
        <w:t>Timezone</w:t>
      </w:r>
      <w:proofErr w:type="spellEnd"/>
    </w:p>
    <w:p w14:paraId="5E673BD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Asia/Kolkata</w:t>
      </w:r>
    </w:p>
    <w:p w14:paraId="397085B2"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Storage</w:t>
      </w:r>
    </w:p>
    <w:p w14:paraId="2CC5D38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Local Electron Database</w:t>
      </w:r>
    </w:p>
    <w:p w14:paraId="3C50E864"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7B69C1C3">
          <v:rect id="_x0000_i1262" style="width:0;height:1.5pt" o:hralign="center" o:hrstd="t" o:hr="t" fillcolor="#a0a0a0" stroked="f"/>
        </w:pict>
      </w:r>
    </w:p>
    <w:p w14:paraId="06F011F5"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15. Developer Notes</w:t>
      </w:r>
    </w:p>
    <w:p w14:paraId="42ED9E6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Store:</w:t>
      </w:r>
    </w:p>
    <w:p w14:paraId="30E18F75" w14:textId="77777777" w:rsidR="008E39ED" w:rsidRPr="008E39ED" w:rsidRDefault="008E39ED" w:rsidP="008E39ED">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Current IV Percentile </w:t>
      </w:r>
    </w:p>
    <w:p w14:paraId="58495963" w14:textId="77777777" w:rsidR="008E39ED" w:rsidRPr="008E39ED" w:rsidRDefault="008E39ED" w:rsidP="008E39ED">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lastRenderedPageBreak/>
        <w:t xml:space="preserve">Historical ATM IV </w:t>
      </w:r>
    </w:p>
    <w:p w14:paraId="10F71BA9" w14:textId="77777777" w:rsidR="008E39ED" w:rsidRPr="008E39ED" w:rsidRDefault="008E39ED" w:rsidP="008E39ED">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Current Score </w:t>
      </w:r>
    </w:p>
    <w:p w14:paraId="72ECDD10" w14:textId="77777777" w:rsidR="008E39ED" w:rsidRPr="008E39ED" w:rsidRDefault="008E39ED" w:rsidP="008E39ED">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Confidence </w:t>
      </w:r>
    </w:p>
    <w:p w14:paraId="03E99146" w14:textId="77777777" w:rsidR="008E39ED" w:rsidRPr="008E39ED" w:rsidRDefault="008E39ED" w:rsidP="008E39ED">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Last Updated </w:t>
      </w:r>
    </w:p>
    <w:p w14:paraId="3276D19E"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Maintain a rolling </w:t>
      </w:r>
      <w:r w:rsidRPr="008E39ED">
        <w:rPr>
          <w:rFonts w:ascii="Times New Roman" w:eastAsia="Times New Roman" w:hAnsi="Times New Roman" w:cs="Times New Roman"/>
          <w:b/>
          <w:bCs/>
          <w:sz w:val="24"/>
          <w:szCs w:val="24"/>
        </w:rPr>
        <w:t>252-day</w:t>
      </w:r>
      <w:r w:rsidRPr="008E39ED">
        <w:rPr>
          <w:rFonts w:ascii="Times New Roman" w:eastAsia="Times New Roman" w:hAnsi="Times New Roman" w:cs="Times New Roman"/>
          <w:sz w:val="24"/>
          <w:szCs w:val="24"/>
        </w:rPr>
        <w:t xml:space="preserve"> IV history. If historical data is insufficient, display </w:t>
      </w:r>
      <w:r w:rsidRPr="008E39ED">
        <w:rPr>
          <w:rFonts w:ascii="Times New Roman" w:eastAsia="Times New Roman" w:hAnsi="Times New Roman" w:cs="Times New Roman"/>
          <w:b/>
          <w:bCs/>
          <w:sz w:val="24"/>
          <w:szCs w:val="24"/>
        </w:rPr>
        <w:t>"Insufficient Data"</w:t>
      </w:r>
      <w:r w:rsidRPr="008E39ED">
        <w:rPr>
          <w:rFonts w:ascii="Times New Roman" w:eastAsia="Times New Roman" w:hAnsi="Times New Roman" w:cs="Times New Roman"/>
          <w:sz w:val="24"/>
          <w:szCs w:val="24"/>
        </w:rPr>
        <w:t xml:space="preserve"> and reduce confidence. Recalculate IV Percentile whenever ATM IV updates.</w:t>
      </w:r>
    </w:p>
    <w:p w14:paraId="1354742A"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233B6062">
          <v:rect id="_x0000_i1263" style="width:0;height:1.5pt" o:hralign="center" o:hrstd="t" o:hr="t" fillcolor="#a0a0a0" stroked="f"/>
        </w:pict>
      </w:r>
    </w:p>
    <w:p w14:paraId="29F939F7"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 xml:space="preserve">16. Praxis Engine Integration </w:t>
      </w:r>
      <w:r w:rsidRPr="008E39ED">
        <w:rPr>
          <w:rFonts w:ascii="Segoe UI Emoji" w:eastAsia="Times New Roman" w:hAnsi="Segoe UI Emoji" w:cs="Segoe UI Emoji"/>
          <w:b/>
          <w:bCs/>
          <w:kern w:val="36"/>
          <w:sz w:val="48"/>
          <w:szCs w:val="48"/>
        </w:rPr>
        <w:t>⭐</w:t>
      </w:r>
    </w:p>
    <w:p w14:paraId="59316FE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Engine Weight</w:t>
      </w:r>
    </w:p>
    <w:p w14:paraId="589DD896"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Configurable</w:t>
      </w:r>
    </w:p>
    <w:p w14:paraId="3A8AE821"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Relative Importance</w:t>
      </w:r>
    </w:p>
    <w:p w14:paraId="7DF81A91"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Medium-High</w:t>
      </w:r>
    </w:p>
    <w:p w14:paraId="3220320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Decision Engine Role</w:t>
      </w:r>
    </w:p>
    <w:p w14:paraId="182CDC7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Historical Volatility Assessment</w:t>
      </w:r>
    </w:p>
    <w:p w14:paraId="0C1370FE"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Primary Use</w:t>
      </w:r>
    </w:p>
    <w:p w14:paraId="60E281FC"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Evaluate how frequently the current implied volatility has occurred over the historical lookback period.</w:t>
      </w:r>
    </w:p>
    <w:p w14:paraId="6CA185D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Bullish Confirmation</w:t>
      </w:r>
    </w:p>
    <w:p w14:paraId="0B98C5DA" w14:textId="77777777" w:rsidR="008E39ED" w:rsidRPr="008E39ED" w:rsidRDefault="008E39ED" w:rsidP="008E39ED">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IV Percentile Below 20 </w:t>
      </w:r>
    </w:p>
    <w:p w14:paraId="7EEB04F2" w14:textId="77777777" w:rsidR="008E39ED" w:rsidRPr="008E39ED" w:rsidRDefault="008E39ED" w:rsidP="008E39ED">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Low ATM IV </w:t>
      </w:r>
    </w:p>
    <w:p w14:paraId="1929C66E" w14:textId="77777777" w:rsidR="008E39ED" w:rsidRPr="008E39ED" w:rsidRDefault="008E39ED" w:rsidP="008E39ED">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Low IV Rank </w:t>
      </w:r>
    </w:p>
    <w:p w14:paraId="72AE300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Bearish Confirmation</w:t>
      </w:r>
    </w:p>
    <w:p w14:paraId="1F75034A" w14:textId="77777777" w:rsidR="008E39ED" w:rsidRPr="008E39ED" w:rsidRDefault="008E39ED" w:rsidP="008E39ED">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IV Percentile Above 80 </w:t>
      </w:r>
    </w:p>
    <w:p w14:paraId="670BEED8" w14:textId="77777777" w:rsidR="008E39ED" w:rsidRPr="008E39ED" w:rsidRDefault="008E39ED" w:rsidP="008E39ED">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High ATM IV </w:t>
      </w:r>
    </w:p>
    <w:p w14:paraId="4FD6C0D0" w14:textId="77777777" w:rsidR="008E39ED" w:rsidRPr="008E39ED" w:rsidRDefault="008E39ED" w:rsidP="008E39ED">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High IV Rank </w:t>
      </w:r>
    </w:p>
    <w:p w14:paraId="7CAFDE6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Display Priority</w:t>
      </w:r>
    </w:p>
    <w:p w14:paraId="01F4E6E6"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High</w:t>
      </w:r>
    </w:p>
    <w:p w14:paraId="2B4ABD3A"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lastRenderedPageBreak/>
        <w:pict w14:anchorId="37ED63E6">
          <v:rect id="_x0000_i1264" style="width:0;height:1.5pt" o:hralign="center" o:hrstd="t" o:hr="t" fillcolor="#a0a0a0" stroked="f"/>
        </w:pict>
      </w:r>
    </w:p>
    <w:p w14:paraId="6D4A3256"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17. Praxis Recommendation</w:t>
      </w:r>
    </w:p>
    <w:p w14:paraId="5279FD0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IV Percentile should serve as the </w:t>
      </w:r>
      <w:r w:rsidRPr="008E39ED">
        <w:rPr>
          <w:rFonts w:ascii="Times New Roman" w:eastAsia="Times New Roman" w:hAnsi="Times New Roman" w:cs="Times New Roman"/>
          <w:b/>
          <w:bCs/>
          <w:sz w:val="24"/>
          <w:szCs w:val="24"/>
        </w:rPr>
        <w:t>historical volatility frequency indicator</w:t>
      </w:r>
      <w:r w:rsidRPr="008E39ED">
        <w:rPr>
          <w:rFonts w:ascii="Times New Roman" w:eastAsia="Times New Roman" w:hAnsi="Times New Roman" w:cs="Times New Roman"/>
          <w:sz w:val="24"/>
          <w:szCs w:val="24"/>
        </w:rPr>
        <w:t xml:space="preserve"> within the Implied Volatility category.</w:t>
      </w:r>
    </w:p>
    <w:p w14:paraId="2CED1C69"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Implied Volatility Hierarchy</w:t>
      </w:r>
    </w:p>
    <w:p w14:paraId="1F67AF54" w14:textId="77777777" w:rsidR="008E39ED" w:rsidRPr="008E39ED" w:rsidRDefault="008E39ED" w:rsidP="008E39ED">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8E39ED">
        <w:rPr>
          <w:rFonts w:ascii="Segoe UI Emoji" w:eastAsia="Times New Roman" w:hAnsi="Segoe UI Emoji" w:cs="Segoe UI Emoji"/>
          <w:sz w:val="24"/>
          <w:szCs w:val="24"/>
        </w:rPr>
        <w:t>⭐⭐⭐⭐⭐</w:t>
      </w:r>
      <w:r w:rsidRPr="008E39ED">
        <w:rPr>
          <w:rFonts w:ascii="Times New Roman" w:eastAsia="Times New Roman" w:hAnsi="Times New Roman" w:cs="Times New Roman"/>
          <w:sz w:val="24"/>
          <w:szCs w:val="24"/>
        </w:rPr>
        <w:t xml:space="preserve"> ATM IV </w:t>
      </w:r>
    </w:p>
    <w:p w14:paraId="67BDF26B" w14:textId="77777777" w:rsidR="008E39ED" w:rsidRPr="008E39ED" w:rsidRDefault="008E39ED" w:rsidP="008E39ED">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8E39ED">
        <w:rPr>
          <w:rFonts w:ascii="Segoe UI Emoji" w:eastAsia="Times New Roman" w:hAnsi="Segoe UI Emoji" w:cs="Segoe UI Emoji"/>
          <w:sz w:val="24"/>
          <w:szCs w:val="24"/>
        </w:rPr>
        <w:t>⭐⭐⭐⭐</w:t>
      </w:r>
      <w:r w:rsidRPr="008E39ED">
        <w:rPr>
          <w:rFonts w:ascii="Segoe UI Symbol" w:eastAsia="Times New Roman" w:hAnsi="Segoe UI Symbol" w:cs="Segoe UI Symbol"/>
          <w:sz w:val="24"/>
          <w:szCs w:val="24"/>
        </w:rPr>
        <w:t>☆</w:t>
      </w:r>
      <w:r w:rsidRPr="008E39ED">
        <w:rPr>
          <w:rFonts w:ascii="Times New Roman" w:eastAsia="Times New Roman" w:hAnsi="Times New Roman" w:cs="Times New Roman"/>
          <w:sz w:val="24"/>
          <w:szCs w:val="24"/>
        </w:rPr>
        <w:t xml:space="preserve"> IV Rank </w:t>
      </w:r>
    </w:p>
    <w:p w14:paraId="7D09E8F4" w14:textId="77777777" w:rsidR="008E39ED" w:rsidRPr="008E39ED" w:rsidRDefault="008E39ED" w:rsidP="008E39ED">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8E39ED">
        <w:rPr>
          <w:rFonts w:ascii="Segoe UI Emoji" w:eastAsia="Times New Roman" w:hAnsi="Segoe UI Emoji" w:cs="Segoe UI Emoji"/>
          <w:sz w:val="24"/>
          <w:szCs w:val="24"/>
        </w:rPr>
        <w:t>⭐⭐⭐⭐</w:t>
      </w:r>
      <w:r w:rsidRPr="008E39ED">
        <w:rPr>
          <w:rFonts w:ascii="Segoe UI Symbol" w:eastAsia="Times New Roman" w:hAnsi="Segoe UI Symbol" w:cs="Segoe UI Symbol"/>
          <w:sz w:val="24"/>
          <w:szCs w:val="24"/>
        </w:rPr>
        <w:t>☆</w:t>
      </w:r>
      <w:r w:rsidRPr="008E39ED">
        <w:rPr>
          <w:rFonts w:ascii="Times New Roman" w:eastAsia="Times New Roman" w:hAnsi="Times New Roman" w:cs="Times New Roman"/>
          <w:sz w:val="24"/>
          <w:szCs w:val="24"/>
        </w:rPr>
        <w:t xml:space="preserve"> IV Percentile </w:t>
      </w:r>
    </w:p>
    <w:p w14:paraId="003AE30A"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Engine Rules</w:t>
      </w:r>
    </w:p>
    <w:p w14:paraId="6E2496A0" w14:textId="77777777" w:rsidR="008E39ED" w:rsidRPr="008E39ED" w:rsidRDefault="008E39ED" w:rsidP="008E39ED">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IV Percentile &lt;20 + Low IV Rank → Increase Options Score. </w:t>
      </w:r>
    </w:p>
    <w:p w14:paraId="0CB36779" w14:textId="77777777" w:rsidR="008E39ED" w:rsidRPr="008E39ED" w:rsidRDefault="008E39ED" w:rsidP="008E39ED">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IV Percentile &gt;80 + Rising India VIX → Reduce Options Score. </w:t>
      </w:r>
    </w:p>
    <w:p w14:paraId="59954BAC" w14:textId="77777777" w:rsidR="008E39ED" w:rsidRPr="008E39ED" w:rsidRDefault="008E39ED" w:rsidP="008E39ED">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Confirm IV Percentile with ATM IV and IV Rank before generating high-confidence volatility signals. </w:t>
      </w:r>
    </w:p>
    <w:p w14:paraId="4F84E099" w14:textId="05CE8213" w:rsidR="008E39ED" w:rsidRDefault="008E39ED" w:rsidP="008E39ED">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Use IV Percentile to determine how unusual the current volatility level is, while using IV Rank to measure its position within the historical range.</w:t>
      </w:r>
    </w:p>
    <w:p w14:paraId="5E60D2F7" w14:textId="438A332F"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27DA69AB" w14:textId="01148590"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0B54A0E2" w14:textId="48ACC117"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26785D2C" w14:textId="729B19A1"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43331B9E" w14:textId="1AB7460E"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04074FC5" w14:textId="278BF363"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3F04E6FF" w14:textId="3A1E89CC"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409923B0" w14:textId="4DFAE2D7"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2CDD2C05" w14:textId="3BEE9475"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4AC221C6" w14:textId="14967788"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6B7464A3" w14:textId="77777777" w:rsidR="00A5115D" w:rsidRPr="008E39E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0E2B3648"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8E39ED">
        <w:rPr>
          <w:rFonts w:ascii="Times New Roman" w:eastAsia="Times New Roman" w:hAnsi="Times New Roman" w:cs="Times New Roman"/>
          <w:b/>
          <w:bCs/>
          <w:color w:val="FF0000"/>
          <w:kern w:val="36"/>
          <w:sz w:val="48"/>
          <w:szCs w:val="48"/>
        </w:rPr>
        <w:lastRenderedPageBreak/>
        <w:t>9. Delta</w:t>
      </w:r>
    </w:p>
    <w:p w14:paraId="2ACE224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Module:</w:t>
      </w:r>
      <w:r w:rsidRPr="008E39ED">
        <w:rPr>
          <w:rFonts w:ascii="Times New Roman" w:eastAsia="Times New Roman" w:hAnsi="Times New Roman" w:cs="Times New Roman"/>
          <w:sz w:val="24"/>
          <w:szCs w:val="24"/>
        </w:rPr>
        <w:t xml:space="preserve"> Options</w:t>
      </w:r>
      <w:r w:rsidRPr="008E39ED">
        <w:rPr>
          <w:rFonts w:ascii="Times New Roman" w:eastAsia="Times New Roman" w:hAnsi="Times New Roman" w:cs="Times New Roman"/>
          <w:sz w:val="24"/>
          <w:szCs w:val="24"/>
        </w:rPr>
        <w:br/>
      </w:r>
      <w:r w:rsidRPr="008E39ED">
        <w:rPr>
          <w:rFonts w:ascii="Times New Roman" w:eastAsia="Times New Roman" w:hAnsi="Times New Roman" w:cs="Times New Roman"/>
          <w:b/>
          <w:bCs/>
          <w:sz w:val="24"/>
          <w:szCs w:val="24"/>
        </w:rPr>
        <w:t>Category:</w:t>
      </w:r>
      <w:r w:rsidRPr="008E39ED">
        <w:rPr>
          <w:rFonts w:ascii="Times New Roman" w:eastAsia="Times New Roman" w:hAnsi="Times New Roman" w:cs="Times New Roman"/>
          <w:sz w:val="24"/>
          <w:szCs w:val="24"/>
        </w:rPr>
        <w:t xml:space="preserve"> Greeks</w:t>
      </w:r>
      <w:r w:rsidRPr="008E39ED">
        <w:rPr>
          <w:rFonts w:ascii="Times New Roman" w:eastAsia="Times New Roman" w:hAnsi="Times New Roman" w:cs="Times New Roman"/>
          <w:sz w:val="24"/>
          <w:szCs w:val="24"/>
        </w:rPr>
        <w:br/>
      </w:r>
      <w:r w:rsidRPr="008E39ED">
        <w:rPr>
          <w:rFonts w:ascii="Times New Roman" w:eastAsia="Times New Roman" w:hAnsi="Times New Roman" w:cs="Times New Roman"/>
          <w:b/>
          <w:bCs/>
          <w:sz w:val="24"/>
          <w:szCs w:val="24"/>
        </w:rPr>
        <w:t>Status:</w:t>
      </w:r>
      <w:r w:rsidRPr="008E39ED">
        <w:rPr>
          <w:rFonts w:ascii="Times New Roman" w:eastAsia="Times New Roman" w:hAnsi="Times New Roman" w:cs="Times New Roman"/>
          <w:sz w:val="24"/>
          <w:szCs w:val="24"/>
        </w:rPr>
        <w:t xml:space="preserve"> Production Ready</w:t>
      </w:r>
    </w:p>
    <w:p w14:paraId="4106BC03" w14:textId="77777777" w:rsidR="008E39ED" w:rsidRPr="008E39ED" w:rsidRDefault="008E39ED" w:rsidP="008E39ED">
      <w:pPr>
        <w:spacing w:before="100" w:beforeAutospacing="1" w:after="100" w:afterAutospacing="1" w:line="240" w:lineRule="auto"/>
        <w:outlineLvl w:val="1"/>
        <w:rPr>
          <w:rFonts w:ascii="Times New Roman" w:eastAsia="Times New Roman" w:hAnsi="Times New Roman" w:cs="Times New Roman"/>
          <w:b/>
          <w:bCs/>
          <w:sz w:val="36"/>
          <w:szCs w:val="36"/>
        </w:rPr>
      </w:pPr>
      <w:r w:rsidRPr="008E39ED">
        <w:rPr>
          <w:rFonts w:ascii="Times New Roman" w:eastAsia="Times New Roman" w:hAnsi="Times New Roman" w:cs="Times New Roman"/>
          <w:b/>
          <w:bCs/>
          <w:sz w:val="36"/>
          <w:szCs w:val="36"/>
        </w:rPr>
        <w:t>1. Overview</w:t>
      </w:r>
    </w:p>
    <w:p w14:paraId="3A67A95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Name:</w:t>
      </w:r>
      <w:r w:rsidRPr="008E39ED">
        <w:rPr>
          <w:rFonts w:ascii="Times New Roman" w:eastAsia="Times New Roman" w:hAnsi="Times New Roman" w:cs="Times New Roman"/>
          <w:sz w:val="24"/>
          <w:szCs w:val="24"/>
        </w:rPr>
        <w:t xml:space="preserve"> Delta</w:t>
      </w:r>
    </w:p>
    <w:p w14:paraId="35D837D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Short Name:</w:t>
      </w:r>
      <w:r w:rsidRPr="008E39ED">
        <w:rPr>
          <w:rFonts w:ascii="Times New Roman" w:eastAsia="Times New Roman" w:hAnsi="Times New Roman" w:cs="Times New Roman"/>
          <w:sz w:val="24"/>
          <w:szCs w:val="24"/>
        </w:rPr>
        <w:t xml:space="preserve"> Delta</w:t>
      </w:r>
    </w:p>
    <w:p w14:paraId="42E1EBCC"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Module:</w:t>
      </w:r>
      <w:r w:rsidRPr="008E39ED">
        <w:rPr>
          <w:rFonts w:ascii="Times New Roman" w:eastAsia="Times New Roman" w:hAnsi="Times New Roman" w:cs="Times New Roman"/>
          <w:sz w:val="24"/>
          <w:szCs w:val="24"/>
        </w:rPr>
        <w:t xml:space="preserve"> Options</w:t>
      </w:r>
    </w:p>
    <w:p w14:paraId="701FC4A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Category:</w:t>
      </w:r>
      <w:r w:rsidRPr="008E39ED">
        <w:rPr>
          <w:rFonts w:ascii="Times New Roman" w:eastAsia="Times New Roman" w:hAnsi="Times New Roman" w:cs="Times New Roman"/>
          <w:sz w:val="24"/>
          <w:szCs w:val="24"/>
        </w:rPr>
        <w:t xml:space="preserve"> Greeks</w:t>
      </w:r>
    </w:p>
    <w:p w14:paraId="0DC828D1"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Purpose:</w:t>
      </w:r>
    </w:p>
    <w:p w14:paraId="52D28E0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Measures the expected change in an option's premium for a one-point movement in the underlying asset. Delta also represents the probability of an option expiring In-the-Money (ITM).</w:t>
      </w:r>
    </w:p>
    <w:p w14:paraId="729E790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Based On:</w:t>
      </w:r>
    </w:p>
    <w:p w14:paraId="4496ECD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Option Price and Underlying Price</w:t>
      </w:r>
    </w:p>
    <w:p w14:paraId="6D09F84E"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Importance:</w:t>
      </w:r>
    </w:p>
    <w:p w14:paraId="3287CB9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Segoe UI Emoji" w:eastAsia="Times New Roman" w:hAnsi="Segoe UI Emoji" w:cs="Segoe UI Emoji"/>
          <w:sz w:val="24"/>
          <w:szCs w:val="24"/>
        </w:rPr>
        <w:t>⭐⭐⭐⭐⭐</w:t>
      </w:r>
      <w:r w:rsidRPr="008E39ED">
        <w:rPr>
          <w:rFonts w:ascii="Times New Roman" w:eastAsia="Times New Roman" w:hAnsi="Times New Roman" w:cs="Times New Roman"/>
          <w:sz w:val="24"/>
          <w:szCs w:val="24"/>
        </w:rPr>
        <w:t xml:space="preserve"> (Core Option Greek)</w:t>
      </w:r>
    </w:p>
    <w:p w14:paraId="1E9B0281"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Auto / Manual:</w:t>
      </w:r>
    </w:p>
    <w:p w14:paraId="3BBBD8BE"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Auto</w:t>
      </w:r>
    </w:p>
    <w:p w14:paraId="3076CE9C"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Update Frequency:</w:t>
      </w:r>
    </w:p>
    <w:p w14:paraId="58E10B7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Every Option Chain Refresh (Market Hours)</w:t>
      </w:r>
    </w:p>
    <w:p w14:paraId="4C82ABE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Praxis Note:</w:t>
      </w:r>
    </w:p>
    <w:p w14:paraId="4C0A840E"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Delta is the most important option Greek. It measures directional exposure and is widely used by institutional traders for option selection and portfolio hedging.</w:t>
      </w:r>
    </w:p>
    <w:p w14:paraId="4A78E893"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6841B1F2">
          <v:rect id="_x0000_i1281" style="width:0;height:1.5pt" o:hralign="center" o:hrstd="t" o:hr="t" fillcolor="#a0a0a0" stroked="f"/>
        </w:pict>
      </w:r>
    </w:p>
    <w:p w14:paraId="1B7F20ED"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lastRenderedPageBreak/>
        <w:t>2. Data Requirements</w:t>
      </w:r>
    </w:p>
    <w:p w14:paraId="771EEF8C"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Required Data</w:t>
      </w:r>
    </w:p>
    <w:p w14:paraId="78D8CAB0" w14:textId="77777777" w:rsidR="008E39ED" w:rsidRPr="008E39ED" w:rsidRDefault="008E39ED" w:rsidP="008E39ED">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Underlying Spot Price </w:t>
      </w:r>
    </w:p>
    <w:p w14:paraId="2FE4B375" w14:textId="77777777" w:rsidR="008E39ED" w:rsidRPr="008E39ED" w:rsidRDefault="008E39ED" w:rsidP="008E39ED">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Strike Price </w:t>
      </w:r>
    </w:p>
    <w:p w14:paraId="73C54A2C" w14:textId="77777777" w:rsidR="008E39ED" w:rsidRPr="008E39ED" w:rsidRDefault="008E39ED" w:rsidP="008E39ED">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Option Premium </w:t>
      </w:r>
    </w:p>
    <w:p w14:paraId="72BB5C70" w14:textId="77777777" w:rsidR="008E39ED" w:rsidRPr="008E39ED" w:rsidRDefault="008E39ED" w:rsidP="008E39ED">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Expiry Date </w:t>
      </w:r>
    </w:p>
    <w:p w14:paraId="18D6289B" w14:textId="77777777" w:rsidR="008E39ED" w:rsidRPr="008E39ED" w:rsidRDefault="008E39ED" w:rsidP="008E39ED">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Option Type (Call / Put) </w:t>
      </w:r>
    </w:p>
    <w:p w14:paraId="6AE075C8" w14:textId="77777777" w:rsidR="008E39ED" w:rsidRPr="008E39ED" w:rsidRDefault="008E39ED" w:rsidP="008E39ED">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Risk-Free Interest Rate </w:t>
      </w:r>
    </w:p>
    <w:p w14:paraId="401371B1" w14:textId="77777777" w:rsidR="008E39ED" w:rsidRPr="008E39ED" w:rsidRDefault="008E39ED" w:rsidP="008E39ED">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Implied Volatility </w:t>
      </w:r>
    </w:p>
    <w:p w14:paraId="44FD6CD7"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Minimum Historical Data</w:t>
      </w:r>
    </w:p>
    <w:p w14:paraId="4945504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Current Option Chain</w:t>
      </w:r>
    </w:p>
    <w:p w14:paraId="03252A95"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Recommended</w:t>
      </w:r>
    </w:p>
    <w:p w14:paraId="43DF3C7E"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30 Trading Days</w:t>
      </w:r>
    </w:p>
    <w:p w14:paraId="6620879D"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Primary Source</w:t>
      </w:r>
    </w:p>
    <w:p w14:paraId="08FF7AB7" w14:textId="77777777" w:rsidR="008E39ED" w:rsidRPr="008E39ED" w:rsidRDefault="008E39ED" w:rsidP="008E39ED">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NSE Option Chain </w:t>
      </w:r>
    </w:p>
    <w:p w14:paraId="4C136871" w14:textId="77777777" w:rsidR="008E39ED" w:rsidRPr="008E39ED" w:rsidRDefault="008E39ED" w:rsidP="008E39ED">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Upstox API </w:t>
      </w:r>
    </w:p>
    <w:p w14:paraId="1F9A861A"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3B547B76">
          <v:rect id="_x0000_i1282" style="width:0;height:1.5pt" o:hralign="center" o:hrstd="t" o:hr="t" fillcolor="#a0a0a0" stroked="f"/>
        </w:pict>
      </w:r>
    </w:p>
    <w:p w14:paraId="06175F20"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3. Industry Standard Calculation</w:t>
      </w:r>
    </w:p>
    <w:p w14:paraId="49A913A2"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Method</w:t>
      </w:r>
    </w:p>
    <w:p w14:paraId="766312D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Calculate Delta using the Black-Scholes option pricing model.</w:t>
      </w:r>
    </w:p>
    <w:p w14:paraId="51D72FB4"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Standard Range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758"/>
      </w:tblGrid>
      <w:tr w:rsidR="008E39ED" w:rsidRPr="008E39ED" w14:paraId="4FC99112" w14:textId="77777777" w:rsidTr="008E39ED">
        <w:trPr>
          <w:tblHeader/>
          <w:tblCellSpacing w:w="15" w:type="dxa"/>
        </w:trPr>
        <w:tc>
          <w:tcPr>
            <w:tcW w:w="0" w:type="auto"/>
            <w:vAlign w:val="center"/>
            <w:hideMark/>
          </w:tcPr>
          <w:p w14:paraId="474DE5A1" w14:textId="77777777" w:rsidR="008E39ED" w:rsidRPr="008E39ED" w:rsidRDefault="008E39ED" w:rsidP="008E39ED">
            <w:pPr>
              <w:spacing w:after="0" w:line="240" w:lineRule="auto"/>
              <w:jc w:val="center"/>
              <w:rPr>
                <w:rFonts w:ascii="Times New Roman" w:eastAsia="Times New Roman" w:hAnsi="Times New Roman" w:cs="Times New Roman"/>
                <w:b/>
                <w:bCs/>
                <w:sz w:val="24"/>
                <w:szCs w:val="24"/>
              </w:rPr>
            </w:pPr>
            <w:r w:rsidRPr="008E39ED">
              <w:rPr>
                <w:rFonts w:ascii="Times New Roman" w:eastAsia="Times New Roman" w:hAnsi="Times New Roman" w:cs="Times New Roman"/>
                <w:b/>
                <w:bCs/>
                <w:sz w:val="24"/>
                <w:szCs w:val="24"/>
              </w:rPr>
              <w:t>Option</w:t>
            </w:r>
          </w:p>
        </w:tc>
        <w:tc>
          <w:tcPr>
            <w:tcW w:w="0" w:type="auto"/>
            <w:vAlign w:val="center"/>
            <w:hideMark/>
          </w:tcPr>
          <w:p w14:paraId="126F3825" w14:textId="77777777" w:rsidR="008E39ED" w:rsidRPr="008E39ED" w:rsidRDefault="008E39ED" w:rsidP="008E39ED">
            <w:pPr>
              <w:spacing w:after="0" w:line="240" w:lineRule="auto"/>
              <w:jc w:val="center"/>
              <w:rPr>
                <w:rFonts w:ascii="Times New Roman" w:eastAsia="Times New Roman" w:hAnsi="Times New Roman" w:cs="Times New Roman"/>
                <w:b/>
                <w:bCs/>
                <w:sz w:val="24"/>
                <w:szCs w:val="24"/>
              </w:rPr>
            </w:pPr>
            <w:r w:rsidRPr="008E39ED">
              <w:rPr>
                <w:rFonts w:ascii="Times New Roman" w:eastAsia="Times New Roman" w:hAnsi="Times New Roman" w:cs="Times New Roman"/>
                <w:b/>
                <w:bCs/>
                <w:sz w:val="24"/>
                <w:szCs w:val="24"/>
              </w:rPr>
              <w:t>Delta</w:t>
            </w:r>
          </w:p>
        </w:tc>
      </w:tr>
      <w:tr w:rsidR="008E39ED" w:rsidRPr="008E39ED" w14:paraId="49755660" w14:textId="77777777" w:rsidTr="008E39ED">
        <w:trPr>
          <w:tblCellSpacing w:w="15" w:type="dxa"/>
        </w:trPr>
        <w:tc>
          <w:tcPr>
            <w:tcW w:w="0" w:type="auto"/>
            <w:vAlign w:val="center"/>
            <w:hideMark/>
          </w:tcPr>
          <w:p w14:paraId="02CF5122"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Call</w:t>
            </w:r>
          </w:p>
        </w:tc>
        <w:tc>
          <w:tcPr>
            <w:tcW w:w="0" w:type="auto"/>
            <w:vAlign w:val="center"/>
            <w:hideMark/>
          </w:tcPr>
          <w:p w14:paraId="666846E9"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0 to +1</w:t>
            </w:r>
          </w:p>
        </w:tc>
      </w:tr>
      <w:tr w:rsidR="008E39ED" w:rsidRPr="008E39ED" w14:paraId="2B572595" w14:textId="77777777" w:rsidTr="008E39ED">
        <w:trPr>
          <w:tblCellSpacing w:w="15" w:type="dxa"/>
        </w:trPr>
        <w:tc>
          <w:tcPr>
            <w:tcW w:w="0" w:type="auto"/>
            <w:vAlign w:val="center"/>
            <w:hideMark/>
          </w:tcPr>
          <w:p w14:paraId="357F89C7"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Put</w:t>
            </w:r>
          </w:p>
        </w:tc>
        <w:tc>
          <w:tcPr>
            <w:tcW w:w="0" w:type="auto"/>
            <w:vAlign w:val="center"/>
            <w:hideMark/>
          </w:tcPr>
          <w:p w14:paraId="78D55628"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-1 to 0</w:t>
            </w:r>
          </w:p>
        </w:tc>
      </w:tr>
    </w:tbl>
    <w:p w14:paraId="49499214"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7"/>
        <w:gridCol w:w="1175"/>
      </w:tblGrid>
      <w:tr w:rsidR="008E39ED" w:rsidRPr="008E39ED" w14:paraId="37F13392" w14:textId="77777777" w:rsidTr="008E39ED">
        <w:trPr>
          <w:tblHeader/>
          <w:tblCellSpacing w:w="15" w:type="dxa"/>
        </w:trPr>
        <w:tc>
          <w:tcPr>
            <w:tcW w:w="0" w:type="auto"/>
            <w:vAlign w:val="center"/>
            <w:hideMark/>
          </w:tcPr>
          <w:p w14:paraId="2675F803" w14:textId="77777777" w:rsidR="008E39ED" w:rsidRPr="008E39ED" w:rsidRDefault="008E39ED" w:rsidP="008E39ED">
            <w:pPr>
              <w:spacing w:after="0" w:line="240" w:lineRule="auto"/>
              <w:jc w:val="center"/>
              <w:rPr>
                <w:rFonts w:ascii="Times New Roman" w:eastAsia="Times New Roman" w:hAnsi="Times New Roman" w:cs="Times New Roman"/>
                <w:b/>
                <w:bCs/>
                <w:sz w:val="24"/>
                <w:szCs w:val="24"/>
              </w:rPr>
            </w:pPr>
            <w:r w:rsidRPr="008E39ED">
              <w:rPr>
                <w:rFonts w:ascii="Times New Roman" w:eastAsia="Times New Roman" w:hAnsi="Times New Roman" w:cs="Times New Roman"/>
                <w:b/>
                <w:bCs/>
                <w:sz w:val="24"/>
                <w:szCs w:val="24"/>
              </w:rPr>
              <w:lastRenderedPageBreak/>
              <w:t>Delta</w:t>
            </w:r>
          </w:p>
        </w:tc>
        <w:tc>
          <w:tcPr>
            <w:tcW w:w="0" w:type="auto"/>
            <w:vAlign w:val="center"/>
            <w:hideMark/>
          </w:tcPr>
          <w:p w14:paraId="16B85067" w14:textId="77777777" w:rsidR="008E39ED" w:rsidRPr="008E39ED" w:rsidRDefault="008E39ED" w:rsidP="008E39ED">
            <w:pPr>
              <w:spacing w:after="0" w:line="240" w:lineRule="auto"/>
              <w:jc w:val="center"/>
              <w:rPr>
                <w:rFonts w:ascii="Times New Roman" w:eastAsia="Times New Roman" w:hAnsi="Times New Roman" w:cs="Times New Roman"/>
                <w:b/>
                <w:bCs/>
                <w:sz w:val="24"/>
                <w:szCs w:val="24"/>
              </w:rPr>
            </w:pPr>
            <w:r w:rsidRPr="008E39ED">
              <w:rPr>
                <w:rFonts w:ascii="Times New Roman" w:eastAsia="Times New Roman" w:hAnsi="Times New Roman" w:cs="Times New Roman"/>
                <w:b/>
                <w:bCs/>
                <w:sz w:val="24"/>
                <w:szCs w:val="24"/>
              </w:rPr>
              <w:t>Meaning</w:t>
            </w:r>
          </w:p>
        </w:tc>
      </w:tr>
      <w:tr w:rsidR="008E39ED" w:rsidRPr="008E39ED" w14:paraId="2A13F3E6" w14:textId="77777777" w:rsidTr="008E39ED">
        <w:trPr>
          <w:tblCellSpacing w:w="15" w:type="dxa"/>
        </w:trPr>
        <w:tc>
          <w:tcPr>
            <w:tcW w:w="0" w:type="auto"/>
            <w:vAlign w:val="center"/>
            <w:hideMark/>
          </w:tcPr>
          <w:p w14:paraId="3B542BB3"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±0.10–0.30</w:t>
            </w:r>
          </w:p>
        </w:tc>
        <w:tc>
          <w:tcPr>
            <w:tcW w:w="0" w:type="auto"/>
            <w:vAlign w:val="center"/>
            <w:hideMark/>
          </w:tcPr>
          <w:p w14:paraId="271D4CB1"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Deep OTM</w:t>
            </w:r>
          </w:p>
        </w:tc>
      </w:tr>
      <w:tr w:rsidR="008E39ED" w:rsidRPr="008E39ED" w14:paraId="5C6ED1FF" w14:textId="77777777" w:rsidTr="008E39ED">
        <w:trPr>
          <w:tblCellSpacing w:w="15" w:type="dxa"/>
        </w:trPr>
        <w:tc>
          <w:tcPr>
            <w:tcW w:w="0" w:type="auto"/>
            <w:vAlign w:val="center"/>
            <w:hideMark/>
          </w:tcPr>
          <w:p w14:paraId="5A8090F9"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±0.40–0.60</w:t>
            </w:r>
          </w:p>
        </w:tc>
        <w:tc>
          <w:tcPr>
            <w:tcW w:w="0" w:type="auto"/>
            <w:vAlign w:val="center"/>
            <w:hideMark/>
          </w:tcPr>
          <w:p w14:paraId="1146992B"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ATM</w:t>
            </w:r>
          </w:p>
        </w:tc>
      </w:tr>
      <w:tr w:rsidR="008E39ED" w:rsidRPr="008E39ED" w14:paraId="506D56C5" w14:textId="77777777" w:rsidTr="008E39ED">
        <w:trPr>
          <w:tblCellSpacing w:w="15" w:type="dxa"/>
        </w:trPr>
        <w:tc>
          <w:tcPr>
            <w:tcW w:w="0" w:type="auto"/>
            <w:vAlign w:val="center"/>
            <w:hideMark/>
          </w:tcPr>
          <w:p w14:paraId="227B1980"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±0.70–1.00</w:t>
            </w:r>
          </w:p>
        </w:tc>
        <w:tc>
          <w:tcPr>
            <w:tcW w:w="0" w:type="auto"/>
            <w:vAlign w:val="center"/>
            <w:hideMark/>
          </w:tcPr>
          <w:p w14:paraId="678E129F"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ITM</w:t>
            </w:r>
          </w:p>
        </w:tc>
      </w:tr>
    </w:tbl>
    <w:p w14:paraId="0DA6AAD2"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Implementation Steps</w:t>
      </w:r>
    </w:p>
    <w:p w14:paraId="4DF3F94E" w14:textId="77777777" w:rsidR="008E39ED" w:rsidRPr="008E39ED" w:rsidRDefault="008E39ED" w:rsidP="008E39ED">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Retrieve option chain. </w:t>
      </w:r>
    </w:p>
    <w:p w14:paraId="23AFF5F6" w14:textId="77777777" w:rsidR="008E39ED" w:rsidRPr="008E39ED" w:rsidRDefault="008E39ED" w:rsidP="008E39ED">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Calculate Delta using Black-Scholes. </w:t>
      </w:r>
    </w:p>
    <w:p w14:paraId="307BA2EE" w14:textId="77777777" w:rsidR="008E39ED" w:rsidRPr="008E39ED" w:rsidRDefault="008E39ED" w:rsidP="008E39ED">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Classify option moneyness. </w:t>
      </w:r>
    </w:p>
    <w:p w14:paraId="12263FA8" w14:textId="77777777" w:rsidR="008E39ED" w:rsidRPr="008E39ED" w:rsidRDefault="008E39ED" w:rsidP="008E39ED">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Generate the Options Score. </w:t>
      </w:r>
    </w:p>
    <w:p w14:paraId="6064D68A"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Notes</w:t>
      </w:r>
    </w:p>
    <w:p w14:paraId="1787430D" w14:textId="77777777" w:rsidR="008E39ED" w:rsidRPr="008E39ED" w:rsidRDefault="008E39ED" w:rsidP="008E39ED">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Use exchange-provided Greeks when available. </w:t>
      </w:r>
    </w:p>
    <w:p w14:paraId="3B24182C" w14:textId="77777777" w:rsidR="008E39ED" w:rsidRPr="008E39ED" w:rsidRDefault="008E39ED" w:rsidP="008E39ED">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Calculate internally only if unavailable. </w:t>
      </w:r>
    </w:p>
    <w:p w14:paraId="72C030A4"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331142F2">
          <v:rect id="_x0000_i1283" style="width:0;height:1.5pt" o:hralign="center" o:hrstd="t" o:hr="t" fillcolor="#a0a0a0" stroked="f"/>
        </w:pict>
      </w:r>
    </w:p>
    <w:p w14:paraId="5216E98E"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4. Card Fields</w:t>
      </w:r>
    </w:p>
    <w:p w14:paraId="540ACEA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Current Value</w:t>
      </w:r>
    </w:p>
    <w:p w14:paraId="3DA7470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Delta</w:t>
      </w:r>
    </w:p>
    <w:p w14:paraId="555D516E"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Option Type</w:t>
      </w:r>
    </w:p>
    <w:p w14:paraId="7809BA08"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Call / Put</w:t>
      </w:r>
    </w:p>
    <w:p w14:paraId="2832B34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Moneyness</w:t>
      </w:r>
    </w:p>
    <w:p w14:paraId="3C1473B3" w14:textId="77777777" w:rsidR="008E39ED" w:rsidRPr="008E39ED" w:rsidRDefault="008E39ED" w:rsidP="008E39ED">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ITM </w:t>
      </w:r>
    </w:p>
    <w:p w14:paraId="77A769BF" w14:textId="77777777" w:rsidR="008E39ED" w:rsidRPr="008E39ED" w:rsidRDefault="008E39ED" w:rsidP="008E39ED">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ATM </w:t>
      </w:r>
    </w:p>
    <w:p w14:paraId="6C90CEC7" w14:textId="77777777" w:rsidR="008E39ED" w:rsidRPr="008E39ED" w:rsidRDefault="008E39ED" w:rsidP="008E39ED">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OTM </w:t>
      </w:r>
    </w:p>
    <w:p w14:paraId="0A59950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Score</w:t>
      </w:r>
    </w:p>
    <w:p w14:paraId="29B6838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0–100</w:t>
      </w:r>
    </w:p>
    <w:p w14:paraId="59DFEFE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Bias</w:t>
      </w:r>
    </w:p>
    <w:p w14:paraId="7F02B340" w14:textId="77777777" w:rsidR="008E39ED" w:rsidRPr="008E39ED" w:rsidRDefault="008E39ED" w:rsidP="008E39ED">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Bullish </w:t>
      </w:r>
    </w:p>
    <w:p w14:paraId="25A38BA6" w14:textId="77777777" w:rsidR="008E39ED" w:rsidRPr="008E39ED" w:rsidRDefault="008E39ED" w:rsidP="008E39ED">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Neutral </w:t>
      </w:r>
    </w:p>
    <w:p w14:paraId="0E311A47" w14:textId="77777777" w:rsidR="008E39ED" w:rsidRPr="008E39ED" w:rsidRDefault="008E39ED" w:rsidP="008E39ED">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Bearish </w:t>
      </w:r>
    </w:p>
    <w:p w14:paraId="0CC9C766"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lastRenderedPageBreak/>
        <w:t>Confidence</w:t>
      </w:r>
    </w:p>
    <w:p w14:paraId="33F350F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Greeks Confidence</w:t>
      </w:r>
    </w:p>
    <w:p w14:paraId="18762DC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Impact Weight</w:t>
      </w:r>
    </w:p>
    <w:p w14:paraId="08C73CE2"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High</w:t>
      </w:r>
    </w:p>
    <w:p w14:paraId="5E775ACE"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38421907">
          <v:rect id="_x0000_i1284" style="width:0;height:1.5pt" o:hralign="center" o:hrstd="t" o:hr="t" fillcolor="#a0a0a0" stroked="f"/>
        </w:pict>
      </w:r>
    </w:p>
    <w:p w14:paraId="23E36D39"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8"/>
        <w:gridCol w:w="634"/>
        <w:gridCol w:w="1509"/>
      </w:tblGrid>
      <w:tr w:rsidR="008E39ED" w:rsidRPr="008E39ED" w14:paraId="32669B7C" w14:textId="77777777" w:rsidTr="008E39ED">
        <w:trPr>
          <w:tblHeader/>
          <w:tblCellSpacing w:w="15" w:type="dxa"/>
        </w:trPr>
        <w:tc>
          <w:tcPr>
            <w:tcW w:w="0" w:type="auto"/>
            <w:vAlign w:val="center"/>
            <w:hideMark/>
          </w:tcPr>
          <w:p w14:paraId="66E1FC1F" w14:textId="77777777" w:rsidR="008E39ED" w:rsidRPr="008E39ED" w:rsidRDefault="008E39ED" w:rsidP="008E39ED">
            <w:pPr>
              <w:spacing w:after="0" w:line="240" w:lineRule="auto"/>
              <w:jc w:val="center"/>
              <w:rPr>
                <w:rFonts w:ascii="Times New Roman" w:eastAsia="Times New Roman" w:hAnsi="Times New Roman" w:cs="Times New Roman"/>
                <w:b/>
                <w:bCs/>
                <w:sz w:val="24"/>
                <w:szCs w:val="24"/>
              </w:rPr>
            </w:pPr>
            <w:r w:rsidRPr="008E39ED">
              <w:rPr>
                <w:rFonts w:ascii="Times New Roman" w:eastAsia="Times New Roman" w:hAnsi="Times New Roman" w:cs="Times New Roman"/>
                <w:b/>
                <w:bCs/>
                <w:sz w:val="24"/>
                <w:szCs w:val="24"/>
              </w:rPr>
              <w:t>Condition</w:t>
            </w:r>
          </w:p>
        </w:tc>
        <w:tc>
          <w:tcPr>
            <w:tcW w:w="0" w:type="auto"/>
            <w:vAlign w:val="center"/>
            <w:hideMark/>
          </w:tcPr>
          <w:p w14:paraId="069217FE" w14:textId="77777777" w:rsidR="008E39ED" w:rsidRPr="008E39ED" w:rsidRDefault="008E39ED" w:rsidP="008E39ED">
            <w:pPr>
              <w:spacing w:after="0" w:line="240" w:lineRule="auto"/>
              <w:jc w:val="center"/>
              <w:rPr>
                <w:rFonts w:ascii="Times New Roman" w:eastAsia="Times New Roman" w:hAnsi="Times New Roman" w:cs="Times New Roman"/>
                <w:b/>
                <w:bCs/>
                <w:sz w:val="24"/>
                <w:szCs w:val="24"/>
              </w:rPr>
            </w:pPr>
            <w:r w:rsidRPr="008E39ED">
              <w:rPr>
                <w:rFonts w:ascii="Times New Roman" w:eastAsia="Times New Roman" w:hAnsi="Times New Roman" w:cs="Times New Roman"/>
                <w:b/>
                <w:bCs/>
                <w:sz w:val="24"/>
                <w:szCs w:val="24"/>
              </w:rPr>
              <w:t>Score</w:t>
            </w:r>
          </w:p>
        </w:tc>
        <w:tc>
          <w:tcPr>
            <w:tcW w:w="0" w:type="auto"/>
            <w:vAlign w:val="center"/>
            <w:hideMark/>
          </w:tcPr>
          <w:p w14:paraId="2DAF1FE0" w14:textId="77777777" w:rsidR="008E39ED" w:rsidRPr="008E39ED" w:rsidRDefault="008E39ED" w:rsidP="008E39ED">
            <w:pPr>
              <w:spacing w:after="0" w:line="240" w:lineRule="auto"/>
              <w:jc w:val="center"/>
              <w:rPr>
                <w:rFonts w:ascii="Times New Roman" w:eastAsia="Times New Roman" w:hAnsi="Times New Roman" w:cs="Times New Roman"/>
                <w:b/>
                <w:bCs/>
                <w:sz w:val="24"/>
                <w:szCs w:val="24"/>
              </w:rPr>
            </w:pPr>
            <w:r w:rsidRPr="008E39ED">
              <w:rPr>
                <w:rFonts w:ascii="Times New Roman" w:eastAsia="Times New Roman" w:hAnsi="Times New Roman" w:cs="Times New Roman"/>
                <w:b/>
                <w:bCs/>
                <w:sz w:val="24"/>
                <w:szCs w:val="24"/>
              </w:rPr>
              <w:t>Bias</w:t>
            </w:r>
          </w:p>
        </w:tc>
      </w:tr>
      <w:tr w:rsidR="008E39ED" w:rsidRPr="008E39ED" w14:paraId="278E585A" w14:textId="77777777" w:rsidTr="008E39ED">
        <w:trPr>
          <w:tblCellSpacing w:w="15" w:type="dxa"/>
        </w:trPr>
        <w:tc>
          <w:tcPr>
            <w:tcW w:w="0" w:type="auto"/>
            <w:vAlign w:val="center"/>
            <w:hideMark/>
          </w:tcPr>
          <w:p w14:paraId="2567A5FC"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Call Delta &gt;0.60</w:t>
            </w:r>
          </w:p>
        </w:tc>
        <w:tc>
          <w:tcPr>
            <w:tcW w:w="0" w:type="auto"/>
            <w:vAlign w:val="center"/>
            <w:hideMark/>
          </w:tcPr>
          <w:p w14:paraId="14578865"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90</w:t>
            </w:r>
          </w:p>
        </w:tc>
        <w:tc>
          <w:tcPr>
            <w:tcW w:w="0" w:type="auto"/>
            <w:vAlign w:val="center"/>
            <w:hideMark/>
          </w:tcPr>
          <w:p w14:paraId="7D1847FB"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Bullish</w:t>
            </w:r>
          </w:p>
        </w:tc>
      </w:tr>
      <w:tr w:rsidR="008E39ED" w:rsidRPr="008E39ED" w14:paraId="364FA3C3" w14:textId="77777777" w:rsidTr="008E39ED">
        <w:trPr>
          <w:tblCellSpacing w:w="15" w:type="dxa"/>
        </w:trPr>
        <w:tc>
          <w:tcPr>
            <w:tcW w:w="0" w:type="auto"/>
            <w:vAlign w:val="center"/>
            <w:hideMark/>
          </w:tcPr>
          <w:p w14:paraId="1AE04B64"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ATM Delta (0.40–0.60)</w:t>
            </w:r>
          </w:p>
        </w:tc>
        <w:tc>
          <w:tcPr>
            <w:tcW w:w="0" w:type="auto"/>
            <w:vAlign w:val="center"/>
            <w:hideMark/>
          </w:tcPr>
          <w:p w14:paraId="29B8F4E0"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70</w:t>
            </w:r>
          </w:p>
        </w:tc>
        <w:tc>
          <w:tcPr>
            <w:tcW w:w="0" w:type="auto"/>
            <w:vAlign w:val="center"/>
            <w:hideMark/>
          </w:tcPr>
          <w:p w14:paraId="3796FC09"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Neutral</w:t>
            </w:r>
          </w:p>
        </w:tc>
      </w:tr>
      <w:tr w:rsidR="008E39ED" w:rsidRPr="008E39ED" w14:paraId="2B8086E0" w14:textId="77777777" w:rsidTr="008E39ED">
        <w:trPr>
          <w:tblCellSpacing w:w="15" w:type="dxa"/>
        </w:trPr>
        <w:tc>
          <w:tcPr>
            <w:tcW w:w="0" w:type="auto"/>
            <w:vAlign w:val="center"/>
            <w:hideMark/>
          </w:tcPr>
          <w:p w14:paraId="284A360D"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Low Delta (&lt;0.30)</w:t>
            </w:r>
          </w:p>
        </w:tc>
        <w:tc>
          <w:tcPr>
            <w:tcW w:w="0" w:type="auto"/>
            <w:vAlign w:val="center"/>
            <w:hideMark/>
          </w:tcPr>
          <w:p w14:paraId="42084BC4"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45</w:t>
            </w:r>
          </w:p>
        </w:tc>
        <w:tc>
          <w:tcPr>
            <w:tcW w:w="0" w:type="auto"/>
            <w:vAlign w:val="center"/>
            <w:hideMark/>
          </w:tcPr>
          <w:p w14:paraId="534F7D23"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Weak</w:t>
            </w:r>
          </w:p>
        </w:tc>
      </w:tr>
      <w:tr w:rsidR="008E39ED" w:rsidRPr="008E39ED" w14:paraId="77B9F0D3" w14:textId="77777777" w:rsidTr="008E39ED">
        <w:trPr>
          <w:tblCellSpacing w:w="15" w:type="dxa"/>
        </w:trPr>
        <w:tc>
          <w:tcPr>
            <w:tcW w:w="0" w:type="auto"/>
            <w:vAlign w:val="center"/>
            <w:hideMark/>
          </w:tcPr>
          <w:p w14:paraId="7CC30D12"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Put Delta &lt;-0.60</w:t>
            </w:r>
          </w:p>
        </w:tc>
        <w:tc>
          <w:tcPr>
            <w:tcW w:w="0" w:type="auto"/>
            <w:vAlign w:val="center"/>
            <w:hideMark/>
          </w:tcPr>
          <w:p w14:paraId="61D9799A"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15</w:t>
            </w:r>
          </w:p>
        </w:tc>
        <w:tc>
          <w:tcPr>
            <w:tcW w:w="0" w:type="auto"/>
            <w:vAlign w:val="center"/>
            <w:hideMark/>
          </w:tcPr>
          <w:p w14:paraId="6F1AF1C4"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Strong Bearish</w:t>
            </w:r>
          </w:p>
        </w:tc>
      </w:tr>
    </w:tbl>
    <w:p w14:paraId="3358BBF9"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Notes</w:t>
      </w:r>
    </w:p>
    <w:p w14:paraId="6E3019E5" w14:textId="77777777" w:rsidR="008E39ED" w:rsidRPr="008E39ED" w:rsidRDefault="008E39ED" w:rsidP="008E39ED">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Higher positive Delta indicates stronger bullish exposure. </w:t>
      </w:r>
    </w:p>
    <w:p w14:paraId="465E493F" w14:textId="77777777" w:rsidR="008E39ED" w:rsidRPr="008E39ED" w:rsidRDefault="008E39ED" w:rsidP="008E39ED">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Larger negative Put Delta indicates stronger bearish exposure. </w:t>
      </w:r>
    </w:p>
    <w:p w14:paraId="2A2CD4D3" w14:textId="77777777" w:rsidR="008E39ED" w:rsidRPr="008E39ED" w:rsidRDefault="008E39ED" w:rsidP="008E39ED">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Confirm with Gamma and OI Change. </w:t>
      </w:r>
    </w:p>
    <w:p w14:paraId="14ED5B73"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5AC6F696">
          <v:rect id="_x0000_i1285" style="width:0;height:1.5pt" o:hralign="center" o:hrstd="t" o:hr="t" fillcolor="#a0a0a0" stroked="f"/>
        </w:pict>
      </w:r>
    </w:p>
    <w:p w14:paraId="70DA187A"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6. Bias Rules</w:t>
      </w:r>
    </w:p>
    <w:p w14:paraId="79E9E805"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High Positive Delta</w:t>
      </w:r>
    </w:p>
    <w:p w14:paraId="1D76F0A5"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Bullish</w:t>
      </w:r>
    </w:p>
    <w:p w14:paraId="76FAA1E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ATM Delta</w:t>
      </w:r>
    </w:p>
    <w:p w14:paraId="08225BC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Neutral</w:t>
      </w:r>
    </w:p>
    <w:p w14:paraId="2927F67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High Negative Delta</w:t>
      </w:r>
    </w:p>
    <w:p w14:paraId="7D277298"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Bearish</w:t>
      </w:r>
    </w:p>
    <w:p w14:paraId="6D642DF9"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1DEEB88D">
          <v:rect id="_x0000_i1286" style="width:0;height:1.5pt" o:hralign="center" o:hrstd="t" o:hr="t" fillcolor="#a0a0a0" stroked="f"/>
        </w:pict>
      </w:r>
    </w:p>
    <w:p w14:paraId="374493EE"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lastRenderedPageBreak/>
        <w:t>7. Confidence Logic</w:t>
      </w:r>
    </w:p>
    <w:p w14:paraId="5CEBEFA5"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Base Confidence</w:t>
      </w:r>
    </w:p>
    <w:p w14:paraId="6255732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90%</w:t>
      </w:r>
    </w:p>
    <w:p w14:paraId="032F22FE"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Increase Confidence</w:t>
      </w:r>
    </w:p>
    <w:p w14:paraId="425E27D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+5% High option liquidity</w:t>
      </w:r>
    </w:p>
    <w:p w14:paraId="312C2EF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+5% Stable IV</w:t>
      </w:r>
    </w:p>
    <w:p w14:paraId="071296D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+5% Narrow bid-ask spread</w:t>
      </w:r>
    </w:p>
    <w:p w14:paraId="6F329405"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Decrease Confidence</w:t>
      </w:r>
    </w:p>
    <w:p w14:paraId="026567B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-10% Low liquidity</w:t>
      </w:r>
    </w:p>
    <w:p w14:paraId="0747F67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-5% High IV distortion</w:t>
      </w:r>
    </w:p>
    <w:p w14:paraId="6EC66B0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-5% Expiry-day volatility</w:t>
      </w:r>
    </w:p>
    <w:p w14:paraId="4D03CBF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Minimum</w:t>
      </w:r>
    </w:p>
    <w:p w14:paraId="25B384F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65%</w:t>
      </w:r>
    </w:p>
    <w:p w14:paraId="72FFC15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Maximum</w:t>
      </w:r>
    </w:p>
    <w:p w14:paraId="58A9958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99%</w:t>
      </w:r>
    </w:p>
    <w:p w14:paraId="7CDB25CD"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6A2ACDD0">
          <v:rect id="_x0000_i1287" style="width:0;height:1.5pt" o:hralign="center" o:hrstd="t" o:hr="t" fillcolor="#a0a0a0" stroked="f"/>
        </w:pict>
      </w:r>
    </w:p>
    <w:p w14:paraId="7E4612AB"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8. Score Range Bar</w:t>
      </w:r>
    </w:p>
    <w:p w14:paraId="61472B3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Minimum</w:t>
      </w:r>
    </w:p>
    <w:p w14:paraId="0252025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0</w:t>
      </w:r>
    </w:p>
    <w:p w14:paraId="1F30E59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Maximum</w:t>
      </w:r>
    </w:p>
    <w:p w14:paraId="31E5138C"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100</w:t>
      </w:r>
    </w:p>
    <w:p w14:paraId="3C2BC118"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Pointer</w:t>
      </w:r>
    </w:p>
    <w:p w14:paraId="759B8A6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lastRenderedPageBreak/>
        <w:t>Current Score</w:t>
      </w:r>
    </w:p>
    <w:p w14:paraId="6B18DB8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Average Marker</w:t>
      </w:r>
    </w:p>
    <w:p w14:paraId="33AB4CC5"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30-Day Average Score</w:t>
      </w:r>
    </w:p>
    <w:p w14:paraId="4DAD0359"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Color Zones</w:t>
      </w:r>
    </w:p>
    <w:p w14:paraId="016648C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0–30 → Bearish</w:t>
      </w:r>
    </w:p>
    <w:p w14:paraId="4C0191F1"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30–60 → Neutral</w:t>
      </w:r>
    </w:p>
    <w:p w14:paraId="73489A1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60–80 → Bullish</w:t>
      </w:r>
    </w:p>
    <w:p w14:paraId="434D9F2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80–100 → Strong Bullish</w:t>
      </w:r>
    </w:p>
    <w:p w14:paraId="13E094BC"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0726A78A">
          <v:rect id="_x0000_i1288" style="width:0;height:1.5pt" o:hralign="center" o:hrstd="t" o:hr="t" fillcolor="#a0a0a0" stroked="f"/>
        </w:pict>
      </w:r>
    </w:p>
    <w:p w14:paraId="29B6AECA"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9. Dual Trend Chart</w:t>
      </w:r>
    </w:p>
    <w:p w14:paraId="605C419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Chart Type</w:t>
      </w:r>
    </w:p>
    <w:p w14:paraId="4E4D1F4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Dual Line</w:t>
      </w:r>
    </w:p>
    <w:p w14:paraId="7FB52C45"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Line 1</w:t>
      </w:r>
    </w:p>
    <w:p w14:paraId="64705896"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Delta</w:t>
      </w:r>
    </w:p>
    <w:p w14:paraId="450366B5"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Line 2</w:t>
      </w:r>
    </w:p>
    <w:p w14:paraId="2E87FD08"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Praxis Score</w:t>
      </w:r>
    </w:p>
    <w:p w14:paraId="3202D62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History</w:t>
      </w:r>
    </w:p>
    <w:p w14:paraId="31DD68A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30 Trading Days</w:t>
      </w:r>
    </w:p>
    <w:p w14:paraId="1603F4F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Update</w:t>
      </w:r>
    </w:p>
    <w:p w14:paraId="30DA0AC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Every option chain refresh.</w:t>
      </w:r>
    </w:p>
    <w:p w14:paraId="37DBC2EB"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70F62016">
          <v:rect id="_x0000_i1289" style="width:0;height:1.5pt" o:hralign="center" o:hrstd="t" o:hr="t" fillcolor="#a0a0a0" stroked="f"/>
        </w:pict>
      </w:r>
    </w:p>
    <w:p w14:paraId="04D17051"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10. AI Insight Rules</w:t>
      </w:r>
    </w:p>
    <w:p w14:paraId="71CE76B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lastRenderedPageBreak/>
        <w:t>High Positive Delta</w:t>
      </w:r>
    </w:p>
    <w:p w14:paraId="18AD398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Explain that the option is highly responsive to upward price movement.</w:t>
      </w:r>
    </w:p>
    <w:p w14:paraId="4884AB0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ATM Delta</w:t>
      </w:r>
    </w:p>
    <w:p w14:paraId="24A16A0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Explain that the option provides balanced directional exposure.</w:t>
      </w:r>
    </w:p>
    <w:p w14:paraId="5F6E7E5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High Negative Delta</w:t>
      </w:r>
    </w:p>
    <w:p w14:paraId="2CF2A97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Explain that the option benefits from declining underlying prices.</w:t>
      </w:r>
    </w:p>
    <w:p w14:paraId="745C722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Rapid Delta Change</w:t>
      </w:r>
    </w:p>
    <w:p w14:paraId="199525C8"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Explain that directional sensitivity is changing quickly due to price movement.</w:t>
      </w:r>
    </w:p>
    <w:p w14:paraId="09D71FD5"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2D39ECB8">
          <v:rect id="_x0000_i1290" style="width:0;height:1.5pt" o:hralign="center" o:hrstd="t" o:hr="t" fillcolor="#a0a0a0" stroked="f"/>
        </w:pict>
      </w:r>
    </w:p>
    <w:p w14:paraId="1CECEE5F"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11. Why It Matters</w:t>
      </w:r>
    </w:p>
    <w:p w14:paraId="48816AA2" w14:textId="77777777" w:rsidR="008E39ED" w:rsidRPr="008E39ED" w:rsidRDefault="008E39ED" w:rsidP="008E39ED">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Measures directional exposure. </w:t>
      </w:r>
    </w:p>
    <w:p w14:paraId="27E4A491" w14:textId="77777777" w:rsidR="008E39ED" w:rsidRPr="008E39ED" w:rsidRDefault="008E39ED" w:rsidP="008E39ED">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Helps select appropriate strike prices. </w:t>
      </w:r>
    </w:p>
    <w:p w14:paraId="098A0EBE" w14:textId="77777777" w:rsidR="008E39ED" w:rsidRPr="008E39ED" w:rsidRDefault="008E39ED" w:rsidP="008E39ED">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Supports hedging strategies. </w:t>
      </w:r>
    </w:p>
    <w:p w14:paraId="10644E1E" w14:textId="77777777" w:rsidR="008E39ED" w:rsidRPr="008E39ED" w:rsidRDefault="008E39ED" w:rsidP="008E39ED">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Estimates option sensitivity. </w:t>
      </w:r>
    </w:p>
    <w:p w14:paraId="73158620" w14:textId="77777777" w:rsidR="008E39ED" w:rsidRPr="008E39ED" w:rsidRDefault="008E39ED" w:rsidP="008E39ED">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Widely used by professional options traders. </w:t>
      </w:r>
    </w:p>
    <w:p w14:paraId="1BC7606E"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223B2B15">
          <v:rect id="_x0000_i1291" style="width:0;height:1.5pt" o:hralign="center" o:hrstd="t" o:hr="t" fillcolor="#a0a0a0" stroked="f"/>
        </w:pict>
      </w:r>
    </w:p>
    <w:p w14:paraId="4ACB1787"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12. Trading Impact</w:t>
      </w:r>
    </w:p>
    <w:p w14:paraId="6C527F6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Intraday</w:t>
      </w:r>
    </w:p>
    <w:p w14:paraId="33EE0801"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Segoe UI Symbol" w:eastAsia="Times New Roman" w:hAnsi="Segoe UI Symbol" w:cs="Segoe UI Symbol"/>
          <w:sz w:val="24"/>
          <w:szCs w:val="24"/>
        </w:rPr>
        <w:t>★★★★★</w:t>
      </w:r>
    </w:p>
    <w:p w14:paraId="4DB5DEC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Swing Trading</w:t>
      </w:r>
    </w:p>
    <w:p w14:paraId="552FB4D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Segoe UI Symbol" w:eastAsia="Times New Roman" w:hAnsi="Segoe UI Symbol" w:cs="Segoe UI Symbol"/>
          <w:sz w:val="24"/>
          <w:szCs w:val="24"/>
        </w:rPr>
        <w:t>★★★★★</w:t>
      </w:r>
    </w:p>
    <w:p w14:paraId="223A237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Positional Trading</w:t>
      </w:r>
    </w:p>
    <w:p w14:paraId="2B6FEB12"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Segoe UI Symbol" w:eastAsia="Times New Roman" w:hAnsi="Segoe UI Symbol" w:cs="Segoe UI Symbol"/>
          <w:sz w:val="24"/>
          <w:szCs w:val="24"/>
        </w:rPr>
        <w:t>★★★★☆</w:t>
      </w:r>
    </w:p>
    <w:p w14:paraId="7F99CCA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Options Trading</w:t>
      </w:r>
    </w:p>
    <w:p w14:paraId="4A4D2EE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Segoe UI Symbol" w:eastAsia="Times New Roman" w:hAnsi="Segoe UI Symbol" w:cs="Segoe UI Symbol"/>
          <w:sz w:val="24"/>
          <w:szCs w:val="24"/>
        </w:rPr>
        <w:lastRenderedPageBreak/>
        <w:t>★★★★★</w:t>
      </w:r>
    </w:p>
    <w:p w14:paraId="0E0E61DE"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Best Use</w:t>
      </w:r>
    </w:p>
    <w:p w14:paraId="58CD295C"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Evaluating directional exposure.</w:t>
      </w:r>
    </w:p>
    <w:p w14:paraId="51B8929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Avoid Using Alone</w:t>
      </w:r>
    </w:p>
    <w:p w14:paraId="30DCF22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Yes</w:t>
      </w:r>
    </w:p>
    <w:p w14:paraId="27431565"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52F08F1B">
          <v:rect id="_x0000_i1292" style="width:0;height:1.5pt" o:hralign="center" o:hrstd="t" o:hr="t" fillcolor="#a0a0a0" stroked="f"/>
        </w:pict>
      </w:r>
    </w:p>
    <w:p w14:paraId="539878E4"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13. Supporting Indicators</w:t>
      </w:r>
    </w:p>
    <w:p w14:paraId="1B629B52" w14:textId="77777777" w:rsidR="008E39ED" w:rsidRPr="008E39ED" w:rsidRDefault="008E39ED" w:rsidP="008E39ED">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Gamma </w:t>
      </w:r>
    </w:p>
    <w:p w14:paraId="30ED601F" w14:textId="77777777" w:rsidR="008E39ED" w:rsidRPr="008E39ED" w:rsidRDefault="008E39ED" w:rsidP="008E39ED">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Theta </w:t>
      </w:r>
    </w:p>
    <w:p w14:paraId="1D8D5C1B" w14:textId="77777777" w:rsidR="008E39ED" w:rsidRPr="008E39ED" w:rsidRDefault="008E39ED" w:rsidP="008E39ED">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Vega </w:t>
      </w:r>
    </w:p>
    <w:p w14:paraId="53133F4A" w14:textId="77777777" w:rsidR="008E39ED" w:rsidRPr="008E39ED" w:rsidRDefault="008E39ED" w:rsidP="008E39ED">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ATM IV </w:t>
      </w:r>
    </w:p>
    <w:p w14:paraId="246FDEAA" w14:textId="77777777" w:rsidR="008E39ED" w:rsidRPr="008E39ED" w:rsidRDefault="008E39ED" w:rsidP="008E39ED">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OI Change </w:t>
      </w:r>
    </w:p>
    <w:p w14:paraId="72BDDEFF" w14:textId="77777777" w:rsidR="008E39ED" w:rsidRPr="008E39ED" w:rsidRDefault="008E39ED" w:rsidP="008E39ED">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PCR (OI) </w:t>
      </w:r>
    </w:p>
    <w:p w14:paraId="7920C229"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71AEEDC6">
          <v:rect id="_x0000_i1293" style="width:0;height:1.5pt" o:hralign="center" o:hrstd="t" o:hr="t" fillcolor="#a0a0a0" stroked="f"/>
        </w:pict>
      </w:r>
    </w:p>
    <w:p w14:paraId="78C5A3E4"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14. Metadata</w:t>
      </w:r>
    </w:p>
    <w:p w14:paraId="512D4B8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Source</w:t>
      </w:r>
    </w:p>
    <w:p w14:paraId="51B8457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NSE Option Chain / Upstox API</w:t>
      </w:r>
    </w:p>
    <w:p w14:paraId="254D35D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Calculation</w:t>
      </w:r>
    </w:p>
    <w:p w14:paraId="1E16D2D2"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Exchange Greeks / Backend</w:t>
      </w:r>
    </w:p>
    <w:p w14:paraId="6CA27CB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Updated</w:t>
      </w:r>
    </w:p>
    <w:p w14:paraId="309805D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Every Option Chain Refresh</w:t>
      </w:r>
    </w:p>
    <w:p w14:paraId="53252FAC"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proofErr w:type="spellStart"/>
      <w:r w:rsidRPr="008E39ED">
        <w:rPr>
          <w:rFonts w:ascii="Times New Roman" w:eastAsia="Times New Roman" w:hAnsi="Times New Roman" w:cs="Times New Roman"/>
          <w:b/>
          <w:bCs/>
          <w:sz w:val="24"/>
          <w:szCs w:val="24"/>
        </w:rPr>
        <w:t>Timezone</w:t>
      </w:r>
      <w:proofErr w:type="spellEnd"/>
    </w:p>
    <w:p w14:paraId="54A2AB28"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Asia/Kolkata</w:t>
      </w:r>
    </w:p>
    <w:p w14:paraId="7F8CF6E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Storage</w:t>
      </w:r>
    </w:p>
    <w:p w14:paraId="5DE989F5"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Local Electron Database</w:t>
      </w:r>
    </w:p>
    <w:p w14:paraId="635E6E1E"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lastRenderedPageBreak/>
        <w:pict w14:anchorId="5EE4C581">
          <v:rect id="_x0000_i1294" style="width:0;height:1.5pt" o:hralign="center" o:hrstd="t" o:hr="t" fillcolor="#a0a0a0" stroked="f"/>
        </w:pict>
      </w:r>
    </w:p>
    <w:p w14:paraId="38B3673D"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15. Developer Notes</w:t>
      </w:r>
    </w:p>
    <w:p w14:paraId="558C700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Store:</w:t>
      </w:r>
    </w:p>
    <w:p w14:paraId="07B32A85" w14:textId="77777777" w:rsidR="008E39ED" w:rsidRPr="008E39ED" w:rsidRDefault="008E39ED" w:rsidP="008E39ED">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Delta </w:t>
      </w:r>
    </w:p>
    <w:p w14:paraId="7F72DF98" w14:textId="77777777" w:rsidR="008E39ED" w:rsidRPr="008E39ED" w:rsidRDefault="008E39ED" w:rsidP="008E39ED">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Option Type </w:t>
      </w:r>
    </w:p>
    <w:p w14:paraId="74F8BBA8" w14:textId="77777777" w:rsidR="008E39ED" w:rsidRPr="008E39ED" w:rsidRDefault="008E39ED" w:rsidP="008E39ED">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Strike Price </w:t>
      </w:r>
    </w:p>
    <w:p w14:paraId="05441C8A" w14:textId="77777777" w:rsidR="008E39ED" w:rsidRPr="008E39ED" w:rsidRDefault="008E39ED" w:rsidP="008E39ED">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Moneyness </w:t>
      </w:r>
    </w:p>
    <w:p w14:paraId="21077B07" w14:textId="77777777" w:rsidR="008E39ED" w:rsidRPr="008E39ED" w:rsidRDefault="008E39ED" w:rsidP="008E39ED">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Current Score </w:t>
      </w:r>
    </w:p>
    <w:p w14:paraId="37078B6B" w14:textId="77777777" w:rsidR="008E39ED" w:rsidRPr="008E39ED" w:rsidRDefault="008E39ED" w:rsidP="008E39ED">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Confidence </w:t>
      </w:r>
    </w:p>
    <w:p w14:paraId="377C5379" w14:textId="77777777" w:rsidR="008E39ED" w:rsidRPr="008E39ED" w:rsidRDefault="008E39ED" w:rsidP="008E39ED">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Last Updated </w:t>
      </w:r>
    </w:p>
    <w:p w14:paraId="379B2D5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Prefer exchange-provided Delta values. Fall back to Black-Scholes calculations when exchange Greeks are unavailable.</w:t>
      </w:r>
    </w:p>
    <w:p w14:paraId="57280B8C"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0979DA61">
          <v:rect id="_x0000_i1295" style="width:0;height:1.5pt" o:hralign="center" o:hrstd="t" o:hr="t" fillcolor="#a0a0a0" stroked="f"/>
        </w:pict>
      </w:r>
    </w:p>
    <w:p w14:paraId="364FCDA1"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 xml:space="preserve">16. Praxis Engine Integration </w:t>
      </w:r>
      <w:r w:rsidRPr="008E39ED">
        <w:rPr>
          <w:rFonts w:ascii="Segoe UI Emoji" w:eastAsia="Times New Roman" w:hAnsi="Segoe UI Emoji" w:cs="Segoe UI Emoji"/>
          <w:b/>
          <w:bCs/>
          <w:kern w:val="36"/>
          <w:sz w:val="48"/>
          <w:szCs w:val="48"/>
        </w:rPr>
        <w:t>⭐</w:t>
      </w:r>
    </w:p>
    <w:p w14:paraId="2E90762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Engine Weight</w:t>
      </w:r>
    </w:p>
    <w:p w14:paraId="77126A45"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Configurable</w:t>
      </w:r>
    </w:p>
    <w:p w14:paraId="1883D5A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Relative Importance</w:t>
      </w:r>
    </w:p>
    <w:p w14:paraId="14A90406"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Very High</w:t>
      </w:r>
    </w:p>
    <w:p w14:paraId="330C1A2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Decision Engine Role</w:t>
      </w:r>
    </w:p>
    <w:p w14:paraId="7254C21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Directional Exposure Assessment</w:t>
      </w:r>
    </w:p>
    <w:p w14:paraId="38A76186"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Primary Use</w:t>
      </w:r>
    </w:p>
    <w:p w14:paraId="085511B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Measure option price sensitivity to movements in the underlying asset.</w:t>
      </w:r>
    </w:p>
    <w:p w14:paraId="42968B7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Bullish Confirmation</w:t>
      </w:r>
    </w:p>
    <w:p w14:paraId="24719EEA" w14:textId="77777777" w:rsidR="008E39ED" w:rsidRPr="008E39ED" w:rsidRDefault="008E39ED" w:rsidP="008E39ED">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High Call Delta </w:t>
      </w:r>
    </w:p>
    <w:p w14:paraId="35EA3772" w14:textId="77777777" w:rsidR="008E39ED" w:rsidRPr="008E39ED" w:rsidRDefault="008E39ED" w:rsidP="008E39ED">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Long Build-up </w:t>
      </w:r>
    </w:p>
    <w:p w14:paraId="755DF258" w14:textId="77777777" w:rsidR="008E39ED" w:rsidRPr="008E39ED" w:rsidRDefault="008E39ED" w:rsidP="008E39ED">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Bullish PCR </w:t>
      </w:r>
    </w:p>
    <w:p w14:paraId="30270352"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Bearish Confirmation</w:t>
      </w:r>
    </w:p>
    <w:p w14:paraId="63B72340" w14:textId="77777777" w:rsidR="008E39ED" w:rsidRPr="008E39ED" w:rsidRDefault="008E39ED" w:rsidP="008E39ED">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lastRenderedPageBreak/>
        <w:t xml:space="preserve">High Put Delta </w:t>
      </w:r>
    </w:p>
    <w:p w14:paraId="03D02C84" w14:textId="77777777" w:rsidR="008E39ED" w:rsidRPr="008E39ED" w:rsidRDefault="008E39ED" w:rsidP="008E39ED">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Short Build-up </w:t>
      </w:r>
    </w:p>
    <w:p w14:paraId="64486465" w14:textId="77777777" w:rsidR="008E39ED" w:rsidRPr="008E39ED" w:rsidRDefault="008E39ED" w:rsidP="008E39ED">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Rising IV </w:t>
      </w:r>
    </w:p>
    <w:p w14:paraId="4840697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Display Priority</w:t>
      </w:r>
    </w:p>
    <w:p w14:paraId="6A1B780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Highest</w:t>
      </w:r>
    </w:p>
    <w:p w14:paraId="3AD7ED3F"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22BB8006">
          <v:rect id="_x0000_i1296" style="width:0;height:1.5pt" o:hralign="center" o:hrstd="t" o:hr="t" fillcolor="#a0a0a0" stroked="f"/>
        </w:pict>
      </w:r>
    </w:p>
    <w:p w14:paraId="08B561C8"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17. Praxis Recommendation</w:t>
      </w:r>
    </w:p>
    <w:p w14:paraId="3174EB9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Delta should serve as the </w:t>
      </w:r>
      <w:r w:rsidRPr="008E39ED">
        <w:rPr>
          <w:rFonts w:ascii="Times New Roman" w:eastAsia="Times New Roman" w:hAnsi="Times New Roman" w:cs="Times New Roman"/>
          <w:b/>
          <w:bCs/>
          <w:sz w:val="24"/>
          <w:szCs w:val="24"/>
        </w:rPr>
        <w:t>primary directional Greek</w:t>
      </w:r>
      <w:r w:rsidRPr="008E39ED">
        <w:rPr>
          <w:rFonts w:ascii="Times New Roman" w:eastAsia="Times New Roman" w:hAnsi="Times New Roman" w:cs="Times New Roman"/>
          <w:sz w:val="24"/>
          <w:szCs w:val="24"/>
        </w:rPr>
        <w:t xml:space="preserve"> within the Greeks category.</w:t>
      </w:r>
    </w:p>
    <w:p w14:paraId="6D7F6AC1"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Greeks Hierarchy</w:t>
      </w:r>
    </w:p>
    <w:p w14:paraId="4C2F58F6" w14:textId="77777777" w:rsidR="008E39ED" w:rsidRPr="008E39ED" w:rsidRDefault="008E39ED" w:rsidP="008E39ED">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8E39ED">
        <w:rPr>
          <w:rFonts w:ascii="Segoe UI Emoji" w:eastAsia="Times New Roman" w:hAnsi="Segoe UI Emoji" w:cs="Segoe UI Emoji"/>
          <w:sz w:val="24"/>
          <w:szCs w:val="24"/>
        </w:rPr>
        <w:t>⭐⭐⭐⭐⭐</w:t>
      </w:r>
      <w:r w:rsidRPr="008E39ED">
        <w:rPr>
          <w:rFonts w:ascii="Times New Roman" w:eastAsia="Times New Roman" w:hAnsi="Times New Roman" w:cs="Times New Roman"/>
          <w:sz w:val="24"/>
          <w:szCs w:val="24"/>
        </w:rPr>
        <w:t xml:space="preserve"> Delta </w:t>
      </w:r>
    </w:p>
    <w:p w14:paraId="4F74B01B" w14:textId="77777777" w:rsidR="008E39ED" w:rsidRPr="008E39ED" w:rsidRDefault="008E39ED" w:rsidP="008E39ED">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8E39ED">
        <w:rPr>
          <w:rFonts w:ascii="Segoe UI Emoji" w:eastAsia="Times New Roman" w:hAnsi="Segoe UI Emoji" w:cs="Segoe UI Emoji"/>
          <w:sz w:val="24"/>
          <w:szCs w:val="24"/>
        </w:rPr>
        <w:t>⭐⭐⭐⭐</w:t>
      </w:r>
      <w:r w:rsidRPr="008E39ED">
        <w:rPr>
          <w:rFonts w:ascii="Segoe UI Symbol" w:eastAsia="Times New Roman" w:hAnsi="Segoe UI Symbol" w:cs="Segoe UI Symbol"/>
          <w:sz w:val="24"/>
          <w:szCs w:val="24"/>
        </w:rPr>
        <w:t>☆</w:t>
      </w:r>
      <w:r w:rsidRPr="008E39ED">
        <w:rPr>
          <w:rFonts w:ascii="Times New Roman" w:eastAsia="Times New Roman" w:hAnsi="Times New Roman" w:cs="Times New Roman"/>
          <w:sz w:val="24"/>
          <w:szCs w:val="24"/>
        </w:rPr>
        <w:t xml:space="preserve"> Gamma </w:t>
      </w:r>
    </w:p>
    <w:p w14:paraId="4A94D460" w14:textId="77777777" w:rsidR="008E39ED" w:rsidRPr="008E39ED" w:rsidRDefault="008E39ED" w:rsidP="008E39ED">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8E39ED">
        <w:rPr>
          <w:rFonts w:ascii="Segoe UI Emoji" w:eastAsia="Times New Roman" w:hAnsi="Segoe UI Emoji" w:cs="Segoe UI Emoji"/>
          <w:sz w:val="24"/>
          <w:szCs w:val="24"/>
        </w:rPr>
        <w:t>⭐⭐⭐⭐</w:t>
      </w:r>
      <w:r w:rsidRPr="008E39ED">
        <w:rPr>
          <w:rFonts w:ascii="Segoe UI Symbol" w:eastAsia="Times New Roman" w:hAnsi="Segoe UI Symbol" w:cs="Segoe UI Symbol"/>
          <w:sz w:val="24"/>
          <w:szCs w:val="24"/>
        </w:rPr>
        <w:t>☆</w:t>
      </w:r>
      <w:r w:rsidRPr="008E39ED">
        <w:rPr>
          <w:rFonts w:ascii="Times New Roman" w:eastAsia="Times New Roman" w:hAnsi="Times New Roman" w:cs="Times New Roman"/>
          <w:sz w:val="24"/>
          <w:szCs w:val="24"/>
        </w:rPr>
        <w:t xml:space="preserve"> Theta </w:t>
      </w:r>
    </w:p>
    <w:p w14:paraId="4AA4352D" w14:textId="77777777" w:rsidR="008E39ED" w:rsidRPr="008E39ED" w:rsidRDefault="008E39ED" w:rsidP="008E39ED">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8E39ED">
        <w:rPr>
          <w:rFonts w:ascii="Segoe UI Emoji" w:eastAsia="Times New Roman" w:hAnsi="Segoe UI Emoji" w:cs="Segoe UI Emoji"/>
          <w:sz w:val="24"/>
          <w:szCs w:val="24"/>
        </w:rPr>
        <w:t>⭐⭐⭐⭐</w:t>
      </w:r>
      <w:r w:rsidRPr="008E39ED">
        <w:rPr>
          <w:rFonts w:ascii="Segoe UI Symbol" w:eastAsia="Times New Roman" w:hAnsi="Segoe UI Symbol" w:cs="Segoe UI Symbol"/>
          <w:sz w:val="24"/>
          <w:szCs w:val="24"/>
        </w:rPr>
        <w:t>☆</w:t>
      </w:r>
      <w:r w:rsidRPr="008E39ED">
        <w:rPr>
          <w:rFonts w:ascii="Times New Roman" w:eastAsia="Times New Roman" w:hAnsi="Times New Roman" w:cs="Times New Roman"/>
          <w:sz w:val="24"/>
          <w:szCs w:val="24"/>
        </w:rPr>
        <w:t xml:space="preserve"> Vega </w:t>
      </w:r>
    </w:p>
    <w:p w14:paraId="1898D212"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Engine Rules</w:t>
      </w:r>
    </w:p>
    <w:p w14:paraId="39BFC465" w14:textId="77777777" w:rsidR="008E39ED" w:rsidRPr="008E39ED" w:rsidRDefault="008E39ED" w:rsidP="008E39ED">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High Call Delta + Bullish PCR + Long Build-up → Increase Options Score. </w:t>
      </w:r>
    </w:p>
    <w:p w14:paraId="0CDE37F4" w14:textId="77777777" w:rsidR="008E39ED" w:rsidRPr="008E39ED" w:rsidRDefault="008E39ED" w:rsidP="008E39ED">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High Put Delta + Short Build-up → Reduce Options Score. </w:t>
      </w:r>
    </w:p>
    <w:p w14:paraId="44153646" w14:textId="77777777" w:rsidR="008E39ED" w:rsidRPr="008E39ED" w:rsidRDefault="008E39ED" w:rsidP="008E39ED">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Confirm Delta with Gamma before generating high-confidence directional signals. </w:t>
      </w:r>
    </w:p>
    <w:p w14:paraId="7CD002D4" w14:textId="6B459EF3" w:rsidR="008E39ED" w:rsidRDefault="008E39ED" w:rsidP="008E39ED">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Use Delta as the primary Greek for evaluating directional exposure and option responsiveness.</w:t>
      </w:r>
    </w:p>
    <w:p w14:paraId="68EFB31B" w14:textId="4EB70320"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5DFFC72D" w14:textId="38890069"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7AE187AB" w14:textId="391EAEEC"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69295AB0" w14:textId="728912A9"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0F9DDFD9" w14:textId="36A14473"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63CBC797" w14:textId="1BB4E791"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379BC3BA" w14:textId="77777777" w:rsidR="00A5115D" w:rsidRPr="008E39E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10D1C750"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8E39ED">
        <w:rPr>
          <w:rFonts w:ascii="Times New Roman" w:eastAsia="Times New Roman" w:hAnsi="Times New Roman" w:cs="Times New Roman"/>
          <w:b/>
          <w:bCs/>
          <w:color w:val="FF0000"/>
          <w:kern w:val="36"/>
          <w:sz w:val="48"/>
          <w:szCs w:val="48"/>
        </w:rPr>
        <w:lastRenderedPageBreak/>
        <w:t>10. Gamma</w:t>
      </w:r>
    </w:p>
    <w:p w14:paraId="5AD80C9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Module:</w:t>
      </w:r>
      <w:r w:rsidRPr="008E39ED">
        <w:rPr>
          <w:rFonts w:ascii="Times New Roman" w:eastAsia="Times New Roman" w:hAnsi="Times New Roman" w:cs="Times New Roman"/>
          <w:sz w:val="24"/>
          <w:szCs w:val="24"/>
        </w:rPr>
        <w:t xml:space="preserve"> Options</w:t>
      </w:r>
      <w:r w:rsidRPr="008E39ED">
        <w:rPr>
          <w:rFonts w:ascii="Times New Roman" w:eastAsia="Times New Roman" w:hAnsi="Times New Roman" w:cs="Times New Roman"/>
          <w:sz w:val="24"/>
          <w:szCs w:val="24"/>
        </w:rPr>
        <w:br/>
      </w:r>
      <w:r w:rsidRPr="008E39ED">
        <w:rPr>
          <w:rFonts w:ascii="Times New Roman" w:eastAsia="Times New Roman" w:hAnsi="Times New Roman" w:cs="Times New Roman"/>
          <w:b/>
          <w:bCs/>
          <w:sz w:val="24"/>
          <w:szCs w:val="24"/>
        </w:rPr>
        <w:t>Category:</w:t>
      </w:r>
      <w:r w:rsidRPr="008E39ED">
        <w:rPr>
          <w:rFonts w:ascii="Times New Roman" w:eastAsia="Times New Roman" w:hAnsi="Times New Roman" w:cs="Times New Roman"/>
          <w:sz w:val="24"/>
          <w:szCs w:val="24"/>
        </w:rPr>
        <w:t xml:space="preserve"> Greeks</w:t>
      </w:r>
      <w:r w:rsidRPr="008E39ED">
        <w:rPr>
          <w:rFonts w:ascii="Times New Roman" w:eastAsia="Times New Roman" w:hAnsi="Times New Roman" w:cs="Times New Roman"/>
          <w:sz w:val="24"/>
          <w:szCs w:val="24"/>
        </w:rPr>
        <w:br/>
      </w:r>
      <w:r w:rsidRPr="008E39ED">
        <w:rPr>
          <w:rFonts w:ascii="Times New Roman" w:eastAsia="Times New Roman" w:hAnsi="Times New Roman" w:cs="Times New Roman"/>
          <w:b/>
          <w:bCs/>
          <w:sz w:val="24"/>
          <w:szCs w:val="24"/>
        </w:rPr>
        <w:t>Status:</w:t>
      </w:r>
      <w:r w:rsidRPr="008E39ED">
        <w:rPr>
          <w:rFonts w:ascii="Times New Roman" w:eastAsia="Times New Roman" w:hAnsi="Times New Roman" w:cs="Times New Roman"/>
          <w:sz w:val="24"/>
          <w:szCs w:val="24"/>
        </w:rPr>
        <w:t xml:space="preserve"> Production Ready</w:t>
      </w:r>
    </w:p>
    <w:p w14:paraId="2D691152" w14:textId="77777777" w:rsidR="008E39ED" w:rsidRPr="008E39ED" w:rsidRDefault="008E39ED" w:rsidP="008E39ED">
      <w:pPr>
        <w:spacing w:before="100" w:beforeAutospacing="1" w:after="100" w:afterAutospacing="1" w:line="240" w:lineRule="auto"/>
        <w:outlineLvl w:val="1"/>
        <w:rPr>
          <w:rFonts w:ascii="Times New Roman" w:eastAsia="Times New Roman" w:hAnsi="Times New Roman" w:cs="Times New Roman"/>
          <w:b/>
          <w:bCs/>
          <w:sz w:val="36"/>
          <w:szCs w:val="36"/>
        </w:rPr>
      </w:pPr>
      <w:r w:rsidRPr="008E39ED">
        <w:rPr>
          <w:rFonts w:ascii="Times New Roman" w:eastAsia="Times New Roman" w:hAnsi="Times New Roman" w:cs="Times New Roman"/>
          <w:b/>
          <w:bCs/>
          <w:sz w:val="36"/>
          <w:szCs w:val="36"/>
        </w:rPr>
        <w:t>1. Overview</w:t>
      </w:r>
    </w:p>
    <w:p w14:paraId="32CA3D4C"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Name:</w:t>
      </w:r>
      <w:r w:rsidRPr="008E39ED">
        <w:rPr>
          <w:rFonts w:ascii="Times New Roman" w:eastAsia="Times New Roman" w:hAnsi="Times New Roman" w:cs="Times New Roman"/>
          <w:sz w:val="24"/>
          <w:szCs w:val="24"/>
        </w:rPr>
        <w:t xml:space="preserve"> Gamma</w:t>
      </w:r>
    </w:p>
    <w:p w14:paraId="139E638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Short Name:</w:t>
      </w:r>
      <w:r w:rsidRPr="008E39ED">
        <w:rPr>
          <w:rFonts w:ascii="Times New Roman" w:eastAsia="Times New Roman" w:hAnsi="Times New Roman" w:cs="Times New Roman"/>
          <w:sz w:val="24"/>
          <w:szCs w:val="24"/>
        </w:rPr>
        <w:t xml:space="preserve"> Gamma</w:t>
      </w:r>
    </w:p>
    <w:p w14:paraId="3E5D007E"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Module:</w:t>
      </w:r>
      <w:r w:rsidRPr="008E39ED">
        <w:rPr>
          <w:rFonts w:ascii="Times New Roman" w:eastAsia="Times New Roman" w:hAnsi="Times New Roman" w:cs="Times New Roman"/>
          <w:sz w:val="24"/>
          <w:szCs w:val="24"/>
        </w:rPr>
        <w:t xml:space="preserve"> Options</w:t>
      </w:r>
    </w:p>
    <w:p w14:paraId="10E8C26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Category:</w:t>
      </w:r>
      <w:r w:rsidRPr="008E39ED">
        <w:rPr>
          <w:rFonts w:ascii="Times New Roman" w:eastAsia="Times New Roman" w:hAnsi="Times New Roman" w:cs="Times New Roman"/>
          <w:sz w:val="24"/>
          <w:szCs w:val="24"/>
        </w:rPr>
        <w:t xml:space="preserve"> Greeks</w:t>
      </w:r>
    </w:p>
    <w:p w14:paraId="4C77DBF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Purpose:</w:t>
      </w:r>
    </w:p>
    <w:p w14:paraId="2D3D6832"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Measures the rate of change of Delta for every one-point movement in the underlying asset. It indicates how quickly an option's directional exposure changes as the market moves.</w:t>
      </w:r>
    </w:p>
    <w:p w14:paraId="27D3101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Based On:</w:t>
      </w:r>
    </w:p>
    <w:p w14:paraId="671E337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Delta and Underlying Price</w:t>
      </w:r>
    </w:p>
    <w:p w14:paraId="0CA8B9D8"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Importance:</w:t>
      </w:r>
    </w:p>
    <w:p w14:paraId="3FEE38A2"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Segoe UI Emoji" w:eastAsia="Times New Roman" w:hAnsi="Segoe UI Emoji" w:cs="Segoe UI Emoji"/>
          <w:sz w:val="24"/>
          <w:szCs w:val="24"/>
        </w:rPr>
        <w:t>⭐⭐⭐⭐</w:t>
      </w:r>
      <w:r w:rsidRPr="008E39ED">
        <w:rPr>
          <w:rFonts w:ascii="Segoe UI Symbol" w:eastAsia="Times New Roman" w:hAnsi="Segoe UI Symbol" w:cs="Segoe UI Symbol"/>
          <w:sz w:val="24"/>
          <w:szCs w:val="24"/>
        </w:rPr>
        <w:t>☆</w:t>
      </w:r>
      <w:r w:rsidRPr="008E39ED">
        <w:rPr>
          <w:rFonts w:ascii="Times New Roman" w:eastAsia="Times New Roman" w:hAnsi="Times New Roman" w:cs="Times New Roman"/>
          <w:sz w:val="24"/>
          <w:szCs w:val="24"/>
        </w:rPr>
        <w:t xml:space="preserve"> (Core Option Greek)</w:t>
      </w:r>
    </w:p>
    <w:p w14:paraId="30FF7C4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Auto / Manual:</w:t>
      </w:r>
    </w:p>
    <w:p w14:paraId="544FE9C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Auto</w:t>
      </w:r>
    </w:p>
    <w:p w14:paraId="18C7D79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Update Frequency:</w:t>
      </w:r>
    </w:p>
    <w:p w14:paraId="45A6E8C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Every Option Chain Refresh (Market Hours)</w:t>
      </w:r>
    </w:p>
    <w:p w14:paraId="2F3D6FE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Praxis Note:</w:t>
      </w:r>
    </w:p>
    <w:p w14:paraId="62FB386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Gamma is highest for At-the-Money (ATM) options nearing expiry. High Gamma increases both opportunity and risk due to rapid changes in Delta.</w:t>
      </w:r>
    </w:p>
    <w:p w14:paraId="5AAEA8F1"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31A9E123">
          <v:rect id="_x0000_i1313" style="width:0;height:1.5pt" o:hralign="center" o:hrstd="t" o:hr="t" fillcolor="#a0a0a0" stroked="f"/>
        </w:pict>
      </w:r>
    </w:p>
    <w:p w14:paraId="79941F3B"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lastRenderedPageBreak/>
        <w:t>2. Data Requirements</w:t>
      </w:r>
    </w:p>
    <w:p w14:paraId="427F1A09"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Required Data</w:t>
      </w:r>
    </w:p>
    <w:p w14:paraId="2116B200" w14:textId="77777777" w:rsidR="008E39ED" w:rsidRPr="008E39ED" w:rsidRDefault="008E39ED" w:rsidP="008E39ED">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Underlying Spot Price </w:t>
      </w:r>
    </w:p>
    <w:p w14:paraId="7EB75E99" w14:textId="77777777" w:rsidR="008E39ED" w:rsidRPr="008E39ED" w:rsidRDefault="008E39ED" w:rsidP="008E39ED">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Strike Price </w:t>
      </w:r>
    </w:p>
    <w:p w14:paraId="5BB5010D" w14:textId="77777777" w:rsidR="008E39ED" w:rsidRPr="008E39ED" w:rsidRDefault="008E39ED" w:rsidP="008E39ED">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Delta </w:t>
      </w:r>
    </w:p>
    <w:p w14:paraId="49F63819" w14:textId="77777777" w:rsidR="008E39ED" w:rsidRPr="008E39ED" w:rsidRDefault="008E39ED" w:rsidP="008E39ED">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Option Premium </w:t>
      </w:r>
    </w:p>
    <w:p w14:paraId="05D2F1E6" w14:textId="77777777" w:rsidR="008E39ED" w:rsidRPr="008E39ED" w:rsidRDefault="008E39ED" w:rsidP="008E39ED">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Expiry Date </w:t>
      </w:r>
    </w:p>
    <w:p w14:paraId="0896BDBB" w14:textId="77777777" w:rsidR="008E39ED" w:rsidRPr="008E39ED" w:rsidRDefault="008E39ED" w:rsidP="008E39ED">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Implied Volatility </w:t>
      </w:r>
    </w:p>
    <w:p w14:paraId="19F952C1"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Minimum Historical Data</w:t>
      </w:r>
    </w:p>
    <w:p w14:paraId="0CE862D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Current Option Chain</w:t>
      </w:r>
    </w:p>
    <w:p w14:paraId="4A24E32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Recommended</w:t>
      </w:r>
    </w:p>
    <w:p w14:paraId="042BB54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30 Trading Days</w:t>
      </w:r>
    </w:p>
    <w:p w14:paraId="1BD6114E"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Primary Source</w:t>
      </w:r>
    </w:p>
    <w:p w14:paraId="7E628CC3" w14:textId="77777777" w:rsidR="008E39ED" w:rsidRPr="008E39ED" w:rsidRDefault="008E39ED" w:rsidP="008E39ED">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NSE Option Chain </w:t>
      </w:r>
    </w:p>
    <w:p w14:paraId="25BF1438" w14:textId="77777777" w:rsidR="008E39ED" w:rsidRPr="008E39ED" w:rsidRDefault="008E39ED" w:rsidP="008E39ED">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Upstox API </w:t>
      </w:r>
    </w:p>
    <w:p w14:paraId="2E777A18"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5D2ECEA9">
          <v:rect id="_x0000_i1314" style="width:0;height:1.5pt" o:hralign="center" o:hrstd="t" o:hr="t" fillcolor="#a0a0a0" stroked="f"/>
        </w:pict>
      </w:r>
    </w:p>
    <w:p w14:paraId="3893A4B7"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3. Industry Standard Calculation</w:t>
      </w:r>
    </w:p>
    <w:p w14:paraId="1322CA96"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Method</w:t>
      </w:r>
    </w:p>
    <w:p w14:paraId="38C2A89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Calculate Gamma using the Black-Scholes option pricing model.</w:t>
      </w:r>
    </w:p>
    <w:p w14:paraId="1ECBA438"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Implementation Steps</w:t>
      </w:r>
    </w:p>
    <w:p w14:paraId="0567C4A0" w14:textId="77777777" w:rsidR="008E39ED" w:rsidRPr="008E39ED" w:rsidRDefault="008E39ED" w:rsidP="008E39ED">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Retrieve option chain. </w:t>
      </w:r>
    </w:p>
    <w:p w14:paraId="78EEDE27" w14:textId="77777777" w:rsidR="008E39ED" w:rsidRPr="008E39ED" w:rsidRDefault="008E39ED" w:rsidP="008E39ED">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Calculate Gamma for each option. </w:t>
      </w:r>
    </w:p>
    <w:p w14:paraId="7ECD6890" w14:textId="77777777" w:rsidR="008E39ED" w:rsidRPr="008E39ED" w:rsidRDefault="008E39ED" w:rsidP="008E39ED">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Identify Gamma intensity. </w:t>
      </w:r>
    </w:p>
    <w:p w14:paraId="293159D2" w14:textId="77777777" w:rsidR="008E39ED" w:rsidRPr="008E39ED" w:rsidRDefault="008E39ED" w:rsidP="008E39ED">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Generate the Options Score. </w:t>
      </w:r>
    </w:p>
    <w:p w14:paraId="654F8A5B"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Notes</w:t>
      </w:r>
    </w:p>
    <w:p w14:paraId="377BA052" w14:textId="77777777" w:rsidR="008E39ED" w:rsidRPr="008E39ED" w:rsidRDefault="008E39ED" w:rsidP="008E39ED">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Use exchange-provided Greeks when available. </w:t>
      </w:r>
    </w:p>
    <w:p w14:paraId="1CC24CC6" w14:textId="77777777" w:rsidR="008E39ED" w:rsidRPr="008E39ED" w:rsidRDefault="008E39ED" w:rsidP="008E39ED">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Gamma is highest near ATM options approaching expiry. </w:t>
      </w:r>
    </w:p>
    <w:p w14:paraId="6507F961" w14:textId="77777777" w:rsidR="008E39ED" w:rsidRPr="008E39ED" w:rsidRDefault="008E39ED" w:rsidP="008E39ED">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lastRenderedPageBreak/>
        <w:t xml:space="preserve">Calculate internally only if exchange values are unavailable. </w:t>
      </w:r>
    </w:p>
    <w:p w14:paraId="7DF6F9F1"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67BB0627">
          <v:rect id="_x0000_i1315" style="width:0;height:1.5pt" o:hralign="center" o:hrstd="t" o:hr="t" fillcolor="#a0a0a0" stroked="f"/>
        </w:pict>
      </w:r>
    </w:p>
    <w:p w14:paraId="06DF8E7C"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4. Card Fields</w:t>
      </w:r>
    </w:p>
    <w:p w14:paraId="4969EF4E"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Current Value</w:t>
      </w:r>
    </w:p>
    <w:p w14:paraId="000E6F6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Gamma</w:t>
      </w:r>
    </w:p>
    <w:p w14:paraId="44D3D998"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Option Type</w:t>
      </w:r>
    </w:p>
    <w:p w14:paraId="0E4F71A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Call / Put</w:t>
      </w:r>
    </w:p>
    <w:p w14:paraId="18C7646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Moneyness</w:t>
      </w:r>
    </w:p>
    <w:p w14:paraId="34631291" w14:textId="77777777" w:rsidR="008E39ED" w:rsidRPr="008E39ED" w:rsidRDefault="008E39ED" w:rsidP="008E39ED">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ITM </w:t>
      </w:r>
    </w:p>
    <w:p w14:paraId="57CC0E08" w14:textId="77777777" w:rsidR="008E39ED" w:rsidRPr="008E39ED" w:rsidRDefault="008E39ED" w:rsidP="008E39ED">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ATM </w:t>
      </w:r>
    </w:p>
    <w:p w14:paraId="4A431C14" w14:textId="77777777" w:rsidR="008E39ED" w:rsidRPr="008E39ED" w:rsidRDefault="008E39ED" w:rsidP="008E39ED">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OTM </w:t>
      </w:r>
    </w:p>
    <w:p w14:paraId="0B98F692"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Score</w:t>
      </w:r>
    </w:p>
    <w:p w14:paraId="0638079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0–100</w:t>
      </w:r>
    </w:p>
    <w:p w14:paraId="2E873F4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Bias</w:t>
      </w:r>
    </w:p>
    <w:p w14:paraId="1593A5CB" w14:textId="77777777" w:rsidR="008E39ED" w:rsidRPr="008E39ED" w:rsidRDefault="008E39ED" w:rsidP="008E39ED">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High Gamma </w:t>
      </w:r>
    </w:p>
    <w:p w14:paraId="5C4C2127" w14:textId="77777777" w:rsidR="008E39ED" w:rsidRPr="008E39ED" w:rsidRDefault="008E39ED" w:rsidP="008E39ED">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Normal Gamma </w:t>
      </w:r>
    </w:p>
    <w:p w14:paraId="6FA0CF26" w14:textId="77777777" w:rsidR="008E39ED" w:rsidRPr="008E39ED" w:rsidRDefault="008E39ED" w:rsidP="008E39ED">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Low Gamma </w:t>
      </w:r>
    </w:p>
    <w:p w14:paraId="0737D9EC"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Confidence</w:t>
      </w:r>
    </w:p>
    <w:p w14:paraId="04AFE29E"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Greeks Confidence</w:t>
      </w:r>
    </w:p>
    <w:p w14:paraId="6A957D7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Impact Weight</w:t>
      </w:r>
    </w:p>
    <w:p w14:paraId="03FC5086"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Medium</w:t>
      </w:r>
    </w:p>
    <w:p w14:paraId="01A9E0ED"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0CE8016E">
          <v:rect id="_x0000_i1316" style="width:0;height:1.5pt" o:hralign="center" o:hrstd="t" o:hr="t" fillcolor="#a0a0a0" stroked="f"/>
        </w:pict>
      </w:r>
    </w:p>
    <w:p w14:paraId="6D269912"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634"/>
        <w:gridCol w:w="1535"/>
      </w:tblGrid>
      <w:tr w:rsidR="008E39ED" w:rsidRPr="008E39ED" w14:paraId="22A19920" w14:textId="77777777" w:rsidTr="008E39ED">
        <w:trPr>
          <w:tblHeader/>
          <w:tblCellSpacing w:w="15" w:type="dxa"/>
        </w:trPr>
        <w:tc>
          <w:tcPr>
            <w:tcW w:w="0" w:type="auto"/>
            <w:vAlign w:val="center"/>
            <w:hideMark/>
          </w:tcPr>
          <w:p w14:paraId="7CCB317C" w14:textId="77777777" w:rsidR="008E39ED" w:rsidRPr="008E39ED" w:rsidRDefault="008E39ED" w:rsidP="008E39ED">
            <w:pPr>
              <w:spacing w:after="0" w:line="240" w:lineRule="auto"/>
              <w:jc w:val="center"/>
              <w:rPr>
                <w:rFonts w:ascii="Times New Roman" w:eastAsia="Times New Roman" w:hAnsi="Times New Roman" w:cs="Times New Roman"/>
                <w:b/>
                <w:bCs/>
                <w:sz w:val="24"/>
                <w:szCs w:val="24"/>
              </w:rPr>
            </w:pPr>
            <w:r w:rsidRPr="008E39ED">
              <w:rPr>
                <w:rFonts w:ascii="Times New Roman" w:eastAsia="Times New Roman" w:hAnsi="Times New Roman" w:cs="Times New Roman"/>
                <w:b/>
                <w:bCs/>
                <w:sz w:val="24"/>
                <w:szCs w:val="24"/>
              </w:rPr>
              <w:t>Condition</w:t>
            </w:r>
          </w:p>
        </w:tc>
        <w:tc>
          <w:tcPr>
            <w:tcW w:w="0" w:type="auto"/>
            <w:vAlign w:val="center"/>
            <w:hideMark/>
          </w:tcPr>
          <w:p w14:paraId="1A3667A6" w14:textId="77777777" w:rsidR="008E39ED" w:rsidRPr="008E39ED" w:rsidRDefault="008E39ED" w:rsidP="008E39ED">
            <w:pPr>
              <w:spacing w:after="0" w:line="240" w:lineRule="auto"/>
              <w:jc w:val="center"/>
              <w:rPr>
                <w:rFonts w:ascii="Times New Roman" w:eastAsia="Times New Roman" w:hAnsi="Times New Roman" w:cs="Times New Roman"/>
                <w:b/>
                <w:bCs/>
                <w:sz w:val="24"/>
                <w:szCs w:val="24"/>
              </w:rPr>
            </w:pPr>
            <w:r w:rsidRPr="008E39ED">
              <w:rPr>
                <w:rFonts w:ascii="Times New Roman" w:eastAsia="Times New Roman" w:hAnsi="Times New Roman" w:cs="Times New Roman"/>
                <w:b/>
                <w:bCs/>
                <w:sz w:val="24"/>
                <w:szCs w:val="24"/>
              </w:rPr>
              <w:t>Score</w:t>
            </w:r>
          </w:p>
        </w:tc>
        <w:tc>
          <w:tcPr>
            <w:tcW w:w="0" w:type="auto"/>
            <w:vAlign w:val="center"/>
            <w:hideMark/>
          </w:tcPr>
          <w:p w14:paraId="3432F9B0" w14:textId="77777777" w:rsidR="008E39ED" w:rsidRPr="008E39ED" w:rsidRDefault="008E39ED" w:rsidP="008E39ED">
            <w:pPr>
              <w:spacing w:after="0" w:line="240" w:lineRule="auto"/>
              <w:jc w:val="center"/>
              <w:rPr>
                <w:rFonts w:ascii="Times New Roman" w:eastAsia="Times New Roman" w:hAnsi="Times New Roman" w:cs="Times New Roman"/>
                <w:b/>
                <w:bCs/>
                <w:sz w:val="24"/>
                <w:szCs w:val="24"/>
              </w:rPr>
            </w:pPr>
            <w:r w:rsidRPr="008E39ED">
              <w:rPr>
                <w:rFonts w:ascii="Times New Roman" w:eastAsia="Times New Roman" w:hAnsi="Times New Roman" w:cs="Times New Roman"/>
                <w:b/>
                <w:bCs/>
                <w:sz w:val="24"/>
                <w:szCs w:val="24"/>
              </w:rPr>
              <w:t>Bias</w:t>
            </w:r>
          </w:p>
        </w:tc>
      </w:tr>
      <w:tr w:rsidR="008E39ED" w:rsidRPr="008E39ED" w14:paraId="5C72EE86" w14:textId="77777777" w:rsidTr="008E39ED">
        <w:trPr>
          <w:tblCellSpacing w:w="15" w:type="dxa"/>
        </w:trPr>
        <w:tc>
          <w:tcPr>
            <w:tcW w:w="0" w:type="auto"/>
            <w:vAlign w:val="center"/>
            <w:hideMark/>
          </w:tcPr>
          <w:p w14:paraId="2C7C1F57"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Low Gamma</w:t>
            </w:r>
          </w:p>
        </w:tc>
        <w:tc>
          <w:tcPr>
            <w:tcW w:w="0" w:type="auto"/>
            <w:vAlign w:val="center"/>
            <w:hideMark/>
          </w:tcPr>
          <w:p w14:paraId="30CB27B8"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90</w:t>
            </w:r>
          </w:p>
        </w:tc>
        <w:tc>
          <w:tcPr>
            <w:tcW w:w="0" w:type="auto"/>
            <w:vAlign w:val="center"/>
            <w:hideMark/>
          </w:tcPr>
          <w:p w14:paraId="7CBF92E2"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Stable</w:t>
            </w:r>
          </w:p>
        </w:tc>
      </w:tr>
      <w:tr w:rsidR="008E39ED" w:rsidRPr="008E39ED" w14:paraId="0319CC6A" w14:textId="77777777" w:rsidTr="008E39ED">
        <w:trPr>
          <w:tblCellSpacing w:w="15" w:type="dxa"/>
        </w:trPr>
        <w:tc>
          <w:tcPr>
            <w:tcW w:w="0" w:type="auto"/>
            <w:vAlign w:val="center"/>
            <w:hideMark/>
          </w:tcPr>
          <w:p w14:paraId="40355F6D"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lastRenderedPageBreak/>
              <w:t>Moderate Gamma</w:t>
            </w:r>
          </w:p>
        </w:tc>
        <w:tc>
          <w:tcPr>
            <w:tcW w:w="0" w:type="auto"/>
            <w:vAlign w:val="center"/>
            <w:hideMark/>
          </w:tcPr>
          <w:p w14:paraId="5A9A9CC8"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70</w:t>
            </w:r>
          </w:p>
        </w:tc>
        <w:tc>
          <w:tcPr>
            <w:tcW w:w="0" w:type="auto"/>
            <w:vAlign w:val="center"/>
            <w:hideMark/>
          </w:tcPr>
          <w:p w14:paraId="787D89BB"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Neutral</w:t>
            </w:r>
          </w:p>
        </w:tc>
      </w:tr>
      <w:tr w:rsidR="008E39ED" w:rsidRPr="008E39ED" w14:paraId="3B1F00D8" w14:textId="77777777" w:rsidTr="008E39ED">
        <w:trPr>
          <w:tblCellSpacing w:w="15" w:type="dxa"/>
        </w:trPr>
        <w:tc>
          <w:tcPr>
            <w:tcW w:w="0" w:type="auto"/>
            <w:vAlign w:val="center"/>
            <w:hideMark/>
          </w:tcPr>
          <w:p w14:paraId="0FC3AD31"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High Gamma</w:t>
            </w:r>
          </w:p>
        </w:tc>
        <w:tc>
          <w:tcPr>
            <w:tcW w:w="0" w:type="auto"/>
            <w:vAlign w:val="center"/>
            <w:hideMark/>
          </w:tcPr>
          <w:p w14:paraId="60D7EA7F"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45</w:t>
            </w:r>
          </w:p>
        </w:tc>
        <w:tc>
          <w:tcPr>
            <w:tcW w:w="0" w:type="auto"/>
            <w:vAlign w:val="center"/>
            <w:hideMark/>
          </w:tcPr>
          <w:p w14:paraId="564BF5BC"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High Volatility</w:t>
            </w:r>
          </w:p>
        </w:tc>
      </w:tr>
      <w:tr w:rsidR="008E39ED" w:rsidRPr="008E39ED" w14:paraId="71A18C46" w14:textId="77777777" w:rsidTr="008E39ED">
        <w:trPr>
          <w:tblCellSpacing w:w="15" w:type="dxa"/>
        </w:trPr>
        <w:tc>
          <w:tcPr>
            <w:tcW w:w="0" w:type="auto"/>
            <w:vAlign w:val="center"/>
            <w:hideMark/>
          </w:tcPr>
          <w:p w14:paraId="2F702640"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Extremely High Gamma</w:t>
            </w:r>
          </w:p>
        </w:tc>
        <w:tc>
          <w:tcPr>
            <w:tcW w:w="0" w:type="auto"/>
            <w:vAlign w:val="center"/>
            <w:hideMark/>
          </w:tcPr>
          <w:p w14:paraId="7C783F89"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15</w:t>
            </w:r>
          </w:p>
        </w:tc>
        <w:tc>
          <w:tcPr>
            <w:tcW w:w="0" w:type="auto"/>
            <w:vAlign w:val="center"/>
            <w:hideMark/>
          </w:tcPr>
          <w:p w14:paraId="2C2A6641"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High Risk</w:t>
            </w:r>
          </w:p>
        </w:tc>
      </w:tr>
    </w:tbl>
    <w:p w14:paraId="5D8F5044"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Notes</w:t>
      </w:r>
    </w:p>
    <w:p w14:paraId="5E071DD6" w14:textId="77777777" w:rsidR="008E39ED" w:rsidRPr="008E39ED" w:rsidRDefault="008E39ED" w:rsidP="008E39ED">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High Gamma increases directional sensitivity. </w:t>
      </w:r>
    </w:p>
    <w:p w14:paraId="5210927A" w14:textId="77777777" w:rsidR="008E39ED" w:rsidRPr="008E39ED" w:rsidRDefault="008E39ED" w:rsidP="008E39ED">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Low Gamma provides more stable option behavior. </w:t>
      </w:r>
    </w:p>
    <w:p w14:paraId="60D03633" w14:textId="77777777" w:rsidR="008E39ED" w:rsidRPr="008E39ED" w:rsidRDefault="008E39ED" w:rsidP="008E39ED">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High Gamma is common near expiry. </w:t>
      </w:r>
    </w:p>
    <w:p w14:paraId="2EBC213D"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3B8B84B8">
          <v:rect id="_x0000_i1317" style="width:0;height:1.5pt" o:hralign="center" o:hrstd="t" o:hr="t" fillcolor="#a0a0a0" stroked="f"/>
        </w:pict>
      </w:r>
    </w:p>
    <w:p w14:paraId="0253EB6B"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6. Bias Rules</w:t>
      </w:r>
    </w:p>
    <w:p w14:paraId="687B1B92"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Low Gamma</w:t>
      </w:r>
    </w:p>
    <w:p w14:paraId="55DD969E"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Bullish</w:t>
      </w:r>
    </w:p>
    <w:p w14:paraId="30E80F6E"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Moderate Gamma</w:t>
      </w:r>
    </w:p>
    <w:p w14:paraId="51A4B53E"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Neutral</w:t>
      </w:r>
    </w:p>
    <w:p w14:paraId="36C9F3E6"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High Gamma</w:t>
      </w:r>
    </w:p>
    <w:p w14:paraId="7C9E995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Cautious</w:t>
      </w:r>
    </w:p>
    <w:p w14:paraId="6B6E8AAE"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Extreme Gamma</w:t>
      </w:r>
    </w:p>
    <w:p w14:paraId="0ACB25D5"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High Risk</w:t>
      </w:r>
    </w:p>
    <w:p w14:paraId="2E771028"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726F63AD">
          <v:rect id="_x0000_i1318" style="width:0;height:1.5pt" o:hralign="center" o:hrstd="t" o:hr="t" fillcolor="#a0a0a0" stroked="f"/>
        </w:pict>
      </w:r>
    </w:p>
    <w:p w14:paraId="28B395B7"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7. Confidence Logic</w:t>
      </w:r>
    </w:p>
    <w:p w14:paraId="0C83566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Base Confidence</w:t>
      </w:r>
    </w:p>
    <w:p w14:paraId="2595E3B1"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90%</w:t>
      </w:r>
    </w:p>
    <w:p w14:paraId="024CBAF9"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Increase Confidence</w:t>
      </w:r>
    </w:p>
    <w:p w14:paraId="54AD826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+5% High option liquidity</w:t>
      </w:r>
    </w:p>
    <w:p w14:paraId="1F6F8541"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lastRenderedPageBreak/>
        <w:t>+5% Stable IV</w:t>
      </w:r>
    </w:p>
    <w:p w14:paraId="1457DA12"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+5% Reliable exchange Greeks</w:t>
      </w:r>
    </w:p>
    <w:p w14:paraId="095594A6"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Decrease Confidence</w:t>
      </w:r>
    </w:p>
    <w:p w14:paraId="333448F2"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-10% Low liquidity</w:t>
      </w:r>
    </w:p>
    <w:p w14:paraId="77DF3EEE"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-5% Wide bid-ask spread</w:t>
      </w:r>
    </w:p>
    <w:p w14:paraId="4A7E3A8E"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-5% Expiry-day volatility</w:t>
      </w:r>
    </w:p>
    <w:p w14:paraId="67992A6E"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Minimum</w:t>
      </w:r>
    </w:p>
    <w:p w14:paraId="79FDBDC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65%</w:t>
      </w:r>
    </w:p>
    <w:p w14:paraId="1666C39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Maximum</w:t>
      </w:r>
    </w:p>
    <w:p w14:paraId="7F69CC78"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99%</w:t>
      </w:r>
    </w:p>
    <w:p w14:paraId="18D61148"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364FE613">
          <v:rect id="_x0000_i1319" style="width:0;height:1.5pt" o:hralign="center" o:hrstd="t" o:hr="t" fillcolor="#a0a0a0" stroked="f"/>
        </w:pict>
      </w:r>
    </w:p>
    <w:p w14:paraId="6761AA08"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8. Score Range Bar</w:t>
      </w:r>
    </w:p>
    <w:p w14:paraId="28C4DB8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Minimum</w:t>
      </w:r>
    </w:p>
    <w:p w14:paraId="2327D0F2"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0</w:t>
      </w:r>
    </w:p>
    <w:p w14:paraId="49879F2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Maximum</w:t>
      </w:r>
    </w:p>
    <w:p w14:paraId="72F1100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100</w:t>
      </w:r>
    </w:p>
    <w:p w14:paraId="24FFCDB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Pointer</w:t>
      </w:r>
    </w:p>
    <w:p w14:paraId="048450FC"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Current Score</w:t>
      </w:r>
    </w:p>
    <w:p w14:paraId="6323830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Average Marker</w:t>
      </w:r>
    </w:p>
    <w:p w14:paraId="646769B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30-Day Average Score</w:t>
      </w:r>
    </w:p>
    <w:p w14:paraId="6E4F1261"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Color Zones</w:t>
      </w:r>
    </w:p>
    <w:p w14:paraId="6A80F3F8"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0–30 → High Risk</w:t>
      </w:r>
    </w:p>
    <w:p w14:paraId="701C5E1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30–60 → Elevated Gamma</w:t>
      </w:r>
    </w:p>
    <w:p w14:paraId="0B53636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lastRenderedPageBreak/>
        <w:t>60–80 → Stable</w:t>
      </w:r>
    </w:p>
    <w:p w14:paraId="1918B9B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80–100 → Low Risk</w:t>
      </w:r>
    </w:p>
    <w:p w14:paraId="64985DEA"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323A350E">
          <v:rect id="_x0000_i1320" style="width:0;height:1.5pt" o:hralign="center" o:hrstd="t" o:hr="t" fillcolor="#a0a0a0" stroked="f"/>
        </w:pict>
      </w:r>
    </w:p>
    <w:p w14:paraId="4457D710"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9. Dual Trend Chart</w:t>
      </w:r>
    </w:p>
    <w:p w14:paraId="78E260B8"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Chart Type</w:t>
      </w:r>
    </w:p>
    <w:p w14:paraId="1FA55FDE"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Dual Line</w:t>
      </w:r>
    </w:p>
    <w:p w14:paraId="265B863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Line 1</w:t>
      </w:r>
    </w:p>
    <w:p w14:paraId="2038B92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Gamma</w:t>
      </w:r>
    </w:p>
    <w:p w14:paraId="3B2410D1"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Line 2</w:t>
      </w:r>
    </w:p>
    <w:p w14:paraId="71A6013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Praxis Score</w:t>
      </w:r>
    </w:p>
    <w:p w14:paraId="088A367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History</w:t>
      </w:r>
    </w:p>
    <w:p w14:paraId="39571FDC"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30 Trading Days</w:t>
      </w:r>
    </w:p>
    <w:p w14:paraId="5E6E051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Update</w:t>
      </w:r>
    </w:p>
    <w:p w14:paraId="3DC6898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Every option chain refresh.</w:t>
      </w:r>
    </w:p>
    <w:p w14:paraId="04975DD6"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7E121EDE">
          <v:rect id="_x0000_i1321" style="width:0;height:1.5pt" o:hralign="center" o:hrstd="t" o:hr="t" fillcolor="#a0a0a0" stroked="f"/>
        </w:pict>
      </w:r>
    </w:p>
    <w:p w14:paraId="3DF78108"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10. AI Insight Rules</w:t>
      </w:r>
    </w:p>
    <w:p w14:paraId="5B1DE2C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Low Gamma</w:t>
      </w:r>
    </w:p>
    <w:p w14:paraId="2491C216"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Explain that Delta is expected to remain relatively stable with small price movements.</w:t>
      </w:r>
    </w:p>
    <w:p w14:paraId="06CF9F0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Moderate Gamma</w:t>
      </w:r>
    </w:p>
    <w:p w14:paraId="6613E17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Explain that directional sensitivity remains within normal levels.</w:t>
      </w:r>
    </w:p>
    <w:p w14:paraId="23BDBF51"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High Gamma</w:t>
      </w:r>
    </w:p>
    <w:p w14:paraId="41615088"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Explain that Delta can change rapidly, increasing both opportunity and trading risk.</w:t>
      </w:r>
    </w:p>
    <w:p w14:paraId="4D5B3D88"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lastRenderedPageBreak/>
        <w:t>Extremely High Gamma</w:t>
      </w:r>
    </w:p>
    <w:p w14:paraId="4054793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Explain that options are highly sensitive to small market movements, especially near expiry.</w:t>
      </w:r>
    </w:p>
    <w:p w14:paraId="03BB725A"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1837211D">
          <v:rect id="_x0000_i1322" style="width:0;height:1.5pt" o:hralign="center" o:hrstd="t" o:hr="t" fillcolor="#a0a0a0" stroked="f"/>
        </w:pict>
      </w:r>
    </w:p>
    <w:p w14:paraId="491E96B9"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11. Why It Matters</w:t>
      </w:r>
    </w:p>
    <w:p w14:paraId="3589219B" w14:textId="77777777" w:rsidR="008E39ED" w:rsidRPr="008E39ED" w:rsidRDefault="008E39ED" w:rsidP="008E39ED">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Measures Delta stability. </w:t>
      </w:r>
    </w:p>
    <w:p w14:paraId="68DB0E73" w14:textId="77777777" w:rsidR="008E39ED" w:rsidRPr="008E39ED" w:rsidRDefault="008E39ED" w:rsidP="008E39ED">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Identifies high-risk option positions. </w:t>
      </w:r>
    </w:p>
    <w:p w14:paraId="36C63522" w14:textId="77777777" w:rsidR="008E39ED" w:rsidRPr="008E39ED" w:rsidRDefault="008E39ED" w:rsidP="008E39ED">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Supports options risk management. </w:t>
      </w:r>
    </w:p>
    <w:p w14:paraId="6CF12DA5" w14:textId="77777777" w:rsidR="008E39ED" w:rsidRPr="008E39ED" w:rsidRDefault="008E39ED" w:rsidP="008E39ED">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Improves strike selection. </w:t>
      </w:r>
    </w:p>
    <w:p w14:paraId="7B70FA0A" w14:textId="77777777" w:rsidR="008E39ED" w:rsidRPr="008E39ED" w:rsidRDefault="008E39ED" w:rsidP="008E39ED">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Essential for Gamma exposure analysis. </w:t>
      </w:r>
    </w:p>
    <w:p w14:paraId="38354F70"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15FE0FC2">
          <v:rect id="_x0000_i1323" style="width:0;height:1.5pt" o:hralign="center" o:hrstd="t" o:hr="t" fillcolor="#a0a0a0" stroked="f"/>
        </w:pict>
      </w:r>
    </w:p>
    <w:p w14:paraId="703554A0"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12. Trading Impact</w:t>
      </w:r>
    </w:p>
    <w:p w14:paraId="48FC6F4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Intraday</w:t>
      </w:r>
    </w:p>
    <w:p w14:paraId="17456856"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Segoe UI Symbol" w:eastAsia="Times New Roman" w:hAnsi="Segoe UI Symbol" w:cs="Segoe UI Symbol"/>
          <w:sz w:val="24"/>
          <w:szCs w:val="24"/>
        </w:rPr>
        <w:t>★★★★★</w:t>
      </w:r>
    </w:p>
    <w:p w14:paraId="5CC05C8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Swing Trading</w:t>
      </w:r>
    </w:p>
    <w:p w14:paraId="5AAB2E4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Segoe UI Symbol" w:eastAsia="Times New Roman" w:hAnsi="Segoe UI Symbol" w:cs="Segoe UI Symbol"/>
          <w:sz w:val="24"/>
          <w:szCs w:val="24"/>
        </w:rPr>
        <w:t>★★★★☆</w:t>
      </w:r>
    </w:p>
    <w:p w14:paraId="741AC48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Positional Trading</w:t>
      </w:r>
    </w:p>
    <w:p w14:paraId="41F1BF5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Segoe UI Symbol" w:eastAsia="Times New Roman" w:hAnsi="Segoe UI Symbol" w:cs="Segoe UI Symbol"/>
          <w:sz w:val="24"/>
          <w:szCs w:val="24"/>
        </w:rPr>
        <w:t>★★★☆☆</w:t>
      </w:r>
    </w:p>
    <w:p w14:paraId="7245454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Options Trading</w:t>
      </w:r>
    </w:p>
    <w:p w14:paraId="668010EE"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Segoe UI Symbol" w:eastAsia="Times New Roman" w:hAnsi="Segoe UI Symbol" w:cs="Segoe UI Symbol"/>
          <w:sz w:val="24"/>
          <w:szCs w:val="24"/>
        </w:rPr>
        <w:t>★★★★★</w:t>
      </w:r>
    </w:p>
    <w:p w14:paraId="5A166DC6"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Best Use</w:t>
      </w:r>
    </w:p>
    <w:p w14:paraId="297E33A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Evaluating option sensitivity and expiry risk.</w:t>
      </w:r>
    </w:p>
    <w:p w14:paraId="6991392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Avoid Using Alone</w:t>
      </w:r>
    </w:p>
    <w:p w14:paraId="034A8E0C"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Yes</w:t>
      </w:r>
    </w:p>
    <w:p w14:paraId="5E382605"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4EAF3E1F">
          <v:rect id="_x0000_i1324" style="width:0;height:1.5pt" o:hralign="center" o:hrstd="t" o:hr="t" fillcolor="#a0a0a0" stroked="f"/>
        </w:pict>
      </w:r>
    </w:p>
    <w:p w14:paraId="2B17687C"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lastRenderedPageBreak/>
        <w:t>13. Supporting Indicators</w:t>
      </w:r>
    </w:p>
    <w:p w14:paraId="3C101F49" w14:textId="77777777" w:rsidR="008E39ED" w:rsidRPr="008E39ED" w:rsidRDefault="008E39ED" w:rsidP="008E39ED">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Delta </w:t>
      </w:r>
    </w:p>
    <w:p w14:paraId="518CFCE0" w14:textId="77777777" w:rsidR="008E39ED" w:rsidRPr="008E39ED" w:rsidRDefault="008E39ED" w:rsidP="008E39ED">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Theta </w:t>
      </w:r>
    </w:p>
    <w:p w14:paraId="28CDF08C" w14:textId="77777777" w:rsidR="008E39ED" w:rsidRPr="008E39ED" w:rsidRDefault="008E39ED" w:rsidP="008E39ED">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Vega </w:t>
      </w:r>
    </w:p>
    <w:p w14:paraId="7F91F629" w14:textId="77777777" w:rsidR="008E39ED" w:rsidRPr="008E39ED" w:rsidRDefault="008E39ED" w:rsidP="008E39ED">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ATM IV </w:t>
      </w:r>
    </w:p>
    <w:p w14:paraId="1D9D71CA" w14:textId="77777777" w:rsidR="008E39ED" w:rsidRPr="008E39ED" w:rsidRDefault="008E39ED" w:rsidP="008E39ED">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IV Rank </w:t>
      </w:r>
    </w:p>
    <w:p w14:paraId="3C2325A1" w14:textId="77777777" w:rsidR="008E39ED" w:rsidRPr="008E39ED" w:rsidRDefault="008E39ED" w:rsidP="008E39ED">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OI Change </w:t>
      </w:r>
    </w:p>
    <w:p w14:paraId="2B6763C3"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33EF1164">
          <v:rect id="_x0000_i1325" style="width:0;height:1.5pt" o:hralign="center" o:hrstd="t" o:hr="t" fillcolor="#a0a0a0" stroked="f"/>
        </w:pict>
      </w:r>
    </w:p>
    <w:p w14:paraId="386AF440"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14. Metadata</w:t>
      </w:r>
    </w:p>
    <w:p w14:paraId="7A290EDE"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Source</w:t>
      </w:r>
    </w:p>
    <w:p w14:paraId="142C4FC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NSE Option Chain / Upstox API</w:t>
      </w:r>
    </w:p>
    <w:p w14:paraId="02FCC216"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Calculation</w:t>
      </w:r>
    </w:p>
    <w:p w14:paraId="35AE7C1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Exchange Greeks / Backend</w:t>
      </w:r>
    </w:p>
    <w:p w14:paraId="01DB5DB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Updated</w:t>
      </w:r>
    </w:p>
    <w:p w14:paraId="57A81545"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Every Option Chain Refresh</w:t>
      </w:r>
    </w:p>
    <w:p w14:paraId="6644CA5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proofErr w:type="spellStart"/>
      <w:r w:rsidRPr="008E39ED">
        <w:rPr>
          <w:rFonts w:ascii="Times New Roman" w:eastAsia="Times New Roman" w:hAnsi="Times New Roman" w:cs="Times New Roman"/>
          <w:b/>
          <w:bCs/>
          <w:sz w:val="24"/>
          <w:szCs w:val="24"/>
        </w:rPr>
        <w:t>Timezone</w:t>
      </w:r>
      <w:proofErr w:type="spellEnd"/>
    </w:p>
    <w:p w14:paraId="7813470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Asia/Kolkata</w:t>
      </w:r>
    </w:p>
    <w:p w14:paraId="1698555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Storage</w:t>
      </w:r>
    </w:p>
    <w:p w14:paraId="6D0FED28"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Local Electron Database</w:t>
      </w:r>
    </w:p>
    <w:p w14:paraId="170A1AF5"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757AF2E8">
          <v:rect id="_x0000_i1326" style="width:0;height:1.5pt" o:hralign="center" o:hrstd="t" o:hr="t" fillcolor="#a0a0a0" stroked="f"/>
        </w:pict>
      </w:r>
    </w:p>
    <w:p w14:paraId="79B8F38E"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15. Developer Notes</w:t>
      </w:r>
    </w:p>
    <w:p w14:paraId="47648486"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Store:</w:t>
      </w:r>
    </w:p>
    <w:p w14:paraId="763CDEEB" w14:textId="77777777" w:rsidR="008E39ED" w:rsidRPr="008E39ED" w:rsidRDefault="008E39ED" w:rsidP="008E39ED">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Gamma </w:t>
      </w:r>
    </w:p>
    <w:p w14:paraId="1840E033" w14:textId="77777777" w:rsidR="008E39ED" w:rsidRPr="008E39ED" w:rsidRDefault="008E39ED" w:rsidP="008E39ED">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Option Type </w:t>
      </w:r>
    </w:p>
    <w:p w14:paraId="0BE5BDB3" w14:textId="77777777" w:rsidR="008E39ED" w:rsidRPr="008E39ED" w:rsidRDefault="008E39ED" w:rsidP="008E39ED">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Strike Price </w:t>
      </w:r>
    </w:p>
    <w:p w14:paraId="07AB4636" w14:textId="77777777" w:rsidR="008E39ED" w:rsidRPr="008E39ED" w:rsidRDefault="008E39ED" w:rsidP="008E39ED">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Moneyness </w:t>
      </w:r>
    </w:p>
    <w:p w14:paraId="50B13259" w14:textId="77777777" w:rsidR="008E39ED" w:rsidRPr="008E39ED" w:rsidRDefault="008E39ED" w:rsidP="008E39ED">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lastRenderedPageBreak/>
        <w:t xml:space="preserve">Current Score </w:t>
      </w:r>
    </w:p>
    <w:p w14:paraId="38E56B08" w14:textId="77777777" w:rsidR="008E39ED" w:rsidRPr="008E39ED" w:rsidRDefault="008E39ED" w:rsidP="008E39ED">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Confidence </w:t>
      </w:r>
    </w:p>
    <w:p w14:paraId="5447DE8F" w14:textId="77777777" w:rsidR="008E39ED" w:rsidRPr="008E39ED" w:rsidRDefault="008E39ED" w:rsidP="008E39ED">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Last Updated </w:t>
      </w:r>
    </w:p>
    <w:p w14:paraId="6431E6D1"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Prefer exchange-provided Gamma values. If unavailable, calculate using the Black-Scholes model. Monitor Gamma spikes near expiry for risk alerts.</w:t>
      </w:r>
    </w:p>
    <w:p w14:paraId="6970DC14"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08C5965C">
          <v:rect id="_x0000_i1327" style="width:0;height:1.5pt" o:hralign="center" o:hrstd="t" o:hr="t" fillcolor="#a0a0a0" stroked="f"/>
        </w:pict>
      </w:r>
    </w:p>
    <w:p w14:paraId="29B7EAA5"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 xml:space="preserve">16. Praxis Engine Integration </w:t>
      </w:r>
      <w:r w:rsidRPr="008E39ED">
        <w:rPr>
          <w:rFonts w:ascii="Segoe UI Emoji" w:eastAsia="Times New Roman" w:hAnsi="Segoe UI Emoji" w:cs="Segoe UI Emoji"/>
          <w:b/>
          <w:bCs/>
          <w:kern w:val="36"/>
          <w:sz w:val="48"/>
          <w:szCs w:val="48"/>
        </w:rPr>
        <w:t>⭐</w:t>
      </w:r>
    </w:p>
    <w:p w14:paraId="0FB18DB1"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Engine Weight</w:t>
      </w:r>
    </w:p>
    <w:p w14:paraId="2995794C"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Configurable</w:t>
      </w:r>
    </w:p>
    <w:p w14:paraId="665B22B6"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Relative Importance</w:t>
      </w:r>
    </w:p>
    <w:p w14:paraId="514F929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High</w:t>
      </w:r>
    </w:p>
    <w:p w14:paraId="74B8332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Decision Engine Role</w:t>
      </w:r>
    </w:p>
    <w:p w14:paraId="598E454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Delta Stability Assessment</w:t>
      </w:r>
    </w:p>
    <w:p w14:paraId="4204183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Primary Use</w:t>
      </w:r>
    </w:p>
    <w:p w14:paraId="3222FADC"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Measure how quickly an option's Delta changes as the underlying price moves.</w:t>
      </w:r>
    </w:p>
    <w:p w14:paraId="02FE98D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Bullish Confirmation</w:t>
      </w:r>
    </w:p>
    <w:p w14:paraId="7C399464" w14:textId="77777777" w:rsidR="008E39ED" w:rsidRPr="008E39ED" w:rsidRDefault="008E39ED" w:rsidP="008E39ED">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Stable Gamma </w:t>
      </w:r>
    </w:p>
    <w:p w14:paraId="47FEB3F2" w14:textId="77777777" w:rsidR="008E39ED" w:rsidRPr="008E39ED" w:rsidRDefault="008E39ED" w:rsidP="008E39ED">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Stable IV </w:t>
      </w:r>
    </w:p>
    <w:p w14:paraId="114A1FD0" w14:textId="77777777" w:rsidR="008E39ED" w:rsidRPr="008E39ED" w:rsidRDefault="008E39ED" w:rsidP="008E39ED">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High Liquidity </w:t>
      </w:r>
    </w:p>
    <w:p w14:paraId="63B31A52"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Bearish Confirmation</w:t>
      </w:r>
    </w:p>
    <w:p w14:paraId="6905989F" w14:textId="77777777" w:rsidR="008E39ED" w:rsidRPr="008E39ED" w:rsidRDefault="008E39ED" w:rsidP="008E39ED">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Extremely High Gamma </w:t>
      </w:r>
    </w:p>
    <w:p w14:paraId="16BD0DFD" w14:textId="77777777" w:rsidR="008E39ED" w:rsidRPr="008E39ED" w:rsidRDefault="008E39ED" w:rsidP="008E39ED">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Rising IV </w:t>
      </w:r>
    </w:p>
    <w:p w14:paraId="6DCE70E8" w14:textId="77777777" w:rsidR="008E39ED" w:rsidRPr="008E39ED" w:rsidRDefault="008E39ED" w:rsidP="008E39ED">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Expiry-Day Risk </w:t>
      </w:r>
    </w:p>
    <w:p w14:paraId="23CE77D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Display Priority</w:t>
      </w:r>
    </w:p>
    <w:p w14:paraId="42D8E4E6"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High</w:t>
      </w:r>
    </w:p>
    <w:p w14:paraId="15D22B51"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1F260670">
          <v:rect id="_x0000_i1328" style="width:0;height:1.5pt" o:hralign="center" o:hrstd="t" o:hr="t" fillcolor="#a0a0a0" stroked="f"/>
        </w:pict>
      </w:r>
    </w:p>
    <w:p w14:paraId="3AD47B26"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lastRenderedPageBreak/>
        <w:t>17. Praxis Recommendation</w:t>
      </w:r>
    </w:p>
    <w:p w14:paraId="0485278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Gamma should serve as the </w:t>
      </w:r>
      <w:r w:rsidRPr="008E39ED">
        <w:rPr>
          <w:rFonts w:ascii="Times New Roman" w:eastAsia="Times New Roman" w:hAnsi="Times New Roman" w:cs="Times New Roman"/>
          <w:b/>
          <w:bCs/>
          <w:sz w:val="24"/>
          <w:szCs w:val="24"/>
        </w:rPr>
        <w:t>Delta sensitivity indicator</w:t>
      </w:r>
      <w:r w:rsidRPr="008E39ED">
        <w:rPr>
          <w:rFonts w:ascii="Times New Roman" w:eastAsia="Times New Roman" w:hAnsi="Times New Roman" w:cs="Times New Roman"/>
          <w:sz w:val="24"/>
          <w:szCs w:val="24"/>
        </w:rPr>
        <w:t xml:space="preserve"> within the Greeks category.</w:t>
      </w:r>
    </w:p>
    <w:p w14:paraId="034A9E98"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Greeks Hierarchy</w:t>
      </w:r>
    </w:p>
    <w:p w14:paraId="60B2EF4E" w14:textId="77777777" w:rsidR="008E39ED" w:rsidRPr="008E39ED" w:rsidRDefault="008E39ED" w:rsidP="008E39ED">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8E39ED">
        <w:rPr>
          <w:rFonts w:ascii="Segoe UI Emoji" w:eastAsia="Times New Roman" w:hAnsi="Segoe UI Emoji" w:cs="Segoe UI Emoji"/>
          <w:sz w:val="24"/>
          <w:szCs w:val="24"/>
        </w:rPr>
        <w:t>⭐⭐⭐⭐⭐</w:t>
      </w:r>
      <w:r w:rsidRPr="008E39ED">
        <w:rPr>
          <w:rFonts w:ascii="Times New Roman" w:eastAsia="Times New Roman" w:hAnsi="Times New Roman" w:cs="Times New Roman"/>
          <w:sz w:val="24"/>
          <w:szCs w:val="24"/>
        </w:rPr>
        <w:t xml:space="preserve"> Delta </w:t>
      </w:r>
    </w:p>
    <w:p w14:paraId="4B93651F" w14:textId="77777777" w:rsidR="008E39ED" w:rsidRPr="008E39ED" w:rsidRDefault="008E39ED" w:rsidP="008E39ED">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8E39ED">
        <w:rPr>
          <w:rFonts w:ascii="Segoe UI Emoji" w:eastAsia="Times New Roman" w:hAnsi="Segoe UI Emoji" w:cs="Segoe UI Emoji"/>
          <w:sz w:val="24"/>
          <w:szCs w:val="24"/>
        </w:rPr>
        <w:t>⭐⭐⭐⭐</w:t>
      </w:r>
      <w:r w:rsidRPr="008E39ED">
        <w:rPr>
          <w:rFonts w:ascii="Segoe UI Symbol" w:eastAsia="Times New Roman" w:hAnsi="Segoe UI Symbol" w:cs="Segoe UI Symbol"/>
          <w:sz w:val="24"/>
          <w:szCs w:val="24"/>
        </w:rPr>
        <w:t>☆</w:t>
      </w:r>
      <w:r w:rsidRPr="008E39ED">
        <w:rPr>
          <w:rFonts w:ascii="Times New Roman" w:eastAsia="Times New Roman" w:hAnsi="Times New Roman" w:cs="Times New Roman"/>
          <w:sz w:val="24"/>
          <w:szCs w:val="24"/>
        </w:rPr>
        <w:t xml:space="preserve"> Gamma </w:t>
      </w:r>
    </w:p>
    <w:p w14:paraId="709B2250" w14:textId="77777777" w:rsidR="008E39ED" w:rsidRPr="008E39ED" w:rsidRDefault="008E39ED" w:rsidP="008E39ED">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8E39ED">
        <w:rPr>
          <w:rFonts w:ascii="Segoe UI Emoji" w:eastAsia="Times New Roman" w:hAnsi="Segoe UI Emoji" w:cs="Segoe UI Emoji"/>
          <w:sz w:val="24"/>
          <w:szCs w:val="24"/>
        </w:rPr>
        <w:t>⭐⭐⭐⭐</w:t>
      </w:r>
      <w:r w:rsidRPr="008E39ED">
        <w:rPr>
          <w:rFonts w:ascii="Segoe UI Symbol" w:eastAsia="Times New Roman" w:hAnsi="Segoe UI Symbol" w:cs="Segoe UI Symbol"/>
          <w:sz w:val="24"/>
          <w:szCs w:val="24"/>
        </w:rPr>
        <w:t>☆</w:t>
      </w:r>
      <w:r w:rsidRPr="008E39ED">
        <w:rPr>
          <w:rFonts w:ascii="Times New Roman" w:eastAsia="Times New Roman" w:hAnsi="Times New Roman" w:cs="Times New Roman"/>
          <w:sz w:val="24"/>
          <w:szCs w:val="24"/>
        </w:rPr>
        <w:t xml:space="preserve"> Theta </w:t>
      </w:r>
    </w:p>
    <w:p w14:paraId="0A803EEB" w14:textId="77777777" w:rsidR="008E39ED" w:rsidRPr="008E39ED" w:rsidRDefault="008E39ED" w:rsidP="008E39ED">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8E39ED">
        <w:rPr>
          <w:rFonts w:ascii="Segoe UI Emoji" w:eastAsia="Times New Roman" w:hAnsi="Segoe UI Emoji" w:cs="Segoe UI Emoji"/>
          <w:sz w:val="24"/>
          <w:szCs w:val="24"/>
        </w:rPr>
        <w:t>⭐⭐⭐⭐</w:t>
      </w:r>
      <w:r w:rsidRPr="008E39ED">
        <w:rPr>
          <w:rFonts w:ascii="Segoe UI Symbol" w:eastAsia="Times New Roman" w:hAnsi="Segoe UI Symbol" w:cs="Segoe UI Symbol"/>
          <w:sz w:val="24"/>
          <w:szCs w:val="24"/>
        </w:rPr>
        <w:t>☆</w:t>
      </w:r>
      <w:r w:rsidRPr="008E39ED">
        <w:rPr>
          <w:rFonts w:ascii="Times New Roman" w:eastAsia="Times New Roman" w:hAnsi="Times New Roman" w:cs="Times New Roman"/>
          <w:sz w:val="24"/>
          <w:szCs w:val="24"/>
        </w:rPr>
        <w:t xml:space="preserve"> Vega </w:t>
      </w:r>
    </w:p>
    <w:p w14:paraId="74FA678E"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Engine Rules</w:t>
      </w:r>
    </w:p>
    <w:p w14:paraId="4563968A" w14:textId="77777777" w:rsidR="008E39ED" w:rsidRPr="008E39ED" w:rsidRDefault="008E39ED" w:rsidP="008E39ED">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Stable Gamma + High Delta → Increase confidence in directional trades. </w:t>
      </w:r>
    </w:p>
    <w:p w14:paraId="189311F7" w14:textId="77777777" w:rsidR="008E39ED" w:rsidRPr="008E39ED" w:rsidRDefault="008E39ED" w:rsidP="008E39ED">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Extremely High Gamma near expiry → Reduce confidence and trigger a </w:t>
      </w:r>
      <w:proofErr w:type="gramStart"/>
      <w:r w:rsidRPr="008E39ED">
        <w:rPr>
          <w:rFonts w:ascii="Times New Roman" w:eastAsia="Times New Roman" w:hAnsi="Times New Roman" w:cs="Times New Roman"/>
          <w:sz w:val="24"/>
          <w:szCs w:val="24"/>
        </w:rPr>
        <w:t>High Risk</w:t>
      </w:r>
      <w:proofErr w:type="gramEnd"/>
      <w:r w:rsidRPr="008E39ED">
        <w:rPr>
          <w:rFonts w:ascii="Times New Roman" w:eastAsia="Times New Roman" w:hAnsi="Times New Roman" w:cs="Times New Roman"/>
          <w:sz w:val="24"/>
          <w:szCs w:val="24"/>
        </w:rPr>
        <w:t xml:space="preserve"> warning. </w:t>
      </w:r>
    </w:p>
    <w:p w14:paraId="5D24DE6F" w14:textId="77777777" w:rsidR="008E39ED" w:rsidRPr="008E39ED" w:rsidRDefault="008E39ED" w:rsidP="008E39ED">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High Gamma + Rising IV → Increase volatility risk. </w:t>
      </w:r>
    </w:p>
    <w:p w14:paraId="6A7640E2" w14:textId="6DB095CD" w:rsidR="008E39ED" w:rsidRDefault="008E39ED" w:rsidP="008E39ED">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Always interpret Gamma alongside Delta, Theta, and Vega to understand the complete option risk profile.</w:t>
      </w:r>
    </w:p>
    <w:p w14:paraId="2A6FD482" w14:textId="1F383C98"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4B7963FE" w14:textId="0AFDD9C6"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479833E1" w14:textId="350B2C5C"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08B1954D" w14:textId="1FB95037"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23470C06" w14:textId="77A504F0"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10BB6553" w14:textId="002AD7A1"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069EF0FE" w14:textId="1A8FE7EA"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1DC0C13B" w14:textId="06C1B118"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4FB38779" w14:textId="3561136C"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6832EBF3" w14:textId="0492C1B1"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0D1D52CF" w14:textId="38FE88D2"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17D3ADEB" w14:textId="77777777" w:rsidR="00A5115D" w:rsidRPr="008E39E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0B88D9F3"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8E39ED">
        <w:rPr>
          <w:rFonts w:ascii="Times New Roman" w:eastAsia="Times New Roman" w:hAnsi="Times New Roman" w:cs="Times New Roman"/>
          <w:b/>
          <w:bCs/>
          <w:color w:val="FF0000"/>
          <w:kern w:val="36"/>
          <w:sz w:val="48"/>
          <w:szCs w:val="48"/>
        </w:rPr>
        <w:lastRenderedPageBreak/>
        <w:t>11. Theta</w:t>
      </w:r>
    </w:p>
    <w:p w14:paraId="1C1DED5C"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Module:</w:t>
      </w:r>
      <w:r w:rsidRPr="008E39ED">
        <w:rPr>
          <w:rFonts w:ascii="Times New Roman" w:eastAsia="Times New Roman" w:hAnsi="Times New Roman" w:cs="Times New Roman"/>
          <w:sz w:val="24"/>
          <w:szCs w:val="24"/>
        </w:rPr>
        <w:t xml:space="preserve"> Options</w:t>
      </w:r>
      <w:r w:rsidRPr="008E39ED">
        <w:rPr>
          <w:rFonts w:ascii="Times New Roman" w:eastAsia="Times New Roman" w:hAnsi="Times New Roman" w:cs="Times New Roman"/>
          <w:sz w:val="24"/>
          <w:szCs w:val="24"/>
        </w:rPr>
        <w:br/>
      </w:r>
      <w:r w:rsidRPr="008E39ED">
        <w:rPr>
          <w:rFonts w:ascii="Times New Roman" w:eastAsia="Times New Roman" w:hAnsi="Times New Roman" w:cs="Times New Roman"/>
          <w:b/>
          <w:bCs/>
          <w:sz w:val="24"/>
          <w:szCs w:val="24"/>
        </w:rPr>
        <w:t>Category:</w:t>
      </w:r>
      <w:r w:rsidRPr="008E39ED">
        <w:rPr>
          <w:rFonts w:ascii="Times New Roman" w:eastAsia="Times New Roman" w:hAnsi="Times New Roman" w:cs="Times New Roman"/>
          <w:sz w:val="24"/>
          <w:szCs w:val="24"/>
        </w:rPr>
        <w:t xml:space="preserve"> Greeks</w:t>
      </w:r>
      <w:r w:rsidRPr="008E39ED">
        <w:rPr>
          <w:rFonts w:ascii="Times New Roman" w:eastAsia="Times New Roman" w:hAnsi="Times New Roman" w:cs="Times New Roman"/>
          <w:sz w:val="24"/>
          <w:szCs w:val="24"/>
        </w:rPr>
        <w:br/>
      </w:r>
      <w:r w:rsidRPr="008E39ED">
        <w:rPr>
          <w:rFonts w:ascii="Times New Roman" w:eastAsia="Times New Roman" w:hAnsi="Times New Roman" w:cs="Times New Roman"/>
          <w:b/>
          <w:bCs/>
          <w:sz w:val="24"/>
          <w:szCs w:val="24"/>
        </w:rPr>
        <w:t>Status:</w:t>
      </w:r>
      <w:r w:rsidRPr="008E39ED">
        <w:rPr>
          <w:rFonts w:ascii="Times New Roman" w:eastAsia="Times New Roman" w:hAnsi="Times New Roman" w:cs="Times New Roman"/>
          <w:sz w:val="24"/>
          <w:szCs w:val="24"/>
        </w:rPr>
        <w:t xml:space="preserve"> Production Ready</w:t>
      </w:r>
    </w:p>
    <w:p w14:paraId="4327B119" w14:textId="77777777" w:rsidR="008E39ED" w:rsidRPr="008E39ED" w:rsidRDefault="008E39ED" w:rsidP="008E39ED">
      <w:pPr>
        <w:spacing w:before="100" w:beforeAutospacing="1" w:after="100" w:afterAutospacing="1" w:line="240" w:lineRule="auto"/>
        <w:outlineLvl w:val="1"/>
        <w:rPr>
          <w:rFonts w:ascii="Times New Roman" w:eastAsia="Times New Roman" w:hAnsi="Times New Roman" w:cs="Times New Roman"/>
          <w:b/>
          <w:bCs/>
          <w:sz w:val="36"/>
          <w:szCs w:val="36"/>
        </w:rPr>
      </w:pPr>
      <w:r w:rsidRPr="008E39ED">
        <w:rPr>
          <w:rFonts w:ascii="Times New Roman" w:eastAsia="Times New Roman" w:hAnsi="Times New Roman" w:cs="Times New Roman"/>
          <w:b/>
          <w:bCs/>
          <w:sz w:val="36"/>
          <w:szCs w:val="36"/>
        </w:rPr>
        <w:t>1. Overview</w:t>
      </w:r>
    </w:p>
    <w:p w14:paraId="64C1DB48"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Name:</w:t>
      </w:r>
      <w:r w:rsidRPr="008E39ED">
        <w:rPr>
          <w:rFonts w:ascii="Times New Roman" w:eastAsia="Times New Roman" w:hAnsi="Times New Roman" w:cs="Times New Roman"/>
          <w:sz w:val="24"/>
          <w:szCs w:val="24"/>
        </w:rPr>
        <w:t xml:space="preserve"> Theta</w:t>
      </w:r>
    </w:p>
    <w:p w14:paraId="7C0632C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Short Name:</w:t>
      </w:r>
      <w:r w:rsidRPr="008E39ED">
        <w:rPr>
          <w:rFonts w:ascii="Times New Roman" w:eastAsia="Times New Roman" w:hAnsi="Times New Roman" w:cs="Times New Roman"/>
          <w:sz w:val="24"/>
          <w:szCs w:val="24"/>
        </w:rPr>
        <w:t xml:space="preserve"> Theta</w:t>
      </w:r>
    </w:p>
    <w:p w14:paraId="14D692B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Module:</w:t>
      </w:r>
      <w:r w:rsidRPr="008E39ED">
        <w:rPr>
          <w:rFonts w:ascii="Times New Roman" w:eastAsia="Times New Roman" w:hAnsi="Times New Roman" w:cs="Times New Roman"/>
          <w:sz w:val="24"/>
          <w:szCs w:val="24"/>
        </w:rPr>
        <w:t xml:space="preserve"> Options</w:t>
      </w:r>
    </w:p>
    <w:p w14:paraId="06C69C7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Category:</w:t>
      </w:r>
      <w:r w:rsidRPr="008E39ED">
        <w:rPr>
          <w:rFonts w:ascii="Times New Roman" w:eastAsia="Times New Roman" w:hAnsi="Times New Roman" w:cs="Times New Roman"/>
          <w:sz w:val="24"/>
          <w:szCs w:val="24"/>
        </w:rPr>
        <w:t xml:space="preserve"> Greeks</w:t>
      </w:r>
    </w:p>
    <w:p w14:paraId="0C6E61D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Purpose:</w:t>
      </w:r>
    </w:p>
    <w:p w14:paraId="01AC6DA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Measures the rate at which an option loses value due to the passage of time, assuming all other factors remain constant. It helps traders understand the impact of time decay on option premiums.</w:t>
      </w:r>
    </w:p>
    <w:p w14:paraId="4EF7F69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Based On:</w:t>
      </w:r>
    </w:p>
    <w:p w14:paraId="19BACA0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Option Premium and Time to Expiry</w:t>
      </w:r>
    </w:p>
    <w:p w14:paraId="2DE6607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Importance:</w:t>
      </w:r>
    </w:p>
    <w:p w14:paraId="7A0F85D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Segoe UI Emoji" w:eastAsia="Times New Roman" w:hAnsi="Segoe UI Emoji" w:cs="Segoe UI Emoji"/>
          <w:sz w:val="24"/>
          <w:szCs w:val="24"/>
        </w:rPr>
        <w:t>⭐⭐⭐⭐</w:t>
      </w:r>
      <w:r w:rsidRPr="008E39ED">
        <w:rPr>
          <w:rFonts w:ascii="Segoe UI Symbol" w:eastAsia="Times New Roman" w:hAnsi="Segoe UI Symbol" w:cs="Segoe UI Symbol"/>
          <w:sz w:val="24"/>
          <w:szCs w:val="24"/>
        </w:rPr>
        <w:t>☆</w:t>
      </w:r>
      <w:r w:rsidRPr="008E39ED">
        <w:rPr>
          <w:rFonts w:ascii="Times New Roman" w:eastAsia="Times New Roman" w:hAnsi="Times New Roman" w:cs="Times New Roman"/>
          <w:sz w:val="24"/>
          <w:szCs w:val="24"/>
        </w:rPr>
        <w:t xml:space="preserve"> (Core Option Greek)</w:t>
      </w:r>
    </w:p>
    <w:p w14:paraId="408EE71E"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Auto / Manual:</w:t>
      </w:r>
    </w:p>
    <w:p w14:paraId="45454B88"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Auto</w:t>
      </w:r>
    </w:p>
    <w:p w14:paraId="0E6F6DE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Update Frequency:</w:t>
      </w:r>
    </w:p>
    <w:p w14:paraId="63D749E5"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Every Option Chain Refresh (Market Hours)</w:t>
      </w:r>
    </w:p>
    <w:p w14:paraId="553ACB61"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Praxis Note:</w:t>
      </w:r>
    </w:p>
    <w:p w14:paraId="4B99256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Theta accelerates rapidly as expiry approaches, particularly for At-the-Money (ATM) options. It is one of the most important Greeks for option sellers.</w:t>
      </w:r>
    </w:p>
    <w:p w14:paraId="4D3BA53F"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689AFD3F">
          <v:rect id="_x0000_i1345" style="width:0;height:1.5pt" o:hralign="center" o:hrstd="t" o:hr="t" fillcolor="#a0a0a0" stroked="f"/>
        </w:pict>
      </w:r>
    </w:p>
    <w:p w14:paraId="043F45C5"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lastRenderedPageBreak/>
        <w:t>2. Data Requirements</w:t>
      </w:r>
    </w:p>
    <w:p w14:paraId="0A644EEB"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Required Data</w:t>
      </w:r>
    </w:p>
    <w:p w14:paraId="45343143" w14:textId="77777777" w:rsidR="008E39ED" w:rsidRPr="008E39ED" w:rsidRDefault="008E39ED" w:rsidP="008E39ED">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Option Premium </w:t>
      </w:r>
    </w:p>
    <w:p w14:paraId="7E52B166" w14:textId="77777777" w:rsidR="008E39ED" w:rsidRPr="008E39ED" w:rsidRDefault="008E39ED" w:rsidP="008E39ED">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Expiry Date </w:t>
      </w:r>
    </w:p>
    <w:p w14:paraId="456CA2FF" w14:textId="77777777" w:rsidR="008E39ED" w:rsidRPr="008E39ED" w:rsidRDefault="008E39ED" w:rsidP="008E39ED">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Underlying Spot Price </w:t>
      </w:r>
    </w:p>
    <w:p w14:paraId="73B5DDBC" w14:textId="77777777" w:rsidR="008E39ED" w:rsidRPr="008E39ED" w:rsidRDefault="008E39ED" w:rsidP="008E39ED">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Strike Price </w:t>
      </w:r>
    </w:p>
    <w:p w14:paraId="230871FB" w14:textId="77777777" w:rsidR="008E39ED" w:rsidRPr="008E39ED" w:rsidRDefault="008E39ED" w:rsidP="008E39ED">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Implied Volatility </w:t>
      </w:r>
    </w:p>
    <w:p w14:paraId="16096741"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Minimum Historical Data</w:t>
      </w:r>
    </w:p>
    <w:p w14:paraId="01CADD8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Current Option Chain</w:t>
      </w:r>
    </w:p>
    <w:p w14:paraId="5EA0CD92"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Recommended</w:t>
      </w:r>
    </w:p>
    <w:p w14:paraId="59FB31D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30 Trading Days</w:t>
      </w:r>
    </w:p>
    <w:p w14:paraId="14B48AE8"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Primary Source</w:t>
      </w:r>
    </w:p>
    <w:p w14:paraId="6D41B2C8" w14:textId="77777777" w:rsidR="008E39ED" w:rsidRPr="008E39ED" w:rsidRDefault="008E39ED" w:rsidP="008E39ED">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NSE Option Chain </w:t>
      </w:r>
    </w:p>
    <w:p w14:paraId="0C748DF5" w14:textId="77777777" w:rsidR="008E39ED" w:rsidRPr="008E39ED" w:rsidRDefault="008E39ED" w:rsidP="008E39ED">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Upstox API </w:t>
      </w:r>
    </w:p>
    <w:p w14:paraId="6E76A7AC"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1CF23BE5">
          <v:rect id="_x0000_i1346" style="width:0;height:1.5pt" o:hralign="center" o:hrstd="t" o:hr="t" fillcolor="#a0a0a0" stroked="f"/>
        </w:pict>
      </w:r>
    </w:p>
    <w:p w14:paraId="590B701D"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3. Industry Standard Calculation</w:t>
      </w:r>
    </w:p>
    <w:p w14:paraId="26D8E17A"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Method</w:t>
      </w:r>
    </w:p>
    <w:p w14:paraId="694ED01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Calculate Theta using the Black-Scholes option pricing model.</w:t>
      </w:r>
    </w:p>
    <w:p w14:paraId="0F923390"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Interpretation</w:t>
      </w:r>
    </w:p>
    <w:p w14:paraId="76D0E50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Theta represents the expected daily decrease in option premium due to time decay.</w:t>
      </w:r>
    </w:p>
    <w:p w14:paraId="46EFA6A5"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Implementation Steps</w:t>
      </w:r>
    </w:p>
    <w:p w14:paraId="72D8E513" w14:textId="77777777" w:rsidR="008E39ED" w:rsidRPr="008E39ED" w:rsidRDefault="008E39ED" w:rsidP="008E39ED">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Retrieve option chain. </w:t>
      </w:r>
    </w:p>
    <w:p w14:paraId="05D901A4" w14:textId="77777777" w:rsidR="008E39ED" w:rsidRPr="008E39ED" w:rsidRDefault="008E39ED" w:rsidP="008E39ED">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Calculate Theta for each option. </w:t>
      </w:r>
    </w:p>
    <w:p w14:paraId="7120AE3E" w14:textId="77777777" w:rsidR="008E39ED" w:rsidRPr="008E39ED" w:rsidRDefault="008E39ED" w:rsidP="008E39ED">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Determine daily time decay. </w:t>
      </w:r>
    </w:p>
    <w:p w14:paraId="0DC96D2C" w14:textId="77777777" w:rsidR="008E39ED" w:rsidRPr="008E39ED" w:rsidRDefault="008E39ED" w:rsidP="008E39ED">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Generate the Options Score. </w:t>
      </w:r>
    </w:p>
    <w:p w14:paraId="036DF326"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Notes</w:t>
      </w:r>
    </w:p>
    <w:p w14:paraId="2C15BB31" w14:textId="77777777" w:rsidR="008E39ED" w:rsidRPr="008E39ED" w:rsidRDefault="008E39ED" w:rsidP="008E39ED">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lastRenderedPageBreak/>
        <w:t xml:space="preserve">Use exchange-provided Greeks when available. </w:t>
      </w:r>
    </w:p>
    <w:p w14:paraId="58BB1E17" w14:textId="77777777" w:rsidR="008E39ED" w:rsidRPr="008E39ED" w:rsidRDefault="008E39ED" w:rsidP="008E39ED">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Theta is generally negative for long option positions. </w:t>
      </w:r>
    </w:p>
    <w:p w14:paraId="1D7E49A6" w14:textId="77777777" w:rsidR="008E39ED" w:rsidRPr="008E39ED" w:rsidRDefault="008E39ED" w:rsidP="008E39ED">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Time decay accelerates significantly near expiry. </w:t>
      </w:r>
    </w:p>
    <w:p w14:paraId="10DC315C"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13F08A26">
          <v:rect id="_x0000_i1347" style="width:0;height:1.5pt" o:hralign="center" o:hrstd="t" o:hr="t" fillcolor="#a0a0a0" stroked="f"/>
        </w:pict>
      </w:r>
    </w:p>
    <w:p w14:paraId="6A5E57E8"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4. Card Fields</w:t>
      </w:r>
    </w:p>
    <w:p w14:paraId="405F560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Current Value</w:t>
      </w:r>
    </w:p>
    <w:p w14:paraId="2474BA0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Theta</w:t>
      </w:r>
    </w:p>
    <w:p w14:paraId="2D10F30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Daily Time Decay</w:t>
      </w:r>
    </w:p>
    <w:p w14:paraId="7E477F78"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Expected premium loss per day</w:t>
      </w:r>
    </w:p>
    <w:p w14:paraId="17F22671"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Days to Expiry</w:t>
      </w:r>
    </w:p>
    <w:p w14:paraId="3FB97CA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Remaining calendar days</w:t>
      </w:r>
    </w:p>
    <w:p w14:paraId="49F067C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Score</w:t>
      </w:r>
    </w:p>
    <w:p w14:paraId="26C9942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0–100</w:t>
      </w:r>
    </w:p>
    <w:p w14:paraId="1E45A716"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Bias</w:t>
      </w:r>
    </w:p>
    <w:p w14:paraId="7127C7B0" w14:textId="77777777" w:rsidR="008E39ED" w:rsidRPr="008E39ED" w:rsidRDefault="008E39ED" w:rsidP="008E39ED">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Favorable </w:t>
      </w:r>
    </w:p>
    <w:p w14:paraId="1E249CD5" w14:textId="77777777" w:rsidR="008E39ED" w:rsidRPr="008E39ED" w:rsidRDefault="008E39ED" w:rsidP="008E39ED">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Neutral </w:t>
      </w:r>
    </w:p>
    <w:p w14:paraId="7DA14E73" w14:textId="77777777" w:rsidR="008E39ED" w:rsidRPr="008E39ED" w:rsidRDefault="008E39ED" w:rsidP="008E39ED">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Unfavorable </w:t>
      </w:r>
    </w:p>
    <w:p w14:paraId="304B7F06"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Confidence</w:t>
      </w:r>
    </w:p>
    <w:p w14:paraId="5B54DCB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Greeks Confidence</w:t>
      </w:r>
    </w:p>
    <w:p w14:paraId="61A4935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Impact Weight</w:t>
      </w:r>
    </w:p>
    <w:p w14:paraId="01B5BDF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Medium</w:t>
      </w:r>
    </w:p>
    <w:p w14:paraId="344641AB"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0DF09200">
          <v:rect id="_x0000_i1348" style="width:0;height:1.5pt" o:hralign="center" o:hrstd="t" o:hr="t" fillcolor="#a0a0a0" stroked="f"/>
        </w:pict>
      </w:r>
    </w:p>
    <w:p w14:paraId="0651FDCA"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4"/>
        <w:gridCol w:w="634"/>
        <w:gridCol w:w="1056"/>
      </w:tblGrid>
      <w:tr w:rsidR="008E39ED" w:rsidRPr="008E39ED" w14:paraId="7BBF89CC" w14:textId="77777777" w:rsidTr="008E39ED">
        <w:trPr>
          <w:tblHeader/>
          <w:tblCellSpacing w:w="15" w:type="dxa"/>
        </w:trPr>
        <w:tc>
          <w:tcPr>
            <w:tcW w:w="0" w:type="auto"/>
            <w:vAlign w:val="center"/>
            <w:hideMark/>
          </w:tcPr>
          <w:p w14:paraId="1281EF80" w14:textId="77777777" w:rsidR="008E39ED" w:rsidRPr="008E39ED" w:rsidRDefault="008E39ED" w:rsidP="008E39ED">
            <w:pPr>
              <w:spacing w:after="0" w:line="240" w:lineRule="auto"/>
              <w:jc w:val="center"/>
              <w:rPr>
                <w:rFonts w:ascii="Times New Roman" w:eastAsia="Times New Roman" w:hAnsi="Times New Roman" w:cs="Times New Roman"/>
                <w:b/>
                <w:bCs/>
                <w:sz w:val="24"/>
                <w:szCs w:val="24"/>
              </w:rPr>
            </w:pPr>
            <w:r w:rsidRPr="008E39ED">
              <w:rPr>
                <w:rFonts w:ascii="Times New Roman" w:eastAsia="Times New Roman" w:hAnsi="Times New Roman" w:cs="Times New Roman"/>
                <w:b/>
                <w:bCs/>
                <w:sz w:val="24"/>
                <w:szCs w:val="24"/>
              </w:rPr>
              <w:t>Condition</w:t>
            </w:r>
          </w:p>
        </w:tc>
        <w:tc>
          <w:tcPr>
            <w:tcW w:w="0" w:type="auto"/>
            <w:vAlign w:val="center"/>
            <w:hideMark/>
          </w:tcPr>
          <w:p w14:paraId="1DCDAF0F" w14:textId="77777777" w:rsidR="008E39ED" w:rsidRPr="008E39ED" w:rsidRDefault="008E39ED" w:rsidP="008E39ED">
            <w:pPr>
              <w:spacing w:after="0" w:line="240" w:lineRule="auto"/>
              <w:jc w:val="center"/>
              <w:rPr>
                <w:rFonts w:ascii="Times New Roman" w:eastAsia="Times New Roman" w:hAnsi="Times New Roman" w:cs="Times New Roman"/>
                <w:b/>
                <w:bCs/>
                <w:sz w:val="24"/>
                <w:szCs w:val="24"/>
              </w:rPr>
            </w:pPr>
            <w:r w:rsidRPr="008E39ED">
              <w:rPr>
                <w:rFonts w:ascii="Times New Roman" w:eastAsia="Times New Roman" w:hAnsi="Times New Roman" w:cs="Times New Roman"/>
                <w:b/>
                <w:bCs/>
                <w:sz w:val="24"/>
                <w:szCs w:val="24"/>
              </w:rPr>
              <w:t>Score</w:t>
            </w:r>
          </w:p>
        </w:tc>
        <w:tc>
          <w:tcPr>
            <w:tcW w:w="0" w:type="auto"/>
            <w:vAlign w:val="center"/>
            <w:hideMark/>
          </w:tcPr>
          <w:p w14:paraId="76C196B5" w14:textId="77777777" w:rsidR="008E39ED" w:rsidRPr="008E39ED" w:rsidRDefault="008E39ED" w:rsidP="008E39ED">
            <w:pPr>
              <w:spacing w:after="0" w:line="240" w:lineRule="auto"/>
              <w:jc w:val="center"/>
              <w:rPr>
                <w:rFonts w:ascii="Times New Roman" w:eastAsia="Times New Roman" w:hAnsi="Times New Roman" w:cs="Times New Roman"/>
                <w:b/>
                <w:bCs/>
                <w:sz w:val="24"/>
                <w:szCs w:val="24"/>
              </w:rPr>
            </w:pPr>
            <w:r w:rsidRPr="008E39ED">
              <w:rPr>
                <w:rFonts w:ascii="Times New Roman" w:eastAsia="Times New Roman" w:hAnsi="Times New Roman" w:cs="Times New Roman"/>
                <w:b/>
                <w:bCs/>
                <w:sz w:val="24"/>
                <w:szCs w:val="24"/>
              </w:rPr>
              <w:t>Bias</w:t>
            </w:r>
          </w:p>
        </w:tc>
      </w:tr>
      <w:tr w:rsidR="008E39ED" w:rsidRPr="008E39ED" w14:paraId="6F51729F" w14:textId="77777777" w:rsidTr="008E39ED">
        <w:trPr>
          <w:tblCellSpacing w:w="15" w:type="dxa"/>
        </w:trPr>
        <w:tc>
          <w:tcPr>
            <w:tcW w:w="0" w:type="auto"/>
            <w:vAlign w:val="center"/>
            <w:hideMark/>
          </w:tcPr>
          <w:p w14:paraId="7E16549C"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Low Time Decay</w:t>
            </w:r>
          </w:p>
        </w:tc>
        <w:tc>
          <w:tcPr>
            <w:tcW w:w="0" w:type="auto"/>
            <w:vAlign w:val="center"/>
            <w:hideMark/>
          </w:tcPr>
          <w:p w14:paraId="39B8EE77"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90</w:t>
            </w:r>
          </w:p>
        </w:tc>
        <w:tc>
          <w:tcPr>
            <w:tcW w:w="0" w:type="auto"/>
            <w:vAlign w:val="center"/>
            <w:hideMark/>
          </w:tcPr>
          <w:p w14:paraId="06A12692"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Favorable</w:t>
            </w:r>
          </w:p>
        </w:tc>
      </w:tr>
      <w:tr w:rsidR="008E39ED" w:rsidRPr="008E39ED" w14:paraId="324422B0" w14:textId="77777777" w:rsidTr="008E39ED">
        <w:trPr>
          <w:tblCellSpacing w:w="15" w:type="dxa"/>
        </w:trPr>
        <w:tc>
          <w:tcPr>
            <w:tcW w:w="0" w:type="auto"/>
            <w:vAlign w:val="center"/>
            <w:hideMark/>
          </w:tcPr>
          <w:p w14:paraId="22A737D2"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lastRenderedPageBreak/>
              <w:t>Moderate Time Decay</w:t>
            </w:r>
          </w:p>
        </w:tc>
        <w:tc>
          <w:tcPr>
            <w:tcW w:w="0" w:type="auto"/>
            <w:vAlign w:val="center"/>
            <w:hideMark/>
          </w:tcPr>
          <w:p w14:paraId="04154916"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70</w:t>
            </w:r>
          </w:p>
        </w:tc>
        <w:tc>
          <w:tcPr>
            <w:tcW w:w="0" w:type="auto"/>
            <w:vAlign w:val="center"/>
            <w:hideMark/>
          </w:tcPr>
          <w:p w14:paraId="3FA183A5"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Neutral</w:t>
            </w:r>
          </w:p>
        </w:tc>
      </w:tr>
      <w:tr w:rsidR="008E39ED" w:rsidRPr="008E39ED" w14:paraId="4859B813" w14:textId="77777777" w:rsidTr="008E39ED">
        <w:trPr>
          <w:tblCellSpacing w:w="15" w:type="dxa"/>
        </w:trPr>
        <w:tc>
          <w:tcPr>
            <w:tcW w:w="0" w:type="auto"/>
            <w:vAlign w:val="center"/>
            <w:hideMark/>
          </w:tcPr>
          <w:p w14:paraId="7AF39A4B"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High Time Decay</w:t>
            </w:r>
          </w:p>
        </w:tc>
        <w:tc>
          <w:tcPr>
            <w:tcW w:w="0" w:type="auto"/>
            <w:vAlign w:val="center"/>
            <w:hideMark/>
          </w:tcPr>
          <w:p w14:paraId="6E731FB6"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40</w:t>
            </w:r>
          </w:p>
        </w:tc>
        <w:tc>
          <w:tcPr>
            <w:tcW w:w="0" w:type="auto"/>
            <w:vAlign w:val="center"/>
            <w:hideMark/>
          </w:tcPr>
          <w:p w14:paraId="51947BAF"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Cautious</w:t>
            </w:r>
          </w:p>
        </w:tc>
      </w:tr>
      <w:tr w:rsidR="008E39ED" w:rsidRPr="008E39ED" w14:paraId="2E609451" w14:textId="77777777" w:rsidTr="008E39ED">
        <w:trPr>
          <w:tblCellSpacing w:w="15" w:type="dxa"/>
        </w:trPr>
        <w:tc>
          <w:tcPr>
            <w:tcW w:w="0" w:type="auto"/>
            <w:vAlign w:val="center"/>
            <w:hideMark/>
          </w:tcPr>
          <w:p w14:paraId="34F78007"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Extreme Time Decay</w:t>
            </w:r>
          </w:p>
        </w:tc>
        <w:tc>
          <w:tcPr>
            <w:tcW w:w="0" w:type="auto"/>
            <w:vAlign w:val="center"/>
            <w:hideMark/>
          </w:tcPr>
          <w:p w14:paraId="15F75F31"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15</w:t>
            </w:r>
          </w:p>
        </w:tc>
        <w:tc>
          <w:tcPr>
            <w:tcW w:w="0" w:type="auto"/>
            <w:vAlign w:val="center"/>
            <w:hideMark/>
          </w:tcPr>
          <w:p w14:paraId="4E0B9BB0"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High Risk</w:t>
            </w:r>
          </w:p>
        </w:tc>
      </w:tr>
    </w:tbl>
    <w:p w14:paraId="4A26B80C"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Notes</w:t>
      </w:r>
    </w:p>
    <w:p w14:paraId="4A6F8F48" w14:textId="77777777" w:rsidR="008E39ED" w:rsidRPr="008E39ED" w:rsidRDefault="008E39ED" w:rsidP="008E39ED">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Higher absolute Theta increases time decay. </w:t>
      </w:r>
    </w:p>
    <w:p w14:paraId="34D89EB7" w14:textId="77777777" w:rsidR="008E39ED" w:rsidRPr="008E39ED" w:rsidRDefault="008E39ED" w:rsidP="008E39ED">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Time decay accelerates sharply during the final week before expiry. </w:t>
      </w:r>
    </w:p>
    <w:p w14:paraId="754D98FC" w14:textId="77777777" w:rsidR="008E39ED" w:rsidRPr="008E39ED" w:rsidRDefault="008E39ED" w:rsidP="008E39ED">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Always evaluate Theta with Days to Expiry. </w:t>
      </w:r>
    </w:p>
    <w:p w14:paraId="3CF2F8D4"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611DB455">
          <v:rect id="_x0000_i1349" style="width:0;height:1.5pt" o:hralign="center" o:hrstd="t" o:hr="t" fillcolor="#a0a0a0" stroked="f"/>
        </w:pict>
      </w:r>
    </w:p>
    <w:p w14:paraId="5040AB77"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6. Bias Rules</w:t>
      </w:r>
    </w:p>
    <w:p w14:paraId="5BFED4E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Low Theta</w:t>
      </w:r>
    </w:p>
    <w:p w14:paraId="5A39EE71"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Bullish</w:t>
      </w:r>
    </w:p>
    <w:p w14:paraId="7B7D470E"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Moderate Theta</w:t>
      </w:r>
    </w:p>
    <w:p w14:paraId="101BD468"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Neutral</w:t>
      </w:r>
    </w:p>
    <w:p w14:paraId="16B0580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High Theta</w:t>
      </w:r>
    </w:p>
    <w:p w14:paraId="062E9C08"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Bearish</w:t>
      </w:r>
    </w:p>
    <w:p w14:paraId="45247FF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Extreme Theta</w:t>
      </w:r>
    </w:p>
    <w:p w14:paraId="244D6B1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High Risk</w:t>
      </w:r>
    </w:p>
    <w:p w14:paraId="491214B7"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4B9C12C5">
          <v:rect id="_x0000_i1350" style="width:0;height:1.5pt" o:hralign="center" o:hrstd="t" o:hr="t" fillcolor="#a0a0a0" stroked="f"/>
        </w:pict>
      </w:r>
    </w:p>
    <w:p w14:paraId="55B195A2"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7. Confidence Logic</w:t>
      </w:r>
    </w:p>
    <w:p w14:paraId="18C649E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Base Confidence</w:t>
      </w:r>
    </w:p>
    <w:p w14:paraId="0A0F26C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90%</w:t>
      </w:r>
    </w:p>
    <w:p w14:paraId="024E4DD3"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Increase Confidence</w:t>
      </w:r>
    </w:p>
    <w:p w14:paraId="110C425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+5% High option liquidity</w:t>
      </w:r>
    </w:p>
    <w:p w14:paraId="1E5AB1CC"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lastRenderedPageBreak/>
        <w:t>+5% Stable IV</w:t>
      </w:r>
    </w:p>
    <w:p w14:paraId="18639895"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+5% Reliable exchange Greeks</w:t>
      </w:r>
    </w:p>
    <w:p w14:paraId="3FE14BD1"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Decrease Confidence</w:t>
      </w:r>
    </w:p>
    <w:p w14:paraId="412679E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-10% Low liquidity</w:t>
      </w:r>
    </w:p>
    <w:p w14:paraId="7C1F58B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-5% Expiry-day volatility</w:t>
      </w:r>
    </w:p>
    <w:p w14:paraId="599CA2A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-5% Wide bid-ask spreads</w:t>
      </w:r>
    </w:p>
    <w:p w14:paraId="6919BA76"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Minimum</w:t>
      </w:r>
    </w:p>
    <w:p w14:paraId="1B13252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65%</w:t>
      </w:r>
    </w:p>
    <w:p w14:paraId="4883F17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Maximum</w:t>
      </w:r>
    </w:p>
    <w:p w14:paraId="08D2A4C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99%</w:t>
      </w:r>
    </w:p>
    <w:p w14:paraId="1408B553"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3D88ED01">
          <v:rect id="_x0000_i1351" style="width:0;height:1.5pt" o:hralign="center" o:hrstd="t" o:hr="t" fillcolor="#a0a0a0" stroked="f"/>
        </w:pict>
      </w:r>
    </w:p>
    <w:p w14:paraId="2D20DFC2"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8. Score Range Bar</w:t>
      </w:r>
    </w:p>
    <w:p w14:paraId="6134EE91"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Minimum</w:t>
      </w:r>
    </w:p>
    <w:p w14:paraId="46B1096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0</w:t>
      </w:r>
    </w:p>
    <w:p w14:paraId="10C21D91"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Maximum</w:t>
      </w:r>
    </w:p>
    <w:p w14:paraId="01F50E2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100</w:t>
      </w:r>
    </w:p>
    <w:p w14:paraId="312CDD2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Pointer</w:t>
      </w:r>
    </w:p>
    <w:p w14:paraId="212C61E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Current Score</w:t>
      </w:r>
    </w:p>
    <w:p w14:paraId="3EB5CC9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Average Marker</w:t>
      </w:r>
    </w:p>
    <w:p w14:paraId="5F77851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30-Day Average Score</w:t>
      </w:r>
    </w:p>
    <w:p w14:paraId="073AA0D3"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Color Zones</w:t>
      </w:r>
    </w:p>
    <w:p w14:paraId="6F3878B8"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0–30 → Severe Time Decay</w:t>
      </w:r>
    </w:p>
    <w:p w14:paraId="647C224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30–60 → High Decay</w:t>
      </w:r>
    </w:p>
    <w:p w14:paraId="093BEC51"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lastRenderedPageBreak/>
        <w:t>60–80 → Moderate Decay</w:t>
      </w:r>
    </w:p>
    <w:p w14:paraId="5AE58FD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80–100 → Low Decay</w:t>
      </w:r>
    </w:p>
    <w:p w14:paraId="33CB9EE5"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48F9063F">
          <v:rect id="_x0000_i1352" style="width:0;height:1.5pt" o:hralign="center" o:hrstd="t" o:hr="t" fillcolor="#a0a0a0" stroked="f"/>
        </w:pict>
      </w:r>
    </w:p>
    <w:p w14:paraId="259B79BB"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9. Dual Trend Chart</w:t>
      </w:r>
    </w:p>
    <w:p w14:paraId="5899B9CC"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Chart Type</w:t>
      </w:r>
    </w:p>
    <w:p w14:paraId="1C79B02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Dual Line</w:t>
      </w:r>
    </w:p>
    <w:p w14:paraId="0367E1B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Line 1</w:t>
      </w:r>
    </w:p>
    <w:p w14:paraId="434A4A7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Theta</w:t>
      </w:r>
    </w:p>
    <w:p w14:paraId="1417D18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Line 2</w:t>
      </w:r>
    </w:p>
    <w:p w14:paraId="70CD41F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Praxis Score</w:t>
      </w:r>
    </w:p>
    <w:p w14:paraId="0D6977F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History</w:t>
      </w:r>
    </w:p>
    <w:p w14:paraId="222C8F68"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30 Trading Days</w:t>
      </w:r>
    </w:p>
    <w:p w14:paraId="22865D9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Update</w:t>
      </w:r>
    </w:p>
    <w:p w14:paraId="17C1A81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Every option chain refresh.</w:t>
      </w:r>
    </w:p>
    <w:p w14:paraId="7B5AA809"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14717249">
          <v:rect id="_x0000_i1353" style="width:0;height:1.5pt" o:hralign="center" o:hrstd="t" o:hr="t" fillcolor="#a0a0a0" stroked="f"/>
        </w:pict>
      </w:r>
    </w:p>
    <w:p w14:paraId="5FED631E"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10. AI Insight Rules</w:t>
      </w:r>
    </w:p>
    <w:p w14:paraId="31006DDC"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Low Theta</w:t>
      </w:r>
    </w:p>
    <w:p w14:paraId="7883635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Explain that time decay remains limited, making the option less sensitive to the passage of time.</w:t>
      </w:r>
    </w:p>
    <w:p w14:paraId="6386F95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Moderate Theta</w:t>
      </w:r>
    </w:p>
    <w:p w14:paraId="4C1763E1"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Explain that normal time decay is affecting the option premium.</w:t>
      </w:r>
    </w:p>
    <w:p w14:paraId="385F8535"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High Theta</w:t>
      </w:r>
    </w:p>
    <w:p w14:paraId="43860D42"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Explain that option value is declining rapidly as expiry approaches.</w:t>
      </w:r>
    </w:p>
    <w:p w14:paraId="08B7700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lastRenderedPageBreak/>
        <w:t>Extreme Theta</w:t>
      </w:r>
    </w:p>
    <w:p w14:paraId="00506D5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Explain that time decay is accelerating significantly, increasing the risk for option buyers.</w:t>
      </w:r>
    </w:p>
    <w:p w14:paraId="28807FEC"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5F3A145D">
          <v:rect id="_x0000_i1354" style="width:0;height:1.5pt" o:hralign="center" o:hrstd="t" o:hr="t" fillcolor="#a0a0a0" stroked="f"/>
        </w:pict>
      </w:r>
    </w:p>
    <w:p w14:paraId="64B8533B"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11. Why It Matters</w:t>
      </w:r>
    </w:p>
    <w:p w14:paraId="0E5DE623" w14:textId="77777777" w:rsidR="008E39ED" w:rsidRPr="008E39ED" w:rsidRDefault="008E39ED" w:rsidP="008E39ED">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Measures daily option premium erosion. </w:t>
      </w:r>
    </w:p>
    <w:p w14:paraId="43528F2D" w14:textId="77777777" w:rsidR="008E39ED" w:rsidRPr="008E39ED" w:rsidRDefault="008E39ED" w:rsidP="008E39ED">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Helps evaluate expiry risk. </w:t>
      </w:r>
    </w:p>
    <w:p w14:paraId="514B8F9B" w14:textId="77777777" w:rsidR="008E39ED" w:rsidRPr="008E39ED" w:rsidRDefault="008E39ED" w:rsidP="008E39ED">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Essential for option selling strategies. </w:t>
      </w:r>
    </w:p>
    <w:p w14:paraId="5AD11A7A" w14:textId="77777777" w:rsidR="008E39ED" w:rsidRPr="008E39ED" w:rsidRDefault="008E39ED" w:rsidP="008E39ED">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Supports position management. </w:t>
      </w:r>
    </w:p>
    <w:p w14:paraId="22F1AD1D" w14:textId="77777777" w:rsidR="008E39ED" w:rsidRPr="008E39ED" w:rsidRDefault="008E39ED" w:rsidP="008E39ED">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Improves option selection. </w:t>
      </w:r>
    </w:p>
    <w:p w14:paraId="2C8AEF81"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522C1651">
          <v:rect id="_x0000_i1355" style="width:0;height:1.5pt" o:hralign="center" o:hrstd="t" o:hr="t" fillcolor="#a0a0a0" stroked="f"/>
        </w:pict>
      </w:r>
    </w:p>
    <w:p w14:paraId="6912E3A7"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12. Trading Impact</w:t>
      </w:r>
    </w:p>
    <w:p w14:paraId="14B47BE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Intraday</w:t>
      </w:r>
    </w:p>
    <w:p w14:paraId="6B02E90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Segoe UI Symbol" w:eastAsia="Times New Roman" w:hAnsi="Segoe UI Symbol" w:cs="Segoe UI Symbol"/>
          <w:sz w:val="24"/>
          <w:szCs w:val="24"/>
        </w:rPr>
        <w:t>★★★★☆</w:t>
      </w:r>
    </w:p>
    <w:p w14:paraId="69B342CE"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Swing Trading</w:t>
      </w:r>
    </w:p>
    <w:p w14:paraId="1D16C3C3"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Segoe UI Symbol" w:eastAsia="Times New Roman" w:hAnsi="Segoe UI Symbol" w:cs="Segoe UI Symbol"/>
          <w:sz w:val="24"/>
          <w:szCs w:val="24"/>
        </w:rPr>
        <w:t>★★★★☆</w:t>
      </w:r>
    </w:p>
    <w:p w14:paraId="0D60CB0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Positional Trading</w:t>
      </w:r>
    </w:p>
    <w:p w14:paraId="5559DEC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Segoe UI Symbol" w:eastAsia="Times New Roman" w:hAnsi="Segoe UI Symbol" w:cs="Segoe UI Symbol"/>
          <w:sz w:val="24"/>
          <w:szCs w:val="24"/>
        </w:rPr>
        <w:t>★★☆☆☆</w:t>
      </w:r>
    </w:p>
    <w:p w14:paraId="73C44F35"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Options Trading</w:t>
      </w:r>
    </w:p>
    <w:p w14:paraId="4D1F9911"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Segoe UI Symbol" w:eastAsia="Times New Roman" w:hAnsi="Segoe UI Symbol" w:cs="Segoe UI Symbol"/>
          <w:sz w:val="24"/>
          <w:szCs w:val="24"/>
        </w:rPr>
        <w:t>★★★★★</w:t>
      </w:r>
    </w:p>
    <w:p w14:paraId="504001E8"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Best Use</w:t>
      </w:r>
    </w:p>
    <w:p w14:paraId="42960E3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Evaluating time decay risk.</w:t>
      </w:r>
    </w:p>
    <w:p w14:paraId="11ACA4F5"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Avoid Using Alone</w:t>
      </w:r>
    </w:p>
    <w:p w14:paraId="27411556"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Yes</w:t>
      </w:r>
    </w:p>
    <w:p w14:paraId="06DC3EEA"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0060F5CD">
          <v:rect id="_x0000_i1356" style="width:0;height:1.5pt" o:hralign="center" o:hrstd="t" o:hr="t" fillcolor="#a0a0a0" stroked="f"/>
        </w:pict>
      </w:r>
    </w:p>
    <w:p w14:paraId="4A66531A"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lastRenderedPageBreak/>
        <w:t>13. Supporting Indicators</w:t>
      </w:r>
    </w:p>
    <w:p w14:paraId="528ED9D8" w14:textId="77777777" w:rsidR="008E39ED" w:rsidRPr="008E39ED" w:rsidRDefault="008E39ED" w:rsidP="008E39ED">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Delta </w:t>
      </w:r>
    </w:p>
    <w:p w14:paraId="4D4825A9" w14:textId="77777777" w:rsidR="008E39ED" w:rsidRPr="008E39ED" w:rsidRDefault="008E39ED" w:rsidP="008E39ED">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Gamma </w:t>
      </w:r>
    </w:p>
    <w:p w14:paraId="63D99757" w14:textId="77777777" w:rsidR="008E39ED" w:rsidRPr="008E39ED" w:rsidRDefault="008E39ED" w:rsidP="008E39ED">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Vega </w:t>
      </w:r>
    </w:p>
    <w:p w14:paraId="2D8FC15E" w14:textId="77777777" w:rsidR="008E39ED" w:rsidRPr="008E39ED" w:rsidRDefault="008E39ED" w:rsidP="008E39ED">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ATM IV </w:t>
      </w:r>
    </w:p>
    <w:p w14:paraId="7EFA080A" w14:textId="77777777" w:rsidR="008E39ED" w:rsidRPr="008E39ED" w:rsidRDefault="008E39ED" w:rsidP="008E39ED">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Days to Expiry </w:t>
      </w:r>
    </w:p>
    <w:p w14:paraId="5913601E" w14:textId="77777777" w:rsidR="008E39ED" w:rsidRPr="008E39ED" w:rsidRDefault="008E39ED" w:rsidP="008E39ED">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IV Rank </w:t>
      </w:r>
    </w:p>
    <w:p w14:paraId="575B3BBC"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22C25AD1">
          <v:rect id="_x0000_i1357" style="width:0;height:1.5pt" o:hralign="center" o:hrstd="t" o:hr="t" fillcolor="#a0a0a0" stroked="f"/>
        </w:pict>
      </w:r>
    </w:p>
    <w:p w14:paraId="620F7728"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14. Metadata</w:t>
      </w:r>
    </w:p>
    <w:p w14:paraId="065B2DE6"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Source</w:t>
      </w:r>
    </w:p>
    <w:p w14:paraId="72FC8766"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NSE Option Chain / Upstox API</w:t>
      </w:r>
    </w:p>
    <w:p w14:paraId="5CE352C2"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Calculation</w:t>
      </w:r>
    </w:p>
    <w:p w14:paraId="17EABC50"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Exchange Greeks / Backend</w:t>
      </w:r>
    </w:p>
    <w:p w14:paraId="234708C1"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Updated</w:t>
      </w:r>
    </w:p>
    <w:p w14:paraId="772796B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Every Option Chain Refresh</w:t>
      </w:r>
    </w:p>
    <w:p w14:paraId="44CE2367"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proofErr w:type="spellStart"/>
      <w:r w:rsidRPr="008E39ED">
        <w:rPr>
          <w:rFonts w:ascii="Times New Roman" w:eastAsia="Times New Roman" w:hAnsi="Times New Roman" w:cs="Times New Roman"/>
          <w:b/>
          <w:bCs/>
          <w:sz w:val="24"/>
          <w:szCs w:val="24"/>
        </w:rPr>
        <w:t>Timezone</w:t>
      </w:r>
      <w:proofErr w:type="spellEnd"/>
    </w:p>
    <w:p w14:paraId="33310B5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Asia/Kolkata</w:t>
      </w:r>
    </w:p>
    <w:p w14:paraId="7B8D2281"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Storage</w:t>
      </w:r>
    </w:p>
    <w:p w14:paraId="7071B282"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Local Electron Database</w:t>
      </w:r>
    </w:p>
    <w:p w14:paraId="54DA2AF9"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1522D740">
          <v:rect id="_x0000_i1358" style="width:0;height:1.5pt" o:hralign="center" o:hrstd="t" o:hr="t" fillcolor="#a0a0a0" stroked="f"/>
        </w:pict>
      </w:r>
    </w:p>
    <w:p w14:paraId="50AF7523"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15. Developer Notes</w:t>
      </w:r>
    </w:p>
    <w:p w14:paraId="762DA205"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Store:</w:t>
      </w:r>
    </w:p>
    <w:p w14:paraId="4FAD7FA5" w14:textId="77777777" w:rsidR="008E39ED" w:rsidRPr="008E39ED" w:rsidRDefault="008E39ED" w:rsidP="008E39ED">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Theta </w:t>
      </w:r>
    </w:p>
    <w:p w14:paraId="4E06B116" w14:textId="77777777" w:rsidR="008E39ED" w:rsidRPr="008E39ED" w:rsidRDefault="008E39ED" w:rsidP="008E39ED">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Days to Expiry </w:t>
      </w:r>
    </w:p>
    <w:p w14:paraId="71C47227" w14:textId="77777777" w:rsidR="008E39ED" w:rsidRPr="008E39ED" w:rsidRDefault="008E39ED" w:rsidP="008E39ED">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Option Type </w:t>
      </w:r>
    </w:p>
    <w:p w14:paraId="185C4838" w14:textId="77777777" w:rsidR="008E39ED" w:rsidRPr="008E39ED" w:rsidRDefault="008E39ED" w:rsidP="008E39ED">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Strike Price </w:t>
      </w:r>
    </w:p>
    <w:p w14:paraId="274B3E2C" w14:textId="77777777" w:rsidR="008E39ED" w:rsidRPr="008E39ED" w:rsidRDefault="008E39ED" w:rsidP="008E39ED">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lastRenderedPageBreak/>
        <w:t xml:space="preserve">Current Score </w:t>
      </w:r>
    </w:p>
    <w:p w14:paraId="0C9CEFCF" w14:textId="77777777" w:rsidR="008E39ED" w:rsidRPr="008E39ED" w:rsidRDefault="008E39ED" w:rsidP="008E39ED">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Confidence </w:t>
      </w:r>
    </w:p>
    <w:p w14:paraId="7BA89929" w14:textId="77777777" w:rsidR="008E39ED" w:rsidRPr="008E39ED" w:rsidRDefault="008E39ED" w:rsidP="008E39ED">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Last Updated </w:t>
      </w:r>
    </w:p>
    <w:p w14:paraId="0E08A63F"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Prefer exchange-provided Theta values. Recalculate continuously as expiry approaches and update more frequently during the final trading week due to accelerated time decay.</w:t>
      </w:r>
    </w:p>
    <w:p w14:paraId="7CDE652C"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74A87382">
          <v:rect id="_x0000_i1359" style="width:0;height:1.5pt" o:hralign="center" o:hrstd="t" o:hr="t" fillcolor="#a0a0a0" stroked="f"/>
        </w:pict>
      </w:r>
    </w:p>
    <w:p w14:paraId="7ADC4237"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t xml:space="preserve">16. Praxis Engine Integration </w:t>
      </w:r>
      <w:r w:rsidRPr="008E39ED">
        <w:rPr>
          <w:rFonts w:ascii="Segoe UI Emoji" w:eastAsia="Times New Roman" w:hAnsi="Segoe UI Emoji" w:cs="Segoe UI Emoji"/>
          <w:b/>
          <w:bCs/>
          <w:kern w:val="36"/>
          <w:sz w:val="48"/>
          <w:szCs w:val="48"/>
        </w:rPr>
        <w:t>⭐</w:t>
      </w:r>
    </w:p>
    <w:p w14:paraId="6EE5344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Engine Weight</w:t>
      </w:r>
    </w:p>
    <w:p w14:paraId="6A13BB8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Configurable</w:t>
      </w:r>
    </w:p>
    <w:p w14:paraId="120EBA6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Relative Importance</w:t>
      </w:r>
    </w:p>
    <w:p w14:paraId="5A120BBC"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High</w:t>
      </w:r>
    </w:p>
    <w:p w14:paraId="015910F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Decision Engine Role</w:t>
      </w:r>
    </w:p>
    <w:p w14:paraId="50ED0CF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Time Decay Assessment</w:t>
      </w:r>
    </w:p>
    <w:p w14:paraId="3116C715"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Primary Use</w:t>
      </w:r>
    </w:p>
    <w:p w14:paraId="51E038C9"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Measure the impact of time decay on option premiums.</w:t>
      </w:r>
    </w:p>
    <w:p w14:paraId="21EF4DCA"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Bullish Confirmation</w:t>
      </w:r>
    </w:p>
    <w:p w14:paraId="7487FEE5" w14:textId="77777777" w:rsidR="008E39ED" w:rsidRPr="008E39ED" w:rsidRDefault="008E39ED" w:rsidP="008E39ED">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Low Theta </w:t>
      </w:r>
    </w:p>
    <w:p w14:paraId="204A8018" w14:textId="77777777" w:rsidR="008E39ED" w:rsidRPr="008E39ED" w:rsidRDefault="008E39ED" w:rsidP="008E39ED">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Stable IV </w:t>
      </w:r>
    </w:p>
    <w:p w14:paraId="6520D795" w14:textId="77777777" w:rsidR="008E39ED" w:rsidRPr="008E39ED" w:rsidRDefault="008E39ED" w:rsidP="008E39ED">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Longer Time to Expiry </w:t>
      </w:r>
    </w:p>
    <w:p w14:paraId="37FB582E"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Bearish Confirmation</w:t>
      </w:r>
    </w:p>
    <w:p w14:paraId="4072A983" w14:textId="77777777" w:rsidR="008E39ED" w:rsidRPr="008E39ED" w:rsidRDefault="008E39ED" w:rsidP="008E39ED">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High Theta </w:t>
      </w:r>
    </w:p>
    <w:p w14:paraId="09DDE767" w14:textId="77777777" w:rsidR="008E39ED" w:rsidRPr="008E39ED" w:rsidRDefault="008E39ED" w:rsidP="008E39ED">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Near Expiry </w:t>
      </w:r>
    </w:p>
    <w:p w14:paraId="2103019C" w14:textId="77777777" w:rsidR="008E39ED" w:rsidRPr="008E39ED" w:rsidRDefault="008E39ED" w:rsidP="008E39ED">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High IV </w:t>
      </w:r>
    </w:p>
    <w:p w14:paraId="0B617114"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b/>
          <w:bCs/>
          <w:sz w:val="24"/>
          <w:szCs w:val="24"/>
        </w:rPr>
        <w:t>Display Priority</w:t>
      </w:r>
    </w:p>
    <w:p w14:paraId="343BB09B"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High</w:t>
      </w:r>
    </w:p>
    <w:p w14:paraId="70F307D1" w14:textId="77777777" w:rsidR="008E39ED" w:rsidRPr="008E39ED" w:rsidRDefault="008E39ED" w:rsidP="008E39ED">
      <w:pPr>
        <w:spacing w:after="0"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pict w14:anchorId="7D644A71">
          <v:rect id="_x0000_i1360" style="width:0;height:1.5pt" o:hralign="center" o:hrstd="t" o:hr="t" fillcolor="#a0a0a0" stroked="f"/>
        </w:pict>
      </w:r>
    </w:p>
    <w:p w14:paraId="367FD124" w14:textId="77777777" w:rsidR="008E39ED" w:rsidRPr="008E39ED" w:rsidRDefault="008E39ED" w:rsidP="008E39E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39ED">
        <w:rPr>
          <w:rFonts w:ascii="Times New Roman" w:eastAsia="Times New Roman" w:hAnsi="Times New Roman" w:cs="Times New Roman"/>
          <w:b/>
          <w:bCs/>
          <w:kern w:val="36"/>
          <w:sz w:val="48"/>
          <w:szCs w:val="48"/>
        </w:rPr>
        <w:lastRenderedPageBreak/>
        <w:t>17. Praxis Recommendation</w:t>
      </w:r>
    </w:p>
    <w:p w14:paraId="6087216D" w14:textId="77777777" w:rsidR="008E39ED" w:rsidRPr="008E39ED" w:rsidRDefault="008E39ED" w:rsidP="008E39ED">
      <w:p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Theta should serve as the </w:t>
      </w:r>
      <w:r w:rsidRPr="008E39ED">
        <w:rPr>
          <w:rFonts w:ascii="Times New Roman" w:eastAsia="Times New Roman" w:hAnsi="Times New Roman" w:cs="Times New Roman"/>
          <w:b/>
          <w:bCs/>
          <w:sz w:val="24"/>
          <w:szCs w:val="24"/>
        </w:rPr>
        <w:t>time decay indicator</w:t>
      </w:r>
      <w:r w:rsidRPr="008E39ED">
        <w:rPr>
          <w:rFonts w:ascii="Times New Roman" w:eastAsia="Times New Roman" w:hAnsi="Times New Roman" w:cs="Times New Roman"/>
          <w:sz w:val="24"/>
          <w:szCs w:val="24"/>
        </w:rPr>
        <w:t xml:space="preserve"> within the Greeks category.</w:t>
      </w:r>
    </w:p>
    <w:p w14:paraId="3B1A3A26"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Greeks Hierarchy</w:t>
      </w:r>
    </w:p>
    <w:p w14:paraId="78359EB1" w14:textId="77777777" w:rsidR="008E39ED" w:rsidRPr="008E39ED" w:rsidRDefault="008E39ED" w:rsidP="008E39ED">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8E39ED">
        <w:rPr>
          <w:rFonts w:ascii="Segoe UI Emoji" w:eastAsia="Times New Roman" w:hAnsi="Segoe UI Emoji" w:cs="Segoe UI Emoji"/>
          <w:sz w:val="24"/>
          <w:szCs w:val="24"/>
        </w:rPr>
        <w:t>⭐⭐⭐⭐⭐</w:t>
      </w:r>
      <w:r w:rsidRPr="008E39ED">
        <w:rPr>
          <w:rFonts w:ascii="Times New Roman" w:eastAsia="Times New Roman" w:hAnsi="Times New Roman" w:cs="Times New Roman"/>
          <w:sz w:val="24"/>
          <w:szCs w:val="24"/>
        </w:rPr>
        <w:t xml:space="preserve"> Delta </w:t>
      </w:r>
    </w:p>
    <w:p w14:paraId="3C15D2CE" w14:textId="77777777" w:rsidR="008E39ED" w:rsidRPr="008E39ED" w:rsidRDefault="008E39ED" w:rsidP="008E39ED">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8E39ED">
        <w:rPr>
          <w:rFonts w:ascii="Segoe UI Emoji" w:eastAsia="Times New Roman" w:hAnsi="Segoe UI Emoji" w:cs="Segoe UI Emoji"/>
          <w:sz w:val="24"/>
          <w:szCs w:val="24"/>
        </w:rPr>
        <w:t>⭐⭐⭐⭐</w:t>
      </w:r>
      <w:r w:rsidRPr="008E39ED">
        <w:rPr>
          <w:rFonts w:ascii="Segoe UI Symbol" w:eastAsia="Times New Roman" w:hAnsi="Segoe UI Symbol" w:cs="Segoe UI Symbol"/>
          <w:sz w:val="24"/>
          <w:szCs w:val="24"/>
        </w:rPr>
        <w:t>☆</w:t>
      </w:r>
      <w:r w:rsidRPr="008E39ED">
        <w:rPr>
          <w:rFonts w:ascii="Times New Roman" w:eastAsia="Times New Roman" w:hAnsi="Times New Roman" w:cs="Times New Roman"/>
          <w:sz w:val="24"/>
          <w:szCs w:val="24"/>
        </w:rPr>
        <w:t xml:space="preserve"> Gamma </w:t>
      </w:r>
    </w:p>
    <w:p w14:paraId="2C44EEE5" w14:textId="77777777" w:rsidR="008E39ED" w:rsidRPr="008E39ED" w:rsidRDefault="008E39ED" w:rsidP="008E39ED">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8E39ED">
        <w:rPr>
          <w:rFonts w:ascii="Segoe UI Emoji" w:eastAsia="Times New Roman" w:hAnsi="Segoe UI Emoji" w:cs="Segoe UI Emoji"/>
          <w:sz w:val="24"/>
          <w:szCs w:val="24"/>
        </w:rPr>
        <w:t>⭐⭐⭐⭐</w:t>
      </w:r>
      <w:r w:rsidRPr="008E39ED">
        <w:rPr>
          <w:rFonts w:ascii="Segoe UI Symbol" w:eastAsia="Times New Roman" w:hAnsi="Segoe UI Symbol" w:cs="Segoe UI Symbol"/>
          <w:sz w:val="24"/>
          <w:szCs w:val="24"/>
        </w:rPr>
        <w:t>☆</w:t>
      </w:r>
      <w:r w:rsidRPr="008E39ED">
        <w:rPr>
          <w:rFonts w:ascii="Times New Roman" w:eastAsia="Times New Roman" w:hAnsi="Times New Roman" w:cs="Times New Roman"/>
          <w:sz w:val="24"/>
          <w:szCs w:val="24"/>
        </w:rPr>
        <w:t xml:space="preserve"> Theta </w:t>
      </w:r>
    </w:p>
    <w:p w14:paraId="6B8D9AA9" w14:textId="77777777" w:rsidR="008E39ED" w:rsidRPr="008E39ED" w:rsidRDefault="008E39ED" w:rsidP="008E39ED">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8E39ED">
        <w:rPr>
          <w:rFonts w:ascii="Segoe UI Emoji" w:eastAsia="Times New Roman" w:hAnsi="Segoe UI Emoji" w:cs="Segoe UI Emoji"/>
          <w:sz w:val="24"/>
          <w:szCs w:val="24"/>
        </w:rPr>
        <w:t>⭐⭐⭐⭐</w:t>
      </w:r>
      <w:r w:rsidRPr="008E39ED">
        <w:rPr>
          <w:rFonts w:ascii="Segoe UI Symbol" w:eastAsia="Times New Roman" w:hAnsi="Segoe UI Symbol" w:cs="Segoe UI Symbol"/>
          <w:sz w:val="24"/>
          <w:szCs w:val="24"/>
        </w:rPr>
        <w:t>☆</w:t>
      </w:r>
      <w:r w:rsidRPr="008E39ED">
        <w:rPr>
          <w:rFonts w:ascii="Times New Roman" w:eastAsia="Times New Roman" w:hAnsi="Times New Roman" w:cs="Times New Roman"/>
          <w:sz w:val="24"/>
          <w:szCs w:val="24"/>
        </w:rPr>
        <w:t xml:space="preserve"> Vega </w:t>
      </w:r>
    </w:p>
    <w:p w14:paraId="32732C92" w14:textId="77777777" w:rsidR="008E39ED" w:rsidRPr="008E39ED" w:rsidRDefault="008E39ED" w:rsidP="008E39ED">
      <w:pPr>
        <w:spacing w:before="100" w:beforeAutospacing="1" w:after="100" w:afterAutospacing="1" w:line="240" w:lineRule="auto"/>
        <w:outlineLvl w:val="2"/>
        <w:rPr>
          <w:rFonts w:ascii="Times New Roman" w:eastAsia="Times New Roman" w:hAnsi="Times New Roman" w:cs="Times New Roman"/>
          <w:b/>
          <w:bCs/>
          <w:sz w:val="27"/>
          <w:szCs w:val="27"/>
        </w:rPr>
      </w:pPr>
      <w:r w:rsidRPr="008E39ED">
        <w:rPr>
          <w:rFonts w:ascii="Times New Roman" w:eastAsia="Times New Roman" w:hAnsi="Times New Roman" w:cs="Times New Roman"/>
          <w:b/>
          <w:bCs/>
          <w:sz w:val="27"/>
          <w:szCs w:val="27"/>
        </w:rPr>
        <w:t>Engine Rules</w:t>
      </w:r>
    </w:p>
    <w:p w14:paraId="0781BB87" w14:textId="77777777" w:rsidR="008E39ED" w:rsidRPr="008E39ED" w:rsidRDefault="008E39ED" w:rsidP="008E39ED">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Low Theta + Stable IV → Increase Options Score. </w:t>
      </w:r>
    </w:p>
    <w:p w14:paraId="1703DF65" w14:textId="77777777" w:rsidR="008E39ED" w:rsidRPr="008E39ED" w:rsidRDefault="008E39ED" w:rsidP="008E39ED">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High Theta during the final expiry week → Reduce confidence for long option positions. </w:t>
      </w:r>
    </w:p>
    <w:p w14:paraId="0A9DE5C2" w14:textId="77777777" w:rsidR="008E39ED" w:rsidRPr="008E39ED" w:rsidRDefault="008E39ED" w:rsidP="008E39ED">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 xml:space="preserve">High Theta + High Gamma → Trigger an Expiry Risk warning. </w:t>
      </w:r>
    </w:p>
    <w:p w14:paraId="66840290" w14:textId="2EC3CABE" w:rsidR="008E39ED" w:rsidRDefault="008E39ED" w:rsidP="008E39ED">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8E39ED">
        <w:rPr>
          <w:rFonts w:ascii="Times New Roman" w:eastAsia="Times New Roman" w:hAnsi="Times New Roman" w:cs="Times New Roman"/>
          <w:sz w:val="24"/>
          <w:szCs w:val="24"/>
        </w:rPr>
        <w:t>Always evaluate Theta together with Days to Expiry and IV before generating high-confidence options signals.</w:t>
      </w:r>
    </w:p>
    <w:p w14:paraId="2845A19C" w14:textId="12559532"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7849697D" w14:textId="3360E7CF"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27A9AC5E" w14:textId="33466685"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2ED7C406" w14:textId="2687ED80"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47AF20BD" w14:textId="2487D950"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0AA8A610" w14:textId="02F758AE"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6611CCC5" w14:textId="53E99F4C"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44910F82" w14:textId="0C0CD375"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6318F230" w14:textId="4F100E9A"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360D0AC1" w14:textId="2D625BAA"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31636286" w14:textId="4CC77962"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1B88821D" w14:textId="77777777" w:rsidR="00A5115D" w:rsidRPr="008E39E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415C78F4"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C80522">
        <w:rPr>
          <w:rFonts w:ascii="Times New Roman" w:eastAsia="Times New Roman" w:hAnsi="Times New Roman" w:cs="Times New Roman"/>
          <w:b/>
          <w:bCs/>
          <w:color w:val="FF0000"/>
          <w:kern w:val="36"/>
          <w:sz w:val="48"/>
          <w:szCs w:val="48"/>
        </w:rPr>
        <w:lastRenderedPageBreak/>
        <w:t>12. Vega</w:t>
      </w:r>
    </w:p>
    <w:p w14:paraId="13990062"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Module:</w:t>
      </w:r>
      <w:r w:rsidRPr="00C80522">
        <w:rPr>
          <w:rFonts w:ascii="Times New Roman" w:eastAsia="Times New Roman" w:hAnsi="Times New Roman" w:cs="Times New Roman"/>
          <w:sz w:val="24"/>
          <w:szCs w:val="24"/>
        </w:rPr>
        <w:t xml:space="preserve"> Options</w:t>
      </w:r>
      <w:r w:rsidRPr="00C80522">
        <w:rPr>
          <w:rFonts w:ascii="Times New Roman" w:eastAsia="Times New Roman" w:hAnsi="Times New Roman" w:cs="Times New Roman"/>
          <w:sz w:val="24"/>
          <w:szCs w:val="24"/>
        </w:rPr>
        <w:br/>
      </w:r>
      <w:r w:rsidRPr="00C80522">
        <w:rPr>
          <w:rFonts w:ascii="Times New Roman" w:eastAsia="Times New Roman" w:hAnsi="Times New Roman" w:cs="Times New Roman"/>
          <w:b/>
          <w:bCs/>
          <w:sz w:val="24"/>
          <w:szCs w:val="24"/>
        </w:rPr>
        <w:t>Category:</w:t>
      </w:r>
      <w:r w:rsidRPr="00C80522">
        <w:rPr>
          <w:rFonts w:ascii="Times New Roman" w:eastAsia="Times New Roman" w:hAnsi="Times New Roman" w:cs="Times New Roman"/>
          <w:sz w:val="24"/>
          <w:szCs w:val="24"/>
        </w:rPr>
        <w:t xml:space="preserve"> Greeks</w:t>
      </w:r>
      <w:r w:rsidRPr="00C80522">
        <w:rPr>
          <w:rFonts w:ascii="Times New Roman" w:eastAsia="Times New Roman" w:hAnsi="Times New Roman" w:cs="Times New Roman"/>
          <w:sz w:val="24"/>
          <w:szCs w:val="24"/>
        </w:rPr>
        <w:br/>
      </w:r>
      <w:r w:rsidRPr="00C80522">
        <w:rPr>
          <w:rFonts w:ascii="Times New Roman" w:eastAsia="Times New Roman" w:hAnsi="Times New Roman" w:cs="Times New Roman"/>
          <w:b/>
          <w:bCs/>
          <w:sz w:val="24"/>
          <w:szCs w:val="24"/>
        </w:rPr>
        <w:t>Status:</w:t>
      </w:r>
      <w:r w:rsidRPr="00C80522">
        <w:rPr>
          <w:rFonts w:ascii="Times New Roman" w:eastAsia="Times New Roman" w:hAnsi="Times New Roman" w:cs="Times New Roman"/>
          <w:sz w:val="24"/>
          <w:szCs w:val="24"/>
        </w:rPr>
        <w:t xml:space="preserve"> Production Ready</w:t>
      </w:r>
    </w:p>
    <w:p w14:paraId="6FB07DF9" w14:textId="77777777" w:rsidR="00C80522" w:rsidRPr="00C80522" w:rsidRDefault="00C80522" w:rsidP="00C80522">
      <w:pPr>
        <w:spacing w:before="100" w:beforeAutospacing="1" w:after="100" w:afterAutospacing="1" w:line="240" w:lineRule="auto"/>
        <w:outlineLvl w:val="1"/>
        <w:rPr>
          <w:rFonts w:ascii="Times New Roman" w:eastAsia="Times New Roman" w:hAnsi="Times New Roman" w:cs="Times New Roman"/>
          <w:b/>
          <w:bCs/>
          <w:sz w:val="36"/>
          <w:szCs w:val="36"/>
        </w:rPr>
      </w:pPr>
      <w:r w:rsidRPr="00C80522">
        <w:rPr>
          <w:rFonts w:ascii="Times New Roman" w:eastAsia="Times New Roman" w:hAnsi="Times New Roman" w:cs="Times New Roman"/>
          <w:b/>
          <w:bCs/>
          <w:sz w:val="36"/>
          <w:szCs w:val="36"/>
        </w:rPr>
        <w:t>1. Overview</w:t>
      </w:r>
    </w:p>
    <w:p w14:paraId="60DDB982"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Name:</w:t>
      </w:r>
      <w:r w:rsidRPr="00C80522">
        <w:rPr>
          <w:rFonts w:ascii="Times New Roman" w:eastAsia="Times New Roman" w:hAnsi="Times New Roman" w:cs="Times New Roman"/>
          <w:sz w:val="24"/>
          <w:szCs w:val="24"/>
        </w:rPr>
        <w:t xml:space="preserve"> Vega</w:t>
      </w:r>
    </w:p>
    <w:p w14:paraId="35229A67"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Short Name:</w:t>
      </w:r>
      <w:r w:rsidRPr="00C80522">
        <w:rPr>
          <w:rFonts w:ascii="Times New Roman" w:eastAsia="Times New Roman" w:hAnsi="Times New Roman" w:cs="Times New Roman"/>
          <w:sz w:val="24"/>
          <w:szCs w:val="24"/>
        </w:rPr>
        <w:t xml:space="preserve"> Vega</w:t>
      </w:r>
    </w:p>
    <w:p w14:paraId="0B8A23A8"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Module:</w:t>
      </w:r>
      <w:r w:rsidRPr="00C80522">
        <w:rPr>
          <w:rFonts w:ascii="Times New Roman" w:eastAsia="Times New Roman" w:hAnsi="Times New Roman" w:cs="Times New Roman"/>
          <w:sz w:val="24"/>
          <w:szCs w:val="24"/>
        </w:rPr>
        <w:t xml:space="preserve"> Options</w:t>
      </w:r>
    </w:p>
    <w:p w14:paraId="4D86AD6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Category:</w:t>
      </w:r>
      <w:r w:rsidRPr="00C80522">
        <w:rPr>
          <w:rFonts w:ascii="Times New Roman" w:eastAsia="Times New Roman" w:hAnsi="Times New Roman" w:cs="Times New Roman"/>
          <w:sz w:val="24"/>
          <w:szCs w:val="24"/>
        </w:rPr>
        <w:t xml:space="preserve"> Greeks</w:t>
      </w:r>
    </w:p>
    <w:p w14:paraId="42B6822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Purpose:</w:t>
      </w:r>
    </w:p>
    <w:p w14:paraId="6EAB4404"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Measures the sensitivity of an option's premium to changes in Implied Volatility (IV). It indicates how much an option's price is expected to change for a 1% change in implied volatility.</w:t>
      </w:r>
    </w:p>
    <w:p w14:paraId="3B5D3C59"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Based On:</w:t>
      </w:r>
    </w:p>
    <w:p w14:paraId="02E0F595"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Implied Volatility and Option Premium</w:t>
      </w:r>
    </w:p>
    <w:p w14:paraId="0B3A010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Importance:</w:t>
      </w:r>
    </w:p>
    <w:p w14:paraId="4B46A10B"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Segoe UI Emoji" w:eastAsia="Times New Roman" w:hAnsi="Segoe UI Emoji" w:cs="Segoe UI Emoji"/>
          <w:sz w:val="24"/>
          <w:szCs w:val="24"/>
        </w:rPr>
        <w:t>⭐⭐⭐⭐</w:t>
      </w:r>
      <w:r w:rsidRPr="00C80522">
        <w:rPr>
          <w:rFonts w:ascii="Segoe UI Symbol" w:eastAsia="Times New Roman" w:hAnsi="Segoe UI Symbol" w:cs="Segoe UI Symbol"/>
          <w:sz w:val="24"/>
          <w:szCs w:val="24"/>
        </w:rPr>
        <w:t>☆</w:t>
      </w:r>
      <w:r w:rsidRPr="00C80522">
        <w:rPr>
          <w:rFonts w:ascii="Times New Roman" w:eastAsia="Times New Roman" w:hAnsi="Times New Roman" w:cs="Times New Roman"/>
          <w:sz w:val="24"/>
          <w:szCs w:val="24"/>
        </w:rPr>
        <w:t xml:space="preserve"> (Core Option Greek)</w:t>
      </w:r>
    </w:p>
    <w:p w14:paraId="6F9D0D9B"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Auto / Manual:</w:t>
      </w:r>
    </w:p>
    <w:p w14:paraId="771FF66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Auto</w:t>
      </w:r>
    </w:p>
    <w:p w14:paraId="203DD55F"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Update Frequency:</w:t>
      </w:r>
    </w:p>
    <w:p w14:paraId="7F2F5747"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Every Option Chain Refresh (Market Hours)</w:t>
      </w:r>
    </w:p>
    <w:p w14:paraId="563440B8"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Praxis Note:</w:t>
      </w:r>
    </w:p>
    <w:p w14:paraId="2DA3AB7C"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Vega is highest for At-the-Money (ATM) options with longer time to expiry. It becomes increasingly important during volatile market conditions and major market events.</w:t>
      </w:r>
    </w:p>
    <w:p w14:paraId="7AF68950"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1A4A8B84">
          <v:rect id="_x0000_i1377" style="width:0;height:1.5pt" o:hralign="center" o:hrstd="t" o:hr="t" fillcolor="#a0a0a0" stroked="f"/>
        </w:pict>
      </w:r>
    </w:p>
    <w:p w14:paraId="5EFEB706"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lastRenderedPageBreak/>
        <w:t>2. Data Requirements</w:t>
      </w:r>
    </w:p>
    <w:p w14:paraId="6CC04FD9"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Required Data</w:t>
      </w:r>
    </w:p>
    <w:p w14:paraId="28C41C8A" w14:textId="77777777" w:rsidR="00C80522" w:rsidRPr="00C80522" w:rsidRDefault="00C80522" w:rsidP="00C80522">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Current Implied Volatility </w:t>
      </w:r>
    </w:p>
    <w:p w14:paraId="06879268" w14:textId="77777777" w:rsidR="00C80522" w:rsidRPr="00C80522" w:rsidRDefault="00C80522" w:rsidP="00C80522">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Option Premium </w:t>
      </w:r>
    </w:p>
    <w:p w14:paraId="1A086312" w14:textId="77777777" w:rsidR="00C80522" w:rsidRPr="00C80522" w:rsidRDefault="00C80522" w:rsidP="00C80522">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Underlying Spot Price </w:t>
      </w:r>
    </w:p>
    <w:p w14:paraId="4ECD615C" w14:textId="77777777" w:rsidR="00C80522" w:rsidRPr="00C80522" w:rsidRDefault="00C80522" w:rsidP="00C80522">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Strike Price </w:t>
      </w:r>
    </w:p>
    <w:p w14:paraId="381CECA0" w14:textId="77777777" w:rsidR="00C80522" w:rsidRPr="00C80522" w:rsidRDefault="00C80522" w:rsidP="00C80522">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Days to Expiry </w:t>
      </w:r>
    </w:p>
    <w:p w14:paraId="48AE86AC"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Minimum Historical Data</w:t>
      </w:r>
    </w:p>
    <w:p w14:paraId="6A71587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Current Option Chain</w:t>
      </w:r>
    </w:p>
    <w:p w14:paraId="195AA65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Recommended</w:t>
      </w:r>
    </w:p>
    <w:p w14:paraId="45AD2A48"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30 Trading Days</w:t>
      </w:r>
    </w:p>
    <w:p w14:paraId="1F3BE699"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Primary Source</w:t>
      </w:r>
    </w:p>
    <w:p w14:paraId="580A3846" w14:textId="77777777" w:rsidR="00C80522" w:rsidRPr="00C80522" w:rsidRDefault="00C80522" w:rsidP="00C80522">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NSE Option Chain </w:t>
      </w:r>
    </w:p>
    <w:p w14:paraId="1B1DB437" w14:textId="77777777" w:rsidR="00C80522" w:rsidRPr="00C80522" w:rsidRDefault="00C80522" w:rsidP="00C80522">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Upstox API </w:t>
      </w:r>
    </w:p>
    <w:p w14:paraId="5D977334"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38D70BAA">
          <v:rect id="_x0000_i1378" style="width:0;height:1.5pt" o:hralign="center" o:hrstd="t" o:hr="t" fillcolor="#a0a0a0" stroked="f"/>
        </w:pict>
      </w:r>
    </w:p>
    <w:p w14:paraId="162B67D6"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3. Industry Standard Calculation</w:t>
      </w:r>
    </w:p>
    <w:p w14:paraId="1A3B3D55"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Method</w:t>
      </w:r>
    </w:p>
    <w:p w14:paraId="6DACAF62"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Calculate Vega using the Black-Scholes option pricing model.</w:t>
      </w:r>
    </w:p>
    <w:p w14:paraId="14D123B6"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Interpretation</w:t>
      </w:r>
    </w:p>
    <w:p w14:paraId="3653C02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Vega measures the expected change in option premium for every </w:t>
      </w:r>
      <w:r w:rsidRPr="00C80522">
        <w:rPr>
          <w:rFonts w:ascii="Times New Roman" w:eastAsia="Times New Roman" w:hAnsi="Times New Roman" w:cs="Times New Roman"/>
          <w:b/>
          <w:bCs/>
          <w:sz w:val="24"/>
          <w:szCs w:val="24"/>
        </w:rPr>
        <w:t>1% change in Implied Volatility</w:t>
      </w:r>
      <w:r w:rsidRPr="00C80522">
        <w:rPr>
          <w:rFonts w:ascii="Times New Roman" w:eastAsia="Times New Roman" w:hAnsi="Times New Roman" w:cs="Times New Roman"/>
          <w:sz w:val="24"/>
          <w:szCs w:val="24"/>
        </w:rPr>
        <w:t>.</w:t>
      </w:r>
    </w:p>
    <w:p w14:paraId="46006DFE"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Implementation Steps</w:t>
      </w:r>
    </w:p>
    <w:p w14:paraId="1988757A" w14:textId="77777777" w:rsidR="00C80522" w:rsidRPr="00C80522" w:rsidRDefault="00C80522" w:rsidP="00C80522">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Retrieve option chain. </w:t>
      </w:r>
    </w:p>
    <w:p w14:paraId="230F98BF" w14:textId="77777777" w:rsidR="00C80522" w:rsidRPr="00C80522" w:rsidRDefault="00C80522" w:rsidP="00C80522">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Calculate Vega. </w:t>
      </w:r>
    </w:p>
    <w:p w14:paraId="28639F8B" w14:textId="77777777" w:rsidR="00C80522" w:rsidRPr="00C80522" w:rsidRDefault="00C80522" w:rsidP="00C80522">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Measure IV sensitivity. </w:t>
      </w:r>
    </w:p>
    <w:p w14:paraId="10EC6E44" w14:textId="77777777" w:rsidR="00C80522" w:rsidRPr="00C80522" w:rsidRDefault="00C80522" w:rsidP="00C80522">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Generate the Options Score. </w:t>
      </w:r>
    </w:p>
    <w:p w14:paraId="594EE737"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lastRenderedPageBreak/>
        <w:t>Notes</w:t>
      </w:r>
    </w:p>
    <w:p w14:paraId="430911E1" w14:textId="77777777" w:rsidR="00C80522" w:rsidRPr="00C80522" w:rsidRDefault="00C80522" w:rsidP="00C80522">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Use exchange-provided Greeks when available. </w:t>
      </w:r>
    </w:p>
    <w:p w14:paraId="4DFFC9F7" w14:textId="77777777" w:rsidR="00C80522" w:rsidRPr="00C80522" w:rsidRDefault="00C80522" w:rsidP="00C80522">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Vega decreases as expiry approaches. </w:t>
      </w:r>
    </w:p>
    <w:p w14:paraId="68F3F1C7" w14:textId="77777777" w:rsidR="00C80522" w:rsidRPr="00C80522" w:rsidRDefault="00C80522" w:rsidP="00C80522">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Highest for ATM options. </w:t>
      </w:r>
    </w:p>
    <w:p w14:paraId="718F5274"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2CE741E4">
          <v:rect id="_x0000_i1379" style="width:0;height:1.5pt" o:hralign="center" o:hrstd="t" o:hr="t" fillcolor="#a0a0a0" stroked="f"/>
        </w:pict>
      </w:r>
    </w:p>
    <w:p w14:paraId="225B3350"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4. Card Fields</w:t>
      </w:r>
    </w:p>
    <w:p w14:paraId="1FCC519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Current Value</w:t>
      </w:r>
    </w:p>
    <w:p w14:paraId="7C63CDCC"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Vega</w:t>
      </w:r>
    </w:p>
    <w:p w14:paraId="1BDAFC2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Current IV</w:t>
      </w:r>
    </w:p>
    <w:p w14:paraId="3B0927EF"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Current Implied Volatility</w:t>
      </w:r>
    </w:p>
    <w:p w14:paraId="694DD0A4"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IV Sensitivity</w:t>
      </w:r>
    </w:p>
    <w:p w14:paraId="694A1518"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Expected premium change per 1% IV movement</w:t>
      </w:r>
    </w:p>
    <w:p w14:paraId="5A181AA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Score</w:t>
      </w:r>
    </w:p>
    <w:p w14:paraId="69C43A55"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0–100</w:t>
      </w:r>
    </w:p>
    <w:p w14:paraId="27FEC6C4"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Bias</w:t>
      </w:r>
    </w:p>
    <w:p w14:paraId="741C18A7" w14:textId="77777777" w:rsidR="00C80522" w:rsidRPr="00C80522" w:rsidRDefault="00C80522" w:rsidP="00C80522">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Favorable </w:t>
      </w:r>
    </w:p>
    <w:p w14:paraId="74EABB7F" w14:textId="77777777" w:rsidR="00C80522" w:rsidRPr="00C80522" w:rsidRDefault="00C80522" w:rsidP="00C80522">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Neutral </w:t>
      </w:r>
    </w:p>
    <w:p w14:paraId="6C27E8A7" w14:textId="77777777" w:rsidR="00C80522" w:rsidRPr="00C80522" w:rsidRDefault="00C80522" w:rsidP="00C80522">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High Volatility Risk </w:t>
      </w:r>
    </w:p>
    <w:p w14:paraId="52152FB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Confidence</w:t>
      </w:r>
    </w:p>
    <w:p w14:paraId="11D3C89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Greeks Confidence</w:t>
      </w:r>
    </w:p>
    <w:p w14:paraId="04C1EA5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Impact Weight</w:t>
      </w:r>
    </w:p>
    <w:p w14:paraId="1E47137F"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Medium</w:t>
      </w:r>
    </w:p>
    <w:p w14:paraId="27C3C275"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3ED78618">
          <v:rect id="_x0000_i1380" style="width:0;height:1.5pt" o:hralign="center" o:hrstd="t" o:hr="t" fillcolor="#a0a0a0" stroked="f"/>
        </w:pict>
      </w:r>
    </w:p>
    <w:p w14:paraId="1C07DBBF"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1"/>
        <w:gridCol w:w="634"/>
        <w:gridCol w:w="1535"/>
      </w:tblGrid>
      <w:tr w:rsidR="00C80522" w:rsidRPr="00C80522" w14:paraId="6E62BF75" w14:textId="77777777" w:rsidTr="00C80522">
        <w:trPr>
          <w:tblHeader/>
          <w:tblCellSpacing w:w="15" w:type="dxa"/>
        </w:trPr>
        <w:tc>
          <w:tcPr>
            <w:tcW w:w="0" w:type="auto"/>
            <w:vAlign w:val="center"/>
            <w:hideMark/>
          </w:tcPr>
          <w:p w14:paraId="7485EEAC" w14:textId="77777777" w:rsidR="00C80522" w:rsidRPr="00C80522" w:rsidRDefault="00C80522" w:rsidP="00C80522">
            <w:pPr>
              <w:spacing w:after="0" w:line="240" w:lineRule="auto"/>
              <w:jc w:val="center"/>
              <w:rPr>
                <w:rFonts w:ascii="Times New Roman" w:eastAsia="Times New Roman" w:hAnsi="Times New Roman" w:cs="Times New Roman"/>
                <w:b/>
                <w:bCs/>
                <w:sz w:val="24"/>
                <w:szCs w:val="24"/>
              </w:rPr>
            </w:pPr>
            <w:r w:rsidRPr="00C80522">
              <w:rPr>
                <w:rFonts w:ascii="Times New Roman" w:eastAsia="Times New Roman" w:hAnsi="Times New Roman" w:cs="Times New Roman"/>
                <w:b/>
                <w:bCs/>
                <w:sz w:val="24"/>
                <w:szCs w:val="24"/>
              </w:rPr>
              <w:lastRenderedPageBreak/>
              <w:t>Condition</w:t>
            </w:r>
          </w:p>
        </w:tc>
        <w:tc>
          <w:tcPr>
            <w:tcW w:w="0" w:type="auto"/>
            <w:vAlign w:val="center"/>
            <w:hideMark/>
          </w:tcPr>
          <w:p w14:paraId="512236D7" w14:textId="77777777" w:rsidR="00C80522" w:rsidRPr="00C80522" w:rsidRDefault="00C80522" w:rsidP="00C80522">
            <w:pPr>
              <w:spacing w:after="0" w:line="240" w:lineRule="auto"/>
              <w:jc w:val="center"/>
              <w:rPr>
                <w:rFonts w:ascii="Times New Roman" w:eastAsia="Times New Roman" w:hAnsi="Times New Roman" w:cs="Times New Roman"/>
                <w:b/>
                <w:bCs/>
                <w:sz w:val="24"/>
                <w:szCs w:val="24"/>
              </w:rPr>
            </w:pPr>
            <w:r w:rsidRPr="00C80522">
              <w:rPr>
                <w:rFonts w:ascii="Times New Roman" w:eastAsia="Times New Roman" w:hAnsi="Times New Roman" w:cs="Times New Roman"/>
                <w:b/>
                <w:bCs/>
                <w:sz w:val="24"/>
                <w:szCs w:val="24"/>
              </w:rPr>
              <w:t>Score</w:t>
            </w:r>
          </w:p>
        </w:tc>
        <w:tc>
          <w:tcPr>
            <w:tcW w:w="0" w:type="auto"/>
            <w:vAlign w:val="center"/>
            <w:hideMark/>
          </w:tcPr>
          <w:p w14:paraId="289EC7C6" w14:textId="77777777" w:rsidR="00C80522" w:rsidRPr="00C80522" w:rsidRDefault="00C80522" w:rsidP="00C80522">
            <w:pPr>
              <w:spacing w:after="0" w:line="240" w:lineRule="auto"/>
              <w:jc w:val="center"/>
              <w:rPr>
                <w:rFonts w:ascii="Times New Roman" w:eastAsia="Times New Roman" w:hAnsi="Times New Roman" w:cs="Times New Roman"/>
                <w:b/>
                <w:bCs/>
                <w:sz w:val="24"/>
                <w:szCs w:val="24"/>
              </w:rPr>
            </w:pPr>
            <w:r w:rsidRPr="00C80522">
              <w:rPr>
                <w:rFonts w:ascii="Times New Roman" w:eastAsia="Times New Roman" w:hAnsi="Times New Roman" w:cs="Times New Roman"/>
                <w:b/>
                <w:bCs/>
                <w:sz w:val="24"/>
                <w:szCs w:val="24"/>
              </w:rPr>
              <w:t>Bias</w:t>
            </w:r>
          </w:p>
        </w:tc>
      </w:tr>
      <w:tr w:rsidR="00C80522" w:rsidRPr="00C80522" w14:paraId="6744162E" w14:textId="77777777" w:rsidTr="00C80522">
        <w:trPr>
          <w:tblCellSpacing w:w="15" w:type="dxa"/>
        </w:trPr>
        <w:tc>
          <w:tcPr>
            <w:tcW w:w="0" w:type="auto"/>
            <w:vAlign w:val="center"/>
            <w:hideMark/>
          </w:tcPr>
          <w:p w14:paraId="5D57E51C"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Low Vega</w:t>
            </w:r>
          </w:p>
        </w:tc>
        <w:tc>
          <w:tcPr>
            <w:tcW w:w="0" w:type="auto"/>
            <w:vAlign w:val="center"/>
            <w:hideMark/>
          </w:tcPr>
          <w:p w14:paraId="0FFD5BE2"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90</w:t>
            </w:r>
          </w:p>
        </w:tc>
        <w:tc>
          <w:tcPr>
            <w:tcW w:w="0" w:type="auto"/>
            <w:vAlign w:val="center"/>
            <w:hideMark/>
          </w:tcPr>
          <w:p w14:paraId="05BAB87C"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Stable</w:t>
            </w:r>
          </w:p>
        </w:tc>
      </w:tr>
      <w:tr w:rsidR="00C80522" w:rsidRPr="00C80522" w14:paraId="2914AD2D" w14:textId="77777777" w:rsidTr="00C80522">
        <w:trPr>
          <w:tblCellSpacing w:w="15" w:type="dxa"/>
        </w:trPr>
        <w:tc>
          <w:tcPr>
            <w:tcW w:w="0" w:type="auto"/>
            <w:vAlign w:val="center"/>
            <w:hideMark/>
          </w:tcPr>
          <w:p w14:paraId="3A13D833"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Moderate Vega</w:t>
            </w:r>
          </w:p>
        </w:tc>
        <w:tc>
          <w:tcPr>
            <w:tcW w:w="0" w:type="auto"/>
            <w:vAlign w:val="center"/>
            <w:hideMark/>
          </w:tcPr>
          <w:p w14:paraId="2659EF2D"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70</w:t>
            </w:r>
          </w:p>
        </w:tc>
        <w:tc>
          <w:tcPr>
            <w:tcW w:w="0" w:type="auto"/>
            <w:vAlign w:val="center"/>
            <w:hideMark/>
          </w:tcPr>
          <w:p w14:paraId="6339523C"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Neutral</w:t>
            </w:r>
          </w:p>
        </w:tc>
      </w:tr>
      <w:tr w:rsidR="00C80522" w:rsidRPr="00C80522" w14:paraId="41D668BF" w14:textId="77777777" w:rsidTr="00C80522">
        <w:trPr>
          <w:tblCellSpacing w:w="15" w:type="dxa"/>
        </w:trPr>
        <w:tc>
          <w:tcPr>
            <w:tcW w:w="0" w:type="auto"/>
            <w:vAlign w:val="center"/>
            <w:hideMark/>
          </w:tcPr>
          <w:p w14:paraId="194467F9"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High Vega</w:t>
            </w:r>
          </w:p>
        </w:tc>
        <w:tc>
          <w:tcPr>
            <w:tcW w:w="0" w:type="auto"/>
            <w:vAlign w:val="center"/>
            <w:hideMark/>
          </w:tcPr>
          <w:p w14:paraId="70558004"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45</w:t>
            </w:r>
          </w:p>
        </w:tc>
        <w:tc>
          <w:tcPr>
            <w:tcW w:w="0" w:type="auto"/>
            <w:vAlign w:val="center"/>
            <w:hideMark/>
          </w:tcPr>
          <w:p w14:paraId="1B1CFB03"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High Volatility</w:t>
            </w:r>
          </w:p>
        </w:tc>
      </w:tr>
      <w:tr w:rsidR="00C80522" w:rsidRPr="00C80522" w14:paraId="5034DF8A" w14:textId="77777777" w:rsidTr="00C80522">
        <w:trPr>
          <w:tblCellSpacing w:w="15" w:type="dxa"/>
        </w:trPr>
        <w:tc>
          <w:tcPr>
            <w:tcW w:w="0" w:type="auto"/>
            <w:vAlign w:val="center"/>
            <w:hideMark/>
          </w:tcPr>
          <w:p w14:paraId="597D4C3D"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Extremely High Vega</w:t>
            </w:r>
          </w:p>
        </w:tc>
        <w:tc>
          <w:tcPr>
            <w:tcW w:w="0" w:type="auto"/>
            <w:vAlign w:val="center"/>
            <w:hideMark/>
          </w:tcPr>
          <w:p w14:paraId="36E2ACBB"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15</w:t>
            </w:r>
          </w:p>
        </w:tc>
        <w:tc>
          <w:tcPr>
            <w:tcW w:w="0" w:type="auto"/>
            <w:vAlign w:val="center"/>
            <w:hideMark/>
          </w:tcPr>
          <w:p w14:paraId="31096357"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High Risk</w:t>
            </w:r>
          </w:p>
        </w:tc>
      </w:tr>
    </w:tbl>
    <w:p w14:paraId="1770904B"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Notes</w:t>
      </w:r>
    </w:p>
    <w:p w14:paraId="545C5AF2" w14:textId="77777777" w:rsidR="00C80522" w:rsidRPr="00C80522" w:rsidRDefault="00C80522" w:rsidP="00C80522">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High Vega indicates greater sensitivity to IV changes. </w:t>
      </w:r>
    </w:p>
    <w:p w14:paraId="7619DD9D" w14:textId="77777777" w:rsidR="00C80522" w:rsidRPr="00C80522" w:rsidRDefault="00C80522" w:rsidP="00C80522">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Low Vega provides more stable option pricing. </w:t>
      </w:r>
    </w:p>
    <w:p w14:paraId="5957B8DC" w14:textId="77777777" w:rsidR="00C80522" w:rsidRPr="00C80522" w:rsidRDefault="00C80522" w:rsidP="00C80522">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Always confirm with ATM IV and IV Rank. </w:t>
      </w:r>
    </w:p>
    <w:p w14:paraId="155BAE42"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6D401E62">
          <v:rect id="_x0000_i1381" style="width:0;height:1.5pt" o:hralign="center" o:hrstd="t" o:hr="t" fillcolor="#a0a0a0" stroked="f"/>
        </w:pict>
      </w:r>
    </w:p>
    <w:p w14:paraId="7938E7C0"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6. Bias Rules</w:t>
      </w:r>
    </w:p>
    <w:p w14:paraId="171F9F6C"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Low Vega</w:t>
      </w:r>
    </w:p>
    <w:p w14:paraId="3333B0A7"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Bullish</w:t>
      </w:r>
    </w:p>
    <w:p w14:paraId="610CB5E8"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Moderate Vega</w:t>
      </w:r>
    </w:p>
    <w:p w14:paraId="3FAB6ACF"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Neutral</w:t>
      </w:r>
    </w:p>
    <w:p w14:paraId="2E2D65C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High Vega</w:t>
      </w:r>
    </w:p>
    <w:p w14:paraId="1EA5A629"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Cautious</w:t>
      </w:r>
    </w:p>
    <w:p w14:paraId="53E42ED6"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Extremely High Vega</w:t>
      </w:r>
    </w:p>
    <w:p w14:paraId="73E5AD91"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High Risk</w:t>
      </w:r>
    </w:p>
    <w:p w14:paraId="4D408E1C"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4FDA835F">
          <v:rect id="_x0000_i1382" style="width:0;height:1.5pt" o:hralign="center" o:hrstd="t" o:hr="t" fillcolor="#a0a0a0" stroked="f"/>
        </w:pict>
      </w:r>
    </w:p>
    <w:p w14:paraId="40989A85"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7. Confidence Logic</w:t>
      </w:r>
    </w:p>
    <w:p w14:paraId="396CABB2"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Base Confidence</w:t>
      </w:r>
    </w:p>
    <w:p w14:paraId="19039B2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90%</w:t>
      </w:r>
    </w:p>
    <w:p w14:paraId="3A646962"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Increase Confidence</w:t>
      </w:r>
    </w:p>
    <w:p w14:paraId="392BA74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+5% High option liquidity</w:t>
      </w:r>
    </w:p>
    <w:p w14:paraId="5ABC032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lastRenderedPageBreak/>
        <w:t>+5% Stable IV</w:t>
      </w:r>
    </w:p>
    <w:p w14:paraId="79D13B17"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+5% Reliable exchange Greeks</w:t>
      </w:r>
    </w:p>
    <w:p w14:paraId="6AD4D857"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Decrease Confidence</w:t>
      </w:r>
    </w:p>
    <w:p w14:paraId="027C6C88"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-10% Low liquidity</w:t>
      </w:r>
    </w:p>
    <w:p w14:paraId="7A5C58AC"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-5% Wide bid-ask spread</w:t>
      </w:r>
    </w:p>
    <w:p w14:paraId="43C2B25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-5% Rapid IV fluctuations</w:t>
      </w:r>
    </w:p>
    <w:p w14:paraId="1F400407"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Minimum</w:t>
      </w:r>
    </w:p>
    <w:p w14:paraId="75E74D44"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65%</w:t>
      </w:r>
    </w:p>
    <w:p w14:paraId="458C29E8"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Maximum</w:t>
      </w:r>
    </w:p>
    <w:p w14:paraId="2D307B08"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99%</w:t>
      </w:r>
    </w:p>
    <w:p w14:paraId="37EC9BE7"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0CEEB166">
          <v:rect id="_x0000_i1383" style="width:0;height:1.5pt" o:hralign="center" o:hrstd="t" o:hr="t" fillcolor="#a0a0a0" stroked="f"/>
        </w:pict>
      </w:r>
    </w:p>
    <w:p w14:paraId="0B25B707"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8. Score Range Bar</w:t>
      </w:r>
    </w:p>
    <w:p w14:paraId="40EB2D4F"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Minimum</w:t>
      </w:r>
    </w:p>
    <w:p w14:paraId="1935F828"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0</w:t>
      </w:r>
    </w:p>
    <w:p w14:paraId="467DE2CF"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Maximum</w:t>
      </w:r>
    </w:p>
    <w:p w14:paraId="6672F597"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100</w:t>
      </w:r>
    </w:p>
    <w:p w14:paraId="63448C4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Pointer</w:t>
      </w:r>
    </w:p>
    <w:p w14:paraId="57C570C1"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Current Score</w:t>
      </w:r>
    </w:p>
    <w:p w14:paraId="4C837F78"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Average Marker</w:t>
      </w:r>
    </w:p>
    <w:p w14:paraId="6BBDF2E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30-Day Average Score</w:t>
      </w:r>
    </w:p>
    <w:p w14:paraId="711BD590"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Color Zones</w:t>
      </w:r>
    </w:p>
    <w:p w14:paraId="53DCF31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0–30 → High Risk</w:t>
      </w:r>
    </w:p>
    <w:p w14:paraId="5E679ED6"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30–60 → Elevated Vega</w:t>
      </w:r>
    </w:p>
    <w:p w14:paraId="484568E2"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lastRenderedPageBreak/>
        <w:t>60–80 → Stable</w:t>
      </w:r>
    </w:p>
    <w:p w14:paraId="29D58A95"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80–100 → Low Risk</w:t>
      </w:r>
    </w:p>
    <w:p w14:paraId="00323FDD"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3C186062">
          <v:rect id="_x0000_i1384" style="width:0;height:1.5pt" o:hralign="center" o:hrstd="t" o:hr="t" fillcolor="#a0a0a0" stroked="f"/>
        </w:pict>
      </w:r>
    </w:p>
    <w:p w14:paraId="22C8AA93"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9. Dual Trend Chart</w:t>
      </w:r>
    </w:p>
    <w:p w14:paraId="0744801B"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Chart Type</w:t>
      </w:r>
    </w:p>
    <w:p w14:paraId="69F33E3C"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Dual Line</w:t>
      </w:r>
    </w:p>
    <w:p w14:paraId="33A76701"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Line 1</w:t>
      </w:r>
    </w:p>
    <w:p w14:paraId="382757B9"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Vega</w:t>
      </w:r>
    </w:p>
    <w:p w14:paraId="585D1D3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Line 2</w:t>
      </w:r>
    </w:p>
    <w:p w14:paraId="07359122"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Praxis Score</w:t>
      </w:r>
    </w:p>
    <w:p w14:paraId="2D0D7EE6"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History</w:t>
      </w:r>
    </w:p>
    <w:p w14:paraId="79CA0435"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30 Trading Days</w:t>
      </w:r>
    </w:p>
    <w:p w14:paraId="56107078"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Update</w:t>
      </w:r>
    </w:p>
    <w:p w14:paraId="4FB7985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Every option chain refresh.</w:t>
      </w:r>
    </w:p>
    <w:p w14:paraId="515B2468"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0E3670A3">
          <v:rect id="_x0000_i1385" style="width:0;height:1.5pt" o:hralign="center" o:hrstd="t" o:hr="t" fillcolor="#a0a0a0" stroked="f"/>
        </w:pict>
      </w:r>
    </w:p>
    <w:p w14:paraId="30908079"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10. AI Insight Rules</w:t>
      </w:r>
    </w:p>
    <w:p w14:paraId="329D81D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Low Vega</w:t>
      </w:r>
    </w:p>
    <w:p w14:paraId="5F8BE84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Explain that the option premium is relatively stable against changes in implied volatility.</w:t>
      </w:r>
    </w:p>
    <w:p w14:paraId="155BDD31"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Moderate Vega</w:t>
      </w:r>
    </w:p>
    <w:p w14:paraId="0041670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Explain that option pricing has a normal sensitivity to volatility changes.</w:t>
      </w:r>
    </w:p>
    <w:p w14:paraId="68199922"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High Vega</w:t>
      </w:r>
    </w:p>
    <w:p w14:paraId="39148C4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Explain that small changes in implied volatility can significantly affect the option premium.</w:t>
      </w:r>
    </w:p>
    <w:p w14:paraId="6456BA1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lastRenderedPageBreak/>
        <w:t>Extremely High Vega</w:t>
      </w:r>
    </w:p>
    <w:p w14:paraId="6E2CE714"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Explain that the option is highly sensitive to volatility changes and carries increased pricing risk.</w:t>
      </w:r>
    </w:p>
    <w:p w14:paraId="4BA9E05A"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598BD94E">
          <v:rect id="_x0000_i1386" style="width:0;height:1.5pt" o:hralign="center" o:hrstd="t" o:hr="t" fillcolor="#a0a0a0" stroked="f"/>
        </w:pict>
      </w:r>
    </w:p>
    <w:p w14:paraId="4F10C0B9"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11. Why It Matters</w:t>
      </w:r>
    </w:p>
    <w:p w14:paraId="50BE65DA" w14:textId="77777777" w:rsidR="00C80522" w:rsidRPr="00C80522" w:rsidRDefault="00C80522" w:rsidP="00C80522">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Measures volatility sensitivity. </w:t>
      </w:r>
    </w:p>
    <w:p w14:paraId="33564492" w14:textId="77777777" w:rsidR="00C80522" w:rsidRPr="00C80522" w:rsidRDefault="00C80522" w:rsidP="00C80522">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Helps evaluate option pricing risk. </w:t>
      </w:r>
    </w:p>
    <w:p w14:paraId="0F916FDB" w14:textId="77777777" w:rsidR="00C80522" w:rsidRPr="00C80522" w:rsidRDefault="00C80522" w:rsidP="00C80522">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Supports volatility-based strategies. </w:t>
      </w:r>
    </w:p>
    <w:p w14:paraId="597CDDBA" w14:textId="77777777" w:rsidR="00C80522" w:rsidRPr="00C80522" w:rsidRDefault="00C80522" w:rsidP="00C80522">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Improves option selection. </w:t>
      </w:r>
    </w:p>
    <w:p w14:paraId="2653191D" w14:textId="77777777" w:rsidR="00C80522" w:rsidRPr="00C80522" w:rsidRDefault="00C80522" w:rsidP="00C80522">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Essential for volatility trading. </w:t>
      </w:r>
    </w:p>
    <w:p w14:paraId="5CF740A1"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651C7919">
          <v:rect id="_x0000_i1387" style="width:0;height:1.5pt" o:hralign="center" o:hrstd="t" o:hr="t" fillcolor="#a0a0a0" stroked="f"/>
        </w:pict>
      </w:r>
    </w:p>
    <w:p w14:paraId="14774B30"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12. Trading Impact</w:t>
      </w:r>
    </w:p>
    <w:p w14:paraId="3F8C3D17"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Intraday</w:t>
      </w:r>
    </w:p>
    <w:p w14:paraId="02106E3B"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Segoe UI Symbol" w:eastAsia="Times New Roman" w:hAnsi="Segoe UI Symbol" w:cs="Segoe UI Symbol"/>
          <w:sz w:val="24"/>
          <w:szCs w:val="24"/>
        </w:rPr>
        <w:t>★★★★☆</w:t>
      </w:r>
    </w:p>
    <w:p w14:paraId="4B617CD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Swing Trading</w:t>
      </w:r>
    </w:p>
    <w:p w14:paraId="7600034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Segoe UI Symbol" w:eastAsia="Times New Roman" w:hAnsi="Segoe UI Symbol" w:cs="Segoe UI Symbol"/>
          <w:sz w:val="24"/>
          <w:szCs w:val="24"/>
        </w:rPr>
        <w:t>★★★★★</w:t>
      </w:r>
    </w:p>
    <w:p w14:paraId="798B89B8"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Positional Trading</w:t>
      </w:r>
    </w:p>
    <w:p w14:paraId="792F55A5"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Segoe UI Symbol" w:eastAsia="Times New Roman" w:hAnsi="Segoe UI Symbol" w:cs="Segoe UI Symbol"/>
          <w:sz w:val="24"/>
          <w:szCs w:val="24"/>
        </w:rPr>
        <w:t>★★★★☆</w:t>
      </w:r>
    </w:p>
    <w:p w14:paraId="27F59A3F"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Options Trading</w:t>
      </w:r>
    </w:p>
    <w:p w14:paraId="142B2DB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Segoe UI Symbol" w:eastAsia="Times New Roman" w:hAnsi="Segoe UI Symbol" w:cs="Segoe UI Symbol"/>
          <w:sz w:val="24"/>
          <w:szCs w:val="24"/>
        </w:rPr>
        <w:t>★★★★★</w:t>
      </w:r>
    </w:p>
    <w:p w14:paraId="5786971B"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Best Use</w:t>
      </w:r>
    </w:p>
    <w:p w14:paraId="615FD2C7"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Evaluating volatility sensitivity.</w:t>
      </w:r>
    </w:p>
    <w:p w14:paraId="342612A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Avoid Using Alone</w:t>
      </w:r>
    </w:p>
    <w:p w14:paraId="33A776C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Yes</w:t>
      </w:r>
    </w:p>
    <w:p w14:paraId="3A837FEA"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105EA647">
          <v:rect id="_x0000_i1388" style="width:0;height:1.5pt" o:hralign="center" o:hrstd="t" o:hr="t" fillcolor="#a0a0a0" stroked="f"/>
        </w:pict>
      </w:r>
    </w:p>
    <w:p w14:paraId="61CEF784"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lastRenderedPageBreak/>
        <w:t>13. Supporting Indicators</w:t>
      </w:r>
    </w:p>
    <w:p w14:paraId="5BFA760B" w14:textId="77777777" w:rsidR="00C80522" w:rsidRPr="00C80522" w:rsidRDefault="00C80522" w:rsidP="00C80522">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ATM IV </w:t>
      </w:r>
    </w:p>
    <w:p w14:paraId="328F5DD6" w14:textId="77777777" w:rsidR="00C80522" w:rsidRPr="00C80522" w:rsidRDefault="00C80522" w:rsidP="00C80522">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IV Rank </w:t>
      </w:r>
    </w:p>
    <w:p w14:paraId="410FAC6A" w14:textId="77777777" w:rsidR="00C80522" w:rsidRPr="00C80522" w:rsidRDefault="00C80522" w:rsidP="00C80522">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IV Percentile </w:t>
      </w:r>
    </w:p>
    <w:p w14:paraId="115637E7" w14:textId="77777777" w:rsidR="00C80522" w:rsidRPr="00C80522" w:rsidRDefault="00C80522" w:rsidP="00C80522">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Delta </w:t>
      </w:r>
    </w:p>
    <w:p w14:paraId="33AB40C8" w14:textId="77777777" w:rsidR="00C80522" w:rsidRPr="00C80522" w:rsidRDefault="00C80522" w:rsidP="00C80522">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Gamma </w:t>
      </w:r>
    </w:p>
    <w:p w14:paraId="4BE10469" w14:textId="77777777" w:rsidR="00C80522" w:rsidRPr="00C80522" w:rsidRDefault="00C80522" w:rsidP="00C80522">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Theta </w:t>
      </w:r>
    </w:p>
    <w:p w14:paraId="1272FC20"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1A1D9E61">
          <v:rect id="_x0000_i1389" style="width:0;height:1.5pt" o:hralign="center" o:hrstd="t" o:hr="t" fillcolor="#a0a0a0" stroked="f"/>
        </w:pict>
      </w:r>
    </w:p>
    <w:p w14:paraId="603F1224"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14. Metadata</w:t>
      </w:r>
    </w:p>
    <w:p w14:paraId="6EA7E9F5"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Source</w:t>
      </w:r>
    </w:p>
    <w:p w14:paraId="3AC7580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NSE Option Chain / Upstox API</w:t>
      </w:r>
    </w:p>
    <w:p w14:paraId="0C88363F"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Calculation</w:t>
      </w:r>
    </w:p>
    <w:p w14:paraId="6095C97B"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Exchange Greeks / Backend</w:t>
      </w:r>
    </w:p>
    <w:p w14:paraId="6D5F4F2B"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Updated</w:t>
      </w:r>
    </w:p>
    <w:p w14:paraId="7C6D1C81"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Every Option Chain Refresh</w:t>
      </w:r>
    </w:p>
    <w:p w14:paraId="00EB72AF"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proofErr w:type="spellStart"/>
      <w:r w:rsidRPr="00C80522">
        <w:rPr>
          <w:rFonts w:ascii="Times New Roman" w:eastAsia="Times New Roman" w:hAnsi="Times New Roman" w:cs="Times New Roman"/>
          <w:b/>
          <w:bCs/>
          <w:sz w:val="24"/>
          <w:szCs w:val="24"/>
        </w:rPr>
        <w:t>Timezone</w:t>
      </w:r>
      <w:proofErr w:type="spellEnd"/>
    </w:p>
    <w:p w14:paraId="639B53C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Asia/Kolkata</w:t>
      </w:r>
    </w:p>
    <w:p w14:paraId="58E8E516"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Storage</w:t>
      </w:r>
    </w:p>
    <w:p w14:paraId="79A9575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Local Electron Database</w:t>
      </w:r>
    </w:p>
    <w:p w14:paraId="70891A25"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7D51A5A2">
          <v:rect id="_x0000_i1390" style="width:0;height:1.5pt" o:hralign="center" o:hrstd="t" o:hr="t" fillcolor="#a0a0a0" stroked="f"/>
        </w:pict>
      </w:r>
    </w:p>
    <w:p w14:paraId="56BCE06C"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15. Developer Notes</w:t>
      </w:r>
    </w:p>
    <w:p w14:paraId="26FA6721"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Store:</w:t>
      </w:r>
    </w:p>
    <w:p w14:paraId="6F5312EF" w14:textId="77777777" w:rsidR="00C80522" w:rsidRPr="00C80522" w:rsidRDefault="00C80522" w:rsidP="00C80522">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Vega </w:t>
      </w:r>
    </w:p>
    <w:p w14:paraId="610A52A2" w14:textId="77777777" w:rsidR="00C80522" w:rsidRPr="00C80522" w:rsidRDefault="00C80522" w:rsidP="00C80522">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Current IV </w:t>
      </w:r>
    </w:p>
    <w:p w14:paraId="6410FBC6" w14:textId="77777777" w:rsidR="00C80522" w:rsidRPr="00C80522" w:rsidRDefault="00C80522" w:rsidP="00C80522">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Option Type </w:t>
      </w:r>
    </w:p>
    <w:p w14:paraId="7A97BC7C" w14:textId="77777777" w:rsidR="00C80522" w:rsidRPr="00C80522" w:rsidRDefault="00C80522" w:rsidP="00C80522">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Strike Price </w:t>
      </w:r>
    </w:p>
    <w:p w14:paraId="2A26CDEB" w14:textId="77777777" w:rsidR="00C80522" w:rsidRPr="00C80522" w:rsidRDefault="00C80522" w:rsidP="00C80522">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lastRenderedPageBreak/>
        <w:t xml:space="preserve">Current Score </w:t>
      </w:r>
    </w:p>
    <w:p w14:paraId="2DB6875D" w14:textId="77777777" w:rsidR="00C80522" w:rsidRPr="00C80522" w:rsidRDefault="00C80522" w:rsidP="00C80522">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Confidence </w:t>
      </w:r>
    </w:p>
    <w:p w14:paraId="4E73D034" w14:textId="77777777" w:rsidR="00C80522" w:rsidRPr="00C80522" w:rsidRDefault="00C80522" w:rsidP="00C80522">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Last Updated </w:t>
      </w:r>
    </w:p>
    <w:p w14:paraId="4C07376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Prefer exchange-provided Vega values. If unavailable, calculate using the Black-Scholes model. Update continuously as IV changes throughout the trading session.</w:t>
      </w:r>
    </w:p>
    <w:p w14:paraId="4BE636F3"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404C331C">
          <v:rect id="_x0000_i1391" style="width:0;height:1.5pt" o:hralign="center" o:hrstd="t" o:hr="t" fillcolor="#a0a0a0" stroked="f"/>
        </w:pict>
      </w:r>
    </w:p>
    <w:p w14:paraId="59D6E6C3"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 xml:space="preserve">16. Praxis Engine Integration </w:t>
      </w:r>
      <w:r w:rsidRPr="00C80522">
        <w:rPr>
          <w:rFonts w:ascii="Segoe UI Emoji" w:eastAsia="Times New Roman" w:hAnsi="Segoe UI Emoji" w:cs="Segoe UI Emoji"/>
          <w:b/>
          <w:bCs/>
          <w:kern w:val="36"/>
          <w:sz w:val="48"/>
          <w:szCs w:val="48"/>
        </w:rPr>
        <w:t>⭐</w:t>
      </w:r>
    </w:p>
    <w:p w14:paraId="245FA28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Engine Weight</w:t>
      </w:r>
    </w:p>
    <w:p w14:paraId="03EBE1A7"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Configurable</w:t>
      </w:r>
    </w:p>
    <w:p w14:paraId="0B3C82C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Relative Importance</w:t>
      </w:r>
    </w:p>
    <w:p w14:paraId="2B712412"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High</w:t>
      </w:r>
    </w:p>
    <w:p w14:paraId="2E8186FB"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Decision Engine Role</w:t>
      </w:r>
    </w:p>
    <w:p w14:paraId="3A2406C1"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Volatility Sensitivity Assessment</w:t>
      </w:r>
    </w:p>
    <w:p w14:paraId="1323DD1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Primary Use</w:t>
      </w:r>
    </w:p>
    <w:p w14:paraId="61E5F0C1"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Measure the impact of implied volatility changes on option premiums.</w:t>
      </w:r>
    </w:p>
    <w:p w14:paraId="4D5212C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Bullish Confirmation</w:t>
      </w:r>
    </w:p>
    <w:p w14:paraId="60A81185" w14:textId="77777777" w:rsidR="00C80522" w:rsidRPr="00C80522" w:rsidRDefault="00C80522" w:rsidP="00C80522">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Low Vega </w:t>
      </w:r>
    </w:p>
    <w:p w14:paraId="2AB50D5C" w14:textId="77777777" w:rsidR="00C80522" w:rsidRPr="00C80522" w:rsidRDefault="00C80522" w:rsidP="00C80522">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Stable IV </w:t>
      </w:r>
    </w:p>
    <w:p w14:paraId="7ECE476D" w14:textId="77777777" w:rsidR="00C80522" w:rsidRPr="00C80522" w:rsidRDefault="00C80522" w:rsidP="00C80522">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Low IV Rank </w:t>
      </w:r>
    </w:p>
    <w:p w14:paraId="4A972BF7"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Bearish Confirmation</w:t>
      </w:r>
    </w:p>
    <w:p w14:paraId="247E76E0" w14:textId="77777777" w:rsidR="00C80522" w:rsidRPr="00C80522" w:rsidRDefault="00C80522" w:rsidP="00C80522">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High Vega </w:t>
      </w:r>
    </w:p>
    <w:p w14:paraId="22A3488B" w14:textId="77777777" w:rsidR="00C80522" w:rsidRPr="00C80522" w:rsidRDefault="00C80522" w:rsidP="00C80522">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Rising ATM IV </w:t>
      </w:r>
    </w:p>
    <w:p w14:paraId="6D22B5D0" w14:textId="77777777" w:rsidR="00C80522" w:rsidRPr="00C80522" w:rsidRDefault="00C80522" w:rsidP="00C80522">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Rising India VIX </w:t>
      </w:r>
    </w:p>
    <w:p w14:paraId="67A5EB0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Display Priority</w:t>
      </w:r>
    </w:p>
    <w:p w14:paraId="6336CFD9"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High</w:t>
      </w:r>
    </w:p>
    <w:p w14:paraId="48D0A347"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46518B5E">
          <v:rect id="_x0000_i1392" style="width:0;height:1.5pt" o:hralign="center" o:hrstd="t" o:hr="t" fillcolor="#a0a0a0" stroked="f"/>
        </w:pict>
      </w:r>
    </w:p>
    <w:p w14:paraId="0714C6C5"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lastRenderedPageBreak/>
        <w:t>17. Praxis Recommendation</w:t>
      </w:r>
    </w:p>
    <w:p w14:paraId="431A1D3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Vega should serve as the </w:t>
      </w:r>
      <w:r w:rsidRPr="00C80522">
        <w:rPr>
          <w:rFonts w:ascii="Times New Roman" w:eastAsia="Times New Roman" w:hAnsi="Times New Roman" w:cs="Times New Roman"/>
          <w:b/>
          <w:bCs/>
          <w:sz w:val="24"/>
          <w:szCs w:val="24"/>
        </w:rPr>
        <w:t>volatility sensitivity indicator</w:t>
      </w:r>
      <w:r w:rsidRPr="00C80522">
        <w:rPr>
          <w:rFonts w:ascii="Times New Roman" w:eastAsia="Times New Roman" w:hAnsi="Times New Roman" w:cs="Times New Roman"/>
          <w:sz w:val="24"/>
          <w:szCs w:val="24"/>
        </w:rPr>
        <w:t xml:space="preserve"> within the Greeks category.</w:t>
      </w:r>
    </w:p>
    <w:p w14:paraId="5BE0139C"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Greeks Hierarchy</w:t>
      </w:r>
    </w:p>
    <w:p w14:paraId="3E5D23D6" w14:textId="77777777" w:rsidR="00C80522" w:rsidRPr="00C80522" w:rsidRDefault="00C80522" w:rsidP="00C80522">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80522">
        <w:rPr>
          <w:rFonts w:ascii="Segoe UI Emoji" w:eastAsia="Times New Roman" w:hAnsi="Segoe UI Emoji" w:cs="Segoe UI Emoji"/>
          <w:sz w:val="24"/>
          <w:szCs w:val="24"/>
        </w:rPr>
        <w:t>⭐⭐⭐⭐⭐</w:t>
      </w:r>
      <w:r w:rsidRPr="00C80522">
        <w:rPr>
          <w:rFonts w:ascii="Times New Roman" w:eastAsia="Times New Roman" w:hAnsi="Times New Roman" w:cs="Times New Roman"/>
          <w:sz w:val="24"/>
          <w:szCs w:val="24"/>
        </w:rPr>
        <w:t xml:space="preserve"> Delta </w:t>
      </w:r>
    </w:p>
    <w:p w14:paraId="16348C41" w14:textId="77777777" w:rsidR="00C80522" w:rsidRPr="00C80522" w:rsidRDefault="00C80522" w:rsidP="00C80522">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80522">
        <w:rPr>
          <w:rFonts w:ascii="Segoe UI Emoji" w:eastAsia="Times New Roman" w:hAnsi="Segoe UI Emoji" w:cs="Segoe UI Emoji"/>
          <w:sz w:val="24"/>
          <w:szCs w:val="24"/>
        </w:rPr>
        <w:t>⭐⭐⭐⭐</w:t>
      </w:r>
      <w:r w:rsidRPr="00C80522">
        <w:rPr>
          <w:rFonts w:ascii="Segoe UI Symbol" w:eastAsia="Times New Roman" w:hAnsi="Segoe UI Symbol" w:cs="Segoe UI Symbol"/>
          <w:sz w:val="24"/>
          <w:szCs w:val="24"/>
        </w:rPr>
        <w:t>☆</w:t>
      </w:r>
      <w:r w:rsidRPr="00C80522">
        <w:rPr>
          <w:rFonts w:ascii="Times New Roman" w:eastAsia="Times New Roman" w:hAnsi="Times New Roman" w:cs="Times New Roman"/>
          <w:sz w:val="24"/>
          <w:szCs w:val="24"/>
        </w:rPr>
        <w:t xml:space="preserve"> Gamma </w:t>
      </w:r>
    </w:p>
    <w:p w14:paraId="78F56656" w14:textId="77777777" w:rsidR="00C80522" w:rsidRPr="00C80522" w:rsidRDefault="00C80522" w:rsidP="00C80522">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80522">
        <w:rPr>
          <w:rFonts w:ascii="Segoe UI Emoji" w:eastAsia="Times New Roman" w:hAnsi="Segoe UI Emoji" w:cs="Segoe UI Emoji"/>
          <w:sz w:val="24"/>
          <w:szCs w:val="24"/>
        </w:rPr>
        <w:t>⭐⭐⭐⭐</w:t>
      </w:r>
      <w:r w:rsidRPr="00C80522">
        <w:rPr>
          <w:rFonts w:ascii="Segoe UI Symbol" w:eastAsia="Times New Roman" w:hAnsi="Segoe UI Symbol" w:cs="Segoe UI Symbol"/>
          <w:sz w:val="24"/>
          <w:szCs w:val="24"/>
        </w:rPr>
        <w:t>☆</w:t>
      </w:r>
      <w:r w:rsidRPr="00C80522">
        <w:rPr>
          <w:rFonts w:ascii="Times New Roman" w:eastAsia="Times New Roman" w:hAnsi="Times New Roman" w:cs="Times New Roman"/>
          <w:sz w:val="24"/>
          <w:szCs w:val="24"/>
        </w:rPr>
        <w:t xml:space="preserve"> Theta </w:t>
      </w:r>
    </w:p>
    <w:p w14:paraId="7963F171" w14:textId="77777777" w:rsidR="00C80522" w:rsidRPr="00C80522" w:rsidRDefault="00C80522" w:rsidP="00C80522">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80522">
        <w:rPr>
          <w:rFonts w:ascii="Segoe UI Emoji" w:eastAsia="Times New Roman" w:hAnsi="Segoe UI Emoji" w:cs="Segoe UI Emoji"/>
          <w:sz w:val="24"/>
          <w:szCs w:val="24"/>
        </w:rPr>
        <w:t>⭐⭐⭐⭐</w:t>
      </w:r>
      <w:r w:rsidRPr="00C80522">
        <w:rPr>
          <w:rFonts w:ascii="Segoe UI Symbol" w:eastAsia="Times New Roman" w:hAnsi="Segoe UI Symbol" w:cs="Segoe UI Symbol"/>
          <w:sz w:val="24"/>
          <w:szCs w:val="24"/>
        </w:rPr>
        <w:t>☆</w:t>
      </w:r>
      <w:r w:rsidRPr="00C80522">
        <w:rPr>
          <w:rFonts w:ascii="Times New Roman" w:eastAsia="Times New Roman" w:hAnsi="Times New Roman" w:cs="Times New Roman"/>
          <w:sz w:val="24"/>
          <w:szCs w:val="24"/>
        </w:rPr>
        <w:t xml:space="preserve"> Vega </w:t>
      </w:r>
    </w:p>
    <w:p w14:paraId="0A32742A"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Engine Rules</w:t>
      </w:r>
    </w:p>
    <w:p w14:paraId="4C9F2954" w14:textId="77777777" w:rsidR="00C80522" w:rsidRPr="00C80522" w:rsidRDefault="00C80522" w:rsidP="00C80522">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Low Vega + Stable ATM IV → Increase Options Score. </w:t>
      </w:r>
    </w:p>
    <w:p w14:paraId="11014C97" w14:textId="77777777" w:rsidR="00C80522" w:rsidRPr="00C80522" w:rsidRDefault="00C80522" w:rsidP="00C80522">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High Vega + Rising IV → Increase volatility risk and reduce confidence. </w:t>
      </w:r>
    </w:p>
    <w:p w14:paraId="79E404DC" w14:textId="77777777" w:rsidR="00C80522" w:rsidRPr="00C80522" w:rsidRDefault="00C80522" w:rsidP="00C80522">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High Vega + High IV Rank + High IV Percentile → Trigger a Volatility Risk warning. </w:t>
      </w:r>
    </w:p>
    <w:p w14:paraId="3B9B5B1E" w14:textId="5EF46062" w:rsidR="00C80522" w:rsidRDefault="00C80522" w:rsidP="00C80522">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Always evaluate Vega alongside ATM IV, IV Rank, and Theta before generating high-confidence options signals.</w:t>
      </w:r>
    </w:p>
    <w:p w14:paraId="6022853D" w14:textId="275E55BF"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690C3908" w14:textId="14F4CE09"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0E90F8DA" w14:textId="6AA784E8"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37A29D96" w14:textId="74844D25"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1290737D" w14:textId="4AAB3D61"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265E8A35" w14:textId="13E8D02C"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6586F54F" w14:textId="057DC2ED"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44ABAECD" w14:textId="095DCADD"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6E3C3256" w14:textId="1663F3F9"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13934C22" w14:textId="14DC826E"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6A8473C6" w14:textId="765A6D82"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06281ABA" w14:textId="77777777" w:rsidR="00A5115D" w:rsidRPr="00C80522"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74FA2659"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C80522">
        <w:rPr>
          <w:rFonts w:ascii="Times New Roman" w:eastAsia="Times New Roman" w:hAnsi="Times New Roman" w:cs="Times New Roman"/>
          <w:b/>
          <w:bCs/>
          <w:color w:val="FF0000"/>
          <w:kern w:val="36"/>
          <w:sz w:val="48"/>
          <w:szCs w:val="48"/>
        </w:rPr>
        <w:lastRenderedPageBreak/>
        <w:t>13. Max Pain</w:t>
      </w:r>
    </w:p>
    <w:p w14:paraId="3B9E2C8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Module:</w:t>
      </w:r>
      <w:r w:rsidRPr="00C80522">
        <w:rPr>
          <w:rFonts w:ascii="Times New Roman" w:eastAsia="Times New Roman" w:hAnsi="Times New Roman" w:cs="Times New Roman"/>
          <w:sz w:val="24"/>
          <w:szCs w:val="24"/>
        </w:rPr>
        <w:t xml:space="preserve"> Options</w:t>
      </w:r>
      <w:r w:rsidRPr="00C80522">
        <w:rPr>
          <w:rFonts w:ascii="Times New Roman" w:eastAsia="Times New Roman" w:hAnsi="Times New Roman" w:cs="Times New Roman"/>
          <w:sz w:val="24"/>
          <w:szCs w:val="24"/>
        </w:rPr>
        <w:br/>
      </w:r>
      <w:r w:rsidRPr="00C80522">
        <w:rPr>
          <w:rFonts w:ascii="Times New Roman" w:eastAsia="Times New Roman" w:hAnsi="Times New Roman" w:cs="Times New Roman"/>
          <w:b/>
          <w:bCs/>
          <w:sz w:val="24"/>
          <w:szCs w:val="24"/>
        </w:rPr>
        <w:t>Category:</w:t>
      </w:r>
      <w:r w:rsidRPr="00C80522">
        <w:rPr>
          <w:rFonts w:ascii="Times New Roman" w:eastAsia="Times New Roman" w:hAnsi="Times New Roman" w:cs="Times New Roman"/>
          <w:sz w:val="24"/>
          <w:szCs w:val="24"/>
        </w:rPr>
        <w:t xml:space="preserve"> Market Positioning</w:t>
      </w:r>
      <w:r w:rsidRPr="00C80522">
        <w:rPr>
          <w:rFonts w:ascii="Times New Roman" w:eastAsia="Times New Roman" w:hAnsi="Times New Roman" w:cs="Times New Roman"/>
          <w:sz w:val="24"/>
          <w:szCs w:val="24"/>
        </w:rPr>
        <w:br/>
      </w:r>
      <w:r w:rsidRPr="00C80522">
        <w:rPr>
          <w:rFonts w:ascii="Times New Roman" w:eastAsia="Times New Roman" w:hAnsi="Times New Roman" w:cs="Times New Roman"/>
          <w:b/>
          <w:bCs/>
          <w:sz w:val="24"/>
          <w:szCs w:val="24"/>
        </w:rPr>
        <w:t>Status:</w:t>
      </w:r>
      <w:r w:rsidRPr="00C80522">
        <w:rPr>
          <w:rFonts w:ascii="Times New Roman" w:eastAsia="Times New Roman" w:hAnsi="Times New Roman" w:cs="Times New Roman"/>
          <w:sz w:val="24"/>
          <w:szCs w:val="24"/>
        </w:rPr>
        <w:t xml:space="preserve"> Production Ready</w:t>
      </w:r>
    </w:p>
    <w:p w14:paraId="3E1FFFC1" w14:textId="77777777" w:rsidR="00C80522" w:rsidRPr="00C80522" w:rsidRDefault="00C80522" w:rsidP="00C80522">
      <w:pPr>
        <w:spacing w:before="100" w:beforeAutospacing="1" w:after="100" w:afterAutospacing="1" w:line="240" w:lineRule="auto"/>
        <w:outlineLvl w:val="1"/>
        <w:rPr>
          <w:rFonts w:ascii="Times New Roman" w:eastAsia="Times New Roman" w:hAnsi="Times New Roman" w:cs="Times New Roman"/>
          <w:b/>
          <w:bCs/>
          <w:sz w:val="36"/>
          <w:szCs w:val="36"/>
        </w:rPr>
      </w:pPr>
      <w:r w:rsidRPr="00C80522">
        <w:rPr>
          <w:rFonts w:ascii="Times New Roman" w:eastAsia="Times New Roman" w:hAnsi="Times New Roman" w:cs="Times New Roman"/>
          <w:b/>
          <w:bCs/>
          <w:sz w:val="36"/>
          <w:szCs w:val="36"/>
        </w:rPr>
        <w:t>1. Overview</w:t>
      </w:r>
    </w:p>
    <w:p w14:paraId="6CA3637B"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Name:</w:t>
      </w:r>
      <w:r w:rsidRPr="00C80522">
        <w:rPr>
          <w:rFonts w:ascii="Times New Roman" w:eastAsia="Times New Roman" w:hAnsi="Times New Roman" w:cs="Times New Roman"/>
          <w:sz w:val="24"/>
          <w:szCs w:val="24"/>
        </w:rPr>
        <w:t xml:space="preserve"> Max Pain</w:t>
      </w:r>
    </w:p>
    <w:p w14:paraId="532C53C1"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Short Name:</w:t>
      </w:r>
      <w:r w:rsidRPr="00C80522">
        <w:rPr>
          <w:rFonts w:ascii="Times New Roman" w:eastAsia="Times New Roman" w:hAnsi="Times New Roman" w:cs="Times New Roman"/>
          <w:sz w:val="24"/>
          <w:szCs w:val="24"/>
        </w:rPr>
        <w:t xml:space="preserve"> Max Pain</w:t>
      </w:r>
    </w:p>
    <w:p w14:paraId="6695E682"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Module:</w:t>
      </w:r>
      <w:r w:rsidRPr="00C80522">
        <w:rPr>
          <w:rFonts w:ascii="Times New Roman" w:eastAsia="Times New Roman" w:hAnsi="Times New Roman" w:cs="Times New Roman"/>
          <w:sz w:val="24"/>
          <w:szCs w:val="24"/>
        </w:rPr>
        <w:t xml:space="preserve"> Options</w:t>
      </w:r>
    </w:p>
    <w:p w14:paraId="1FB8E97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Category:</w:t>
      </w:r>
      <w:r w:rsidRPr="00C80522">
        <w:rPr>
          <w:rFonts w:ascii="Times New Roman" w:eastAsia="Times New Roman" w:hAnsi="Times New Roman" w:cs="Times New Roman"/>
          <w:sz w:val="24"/>
          <w:szCs w:val="24"/>
        </w:rPr>
        <w:t xml:space="preserve"> Market Positioning</w:t>
      </w:r>
    </w:p>
    <w:p w14:paraId="13E029DC"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Purpose:</w:t>
      </w:r>
    </w:p>
    <w:p w14:paraId="19B28AE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Identifies the strike price where the combined loss for option buyers and profit for option writers is minimized at expiry. It is widely used to estimate the price level where the underlying asset may gravitate as expiry approaches.</w:t>
      </w:r>
    </w:p>
    <w:p w14:paraId="7188942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Based On:</w:t>
      </w:r>
    </w:p>
    <w:p w14:paraId="1FA908F2"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Call Open Interest and Put Open Interest across all strikes.</w:t>
      </w:r>
    </w:p>
    <w:p w14:paraId="32C8DECB"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Importance:</w:t>
      </w:r>
    </w:p>
    <w:p w14:paraId="5F17D208"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Segoe UI Emoji" w:eastAsia="Times New Roman" w:hAnsi="Segoe UI Emoji" w:cs="Segoe UI Emoji"/>
          <w:sz w:val="24"/>
          <w:szCs w:val="24"/>
        </w:rPr>
        <w:t>⭐⭐⭐⭐⭐</w:t>
      </w:r>
      <w:r w:rsidRPr="00C80522">
        <w:rPr>
          <w:rFonts w:ascii="Times New Roman" w:eastAsia="Times New Roman" w:hAnsi="Times New Roman" w:cs="Times New Roman"/>
          <w:sz w:val="24"/>
          <w:szCs w:val="24"/>
        </w:rPr>
        <w:t xml:space="preserve"> (Core Expiry Indicator)</w:t>
      </w:r>
    </w:p>
    <w:p w14:paraId="2FE17744"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Auto / Manual:</w:t>
      </w:r>
    </w:p>
    <w:p w14:paraId="77A936E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Auto</w:t>
      </w:r>
    </w:p>
    <w:p w14:paraId="31AD306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Update Frequency:</w:t>
      </w:r>
    </w:p>
    <w:p w14:paraId="5C261D68"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Every Option Chain Refresh (Market Hours)</w:t>
      </w:r>
    </w:p>
    <w:p w14:paraId="3D42F7A6"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Praxis Note:</w:t>
      </w:r>
    </w:p>
    <w:p w14:paraId="4D235F1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Max Pain is </w:t>
      </w:r>
      <w:r w:rsidRPr="00C80522">
        <w:rPr>
          <w:rFonts w:ascii="Times New Roman" w:eastAsia="Times New Roman" w:hAnsi="Times New Roman" w:cs="Times New Roman"/>
          <w:b/>
          <w:bCs/>
          <w:sz w:val="24"/>
          <w:szCs w:val="24"/>
        </w:rPr>
        <w:t>not a price target</w:t>
      </w:r>
      <w:r w:rsidRPr="00C80522">
        <w:rPr>
          <w:rFonts w:ascii="Times New Roman" w:eastAsia="Times New Roman" w:hAnsi="Times New Roman" w:cs="Times New Roman"/>
          <w:sz w:val="24"/>
          <w:szCs w:val="24"/>
        </w:rPr>
        <w:t>. Its influence generally increases as expiry approaches and should always be confirmed using Open Interest, PCR, and Price Action.</w:t>
      </w:r>
    </w:p>
    <w:p w14:paraId="6104C422"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07E6EB13">
          <v:rect id="_x0000_i1409" style="width:0;height:1.5pt" o:hralign="center" o:hrstd="t" o:hr="t" fillcolor="#a0a0a0" stroked="f"/>
        </w:pict>
      </w:r>
    </w:p>
    <w:p w14:paraId="0EE53C13"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lastRenderedPageBreak/>
        <w:t>2. Data Requirements</w:t>
      </w:r>
    </w:p>
    <w:p w14:paraId="0B3E51B7"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Required Data</w:t>
      </w:r>
    </w:p>
    <w:p w14:paraId="70D17E6B" w14:textId="77777777" w:rsidR="00C80522" w:rsidRPr="00C80522" w:rsidRDefault="00C80522" w:rsidP="00C80522">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Strike Prices </w:t>
      </w:r>
    </w:p>
    <w:p w14:paraId="2FEBBDC4" w14:textId="77777777" w:rsidR="00C80522" w:rsidRPr="00C80522" w:rsidRDefault="00C80522" w:rsidP="00C80522">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Call Open Interest </w:t>
      </w:r>
    </w:p>
    <w:p w14:paraId="01DBDB74" w14:textId="77777777" w:rsidR="00C80522" w:rsidRPr="00C80522" w:rsidRDefault="00C80522" w:rsidP="00C80522">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Put Open Interest </w:t>
      </w:r>
    </w:p>
    <w:p w14:paraId="6A7E9D0C" w14:textId="77777777" w:rsidR="00C80522" w:rsidRPr="00C80522" w:rsidRDefault="00C80522" w:rsidP="00C80522">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Spot Price </w:t>
      </w:r>
    </w:p>
    <w:p w14:paraId="165BC023" w14:textId="77777777" w:rsidR="00C80522" w:rsidRPr="00C80522" w:rsidRDefault="00C80522" w:rsidP="00C80522">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Expiry Date </w:t>
      </w:r>
    </w:p>
    <w:p w14:paraId="58E6C2F9"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Minimum Historical Data</w:t>
      </w:r>
    </w:p>
    <w:p w14:paraId="27D2B681"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Current Option Chain</w:t>
      </w:r>
    </w:p>
    <w:p w14:paraId="59B049DB"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Recommended</w:t>
      </w:r>
    </w:p>
    <w:p w14:paraId="5B0E2BF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30 Trading Days</w:t>
      </w:r>
    </w:p>
    <w:p w14:paraId="49B9F25B"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Primary Source</w:t>
      </w:r>
    </w:p>
    <w:p w14:paraId="7D937368" w14:textId="77777777" w:rsidR="00C80522" w:rsidRPr="00C80522" w:rsidRDefault="00C80522" w:rsidP="00C80522">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NSE Option Chain </w:t>
      </w:r>
    </w:p>
    <w:p w14:paraId="1CBF61A2" w14:textId="77777777" w:rsidR="00C80522" w:rsidRPr="00C80522" w:rsidRDefault="00C80522" w:rsidP="00C80522">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Upstox API </w:t>
      </w:r>
    </w:p>
    <w:p w14:paraId="75113946"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40D4E1A3">
          <v:rect id="_x0000_i1410" style="width:0;height:1.5pt" o:hralign="center" o:hrstd="t" o:hr="t" fillcolor="#a0a0a0" stroked="f"/>
        </w:pict>
      </w:r>
    </w:p>
    <w:p w14:paraId="30CF1FD4"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3. Industry Standard Calculation</w:t>
      </w:r>
    </w:p>
    <w:p w14:paraId="1504C2FD"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Method</w:t>
      </w:r>
    </w:p>
    <w:p w14:paraId="72B9158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Calculate the theoretical payout for Call and Put writers at every strike price.</w:t>
      </w:r>
    </w:p>
    <w:p w14:paraId="417B25DF"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The strike with the </w:t>
      </w:r>
      <w:r w:rsidRPr="00C80522">
        <w:rPr>
          <w:rFonts w:ascii="Times New Roman" w:eastAsia="Times New Roman" w:hAnsi="Times New Roman" w:cs="Times New Roman"/>
          <w:b/>
          <w:bCs/>
          <w:sz w:val="24"/>
          <w:szCs w:val="24"/>
        </w:rPr>
        <w:t>minimum total payout</w:t>
      </w:r>
      <w:r w:rsidRPr="00C80522">
        <w:rPr>
          <w:rFonts w:ascii="Times New Roman" w:eastAsia="Times New Roman" w:hAnsi="Times New Roman" w:cs="Times New Roman"/>
          <w:sz w:val="24"/>
          <w:szCs w:val="24"/>
        </w:rPr>
        <w:t xml:space="preserve"> is the Max Pain level.</w:t>
      </w:r>
    </w:p>
    <w:p w14:paraId="2C68A96A"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Implementation Steps</w:t>
      </w:r>
    </w:p>
    <w:p w14:paraId="46381356" w14:textId="77777777" w:rsidR="00C80522" w:rsidRPr="00C80522" w:rsidRDefault="00C80522" w:rsidP="00C80522">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Retrieve the complete option chain. </w:t>
      </w:r>
    </w:p>
    <w:p w14:paraId="704A9D2F" w14:textId="77777777" w:rsidR="00C80522" w:rsidRPr="00C80522" w:rsidRDefault="00C80522" w:rsidP="00C80522">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Calculate total Call payout for every strike. </w:t>
      </w:r>
    </w:p>
    <w:p w14:paraId="797D1732" w14:textId="77777777" w:rsidR="00C80522" w:rsidRPr="00C80522" w:rsidRDefault="00C80522" w:rsidP="00C80522">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Calculate total Put payout for every strike. </w:t>
      </w:r>
    </w:p>
    <w:p w14:paraId="4EEFD492" w14:textId="77777777" w:rsidR="00C80522" w:rsidRPr="00C80522" w:rsidRDefault="00C80522" w:rsidP="00C80522">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Sum total payouts. </w:t>
      </w:r>
    </w:p>
    <w:p w14:paraId="61BAC52C" w14:textId="77777777" w:rsidR="00C80522" w:rsidRPr="00C80522" w:rsidRDefault="00C80522" w:rsidP="00C80522">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Identify the strike with the minimum payout. </w:t>
      </w:r>
    </w:p>
    <w:p w14:paraId="552B048C" w14:textId="77777777" w:rsidR="00C80522" w:rsidRPr="00C80522" w:rsidRDefault="00C80522" w:rsidP="00C80522">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Generate the Options Score. </w:t>
      </w:r>
    </w:p>
    <w:p w14:paraId="6E5A4759"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Notes</w:t>
      </w:r>
    </w:p>
    <w:p w14:paraId="18700F08" w14:textId="77777777" w:rsidR="00C80522" w:rsidRPr="00C80522" w:rsidRDefault="00C80522" w:rsidP="00C80522">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lastRenderedPageBreak/>
        <w:t xml:space="preserve">Use the nearest active expiry. </w:t>
      </w:r>
    </w:p>
    <w:p w14:paraId="1DFD5663" w14:textId="77777777" w:rsidR="00C80522" w:rsidRPr="00C80522" w:rsidRDefault="00C80522" w:rsidP="00C80522">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Recalculate after every option chain refresh. </w:t>
      </w:r>
    </w:p>
    <w:p w14:paraId="1AE7DB73" w14:textId="77777777" w:rsidR="00C80522" w:rsidRPr="00C80522" w:rsidRDefault="00C80522" w:rsidP="00C80522">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Ignore expired contracts. </w:t>
      </w:r>
    </w:p>
    <w:p w14:paraId="4BDA8931" w14:textId="77777777" w:rsidR="00C80522" w:rsidRPr="00C80522" w:rsidRDefault="00C80522" w:rsidP="00C80522">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Follow the standard Max Pain methodology used by options analytics platforms. </w:t>
      </w:r>
    </w:p>
    <w:p w14:paraId="19CE0268"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41E10AB9">
          <v:rect id="_x0000_i1411" style="width:0;height:1.5pt" o:hralign="center" o:hrstd="t" o:hr="t" fillcolor="#a0a0a0" stroked="f"/>
        </w:pict>
      </w:r>
    </w:p>
    <w:p w14:paraId="0F3F0EF3"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4. Card Fields</w:t>
      </w:r>
    </w:p>
    <w:p w14:paraId="012D387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Current Value</w:t>
      </w:r>
    </w:p>
    <w:p w14:paraId="3EDC5CA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Max Pain Strike</w:t>
      </w:r>
    </w:p>
    <w:p w14:paraId="26DABB86"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Current Spot</w:t>
      </w:r>
    </w:p>
    <w:p w14:paraId="3058CE9C"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Underlying Spot Price</w:t>
      </w:r>
    </w:p>
    <w:p w14:paraId="59FB02B9"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Distance</w:t>
      </w:r>
    </w:p>
    <w:p w14:paraId="0DA45B1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Spot vs Max Pain (%)</w:t>
      </w:r>
    </w:p>
    <w:p w14:paraId="75461ED8"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Score</w:t>
      </w:r>
    </w:p>
    <w:p w14:paraId="1E1A40D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0–100</w:t>
      </w:r>
    </w:p>
    <w:p w14:paraId="7036B2C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Bias</w:t>
      </w:r>
    </w:p>
    <w:p w14:paraId="7D745B7E" w14:textId="77777777" w:rsidR="00C80522" w:rsidRPr="00C80522" w:rsidRDefault="00C80522" w:rsidP="00C80522">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Bullish </w:t>
      </w:r>
    </w:p>
    <w:p w14:paraId="73E6F8C4" w14:textId="77777777" w:rsidR="00C80522" w:rsidRPr="00C80522" w:rsidRDefault="00C80522" w:rsidP="00C80522">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Neutral </w:t>
      </w:r>
    </w:p>
    <w:p w14:paraId="7EE26B1D" w14:textId="77777777" w:rsidR="00C80522" w:rsidRPr="00C80522" w:rsidRDefault="00C80522" w:rsidP="00C80522">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Bearish </w:t>
      </w:r>
    </w:p>
    <w:p w14:paraId="4F3437B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Confidence</w:t>
      </w:r>
    </w:p>
    <w:p w14:paraId="214B1F69"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Market Positioning Confidence</w:t>
      </w:r>
    </w:p>
    <w:p w14:paraId="5A00B92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Impact Weight</w:t>
      </w:r>
    </w:p>
    <w:p w14:paraId="68CB642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High</w:t>
      </w:r>
    </w:p>
    <w:p w14:paraId="5DCF2B33"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7165333F">
          <v:rect id="_x0000_i1412" style="width:0;height:1.5pt" o:hralign="center" o:hrstd="t" o:hr="t" fillcolor="#a0a0a0" stroked="f"/>
        </w:pict>
      </w:r>
    </w:p>
    <w:p w14:paraId="6FB93258"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5"/>
        <w:gridCol w:w="634"/>
        <w:gridCol w:w="2096"/>
      </w:tblGrid>
      <w:tr w:rsidR="00C80522" w:rsidRPr="00C80522" w14:paraId="187E7D8B" w14:textId="77777777" w:rsidTr="00C80522">
        <w:trPr>
          <w:tblHeader/>
          <w:tblCellSpacing w:w="15" w:type="dxa"/>
        </w:trPr>
        <w:tc>
          <w:tcPr>
            <w:tcW w:w="0" w:type="auto"/>
            <w:vAlign w:val="center"/>
            <w:hideMark/>
          </w:tcPr>
          <w:p w14:paraId="2ECD4C9C" w14:textId="77777777" w:rsidR="00C80522" w:rsidRPr="00C80522" w:rsidRDefault="00C80522" w:rsidP="00C80522">
            <w:pPr>
              <w:spacing w:after="0" w:line="240" w:lineRule="auto"/>
              <w:jc w:val="center"/>
              <w:rPr>
                <w:rFonts w:ascii="Times New Roman" w:eastAsia="Times New Roman" w:hAnsi="Times New Roman" w:cs="Times New Roman"/>
                <w:b/>
                <w:bCs/>
                <w:sz w:val="24"/>
                <w:szCs w:val="24"/>
              </w:rPr>
            </w:pPr>
            <w:r w:rsidRPr="00C80522">
              <w:rPr>
                <w:rFonts w:ascii="Times New Roman" w:eastAsia="Times New Roman" w:hAnsi="Times New Roman" w:cs="Times New Roman"/>
                <w:b/>
                <w:bCs/>
                <w:sz w:val="24"/>
                <w:szCs w:val="24"/>
              </w:rPr>
              <w:lastRenderedPageBreak/>
              <w:t>Condition</w:t>
            </w:r>
          </w:p>
        </w:tc>
        <w:tc>
          <w:tcPr>
            <w:tcW w:w="0" w:type="auto"/>
            <w:vAlign w:val="center"/>
            <w:hideMark/>
          </w:tcPr>
          <w:p w14:paraId="1500D338" w14:textId="77777777" w:rsidR="00C80522" w:rsidRPr="00C80522" w:rsidRDefault="00C80522" w:rsidP="00C80522">
            <w:pPr>
              <w:spacing w:after="0" w:line="240" w:lineRule="auto"/>
              <w:jc w:val="center"/>
              <w:rPr>
                <w:rFonts w:ascii="Times New Roman" w:eastAsia="Times New Roman" w:hAnsi="Times New Roman" w:cs="Times New Roman"/>
                <w:b/>
                <w:bCs/>
                <w:sz w:val="24"/>
                <w:szCs w:val="24"/>
              </w:rPr>
            </w:pPr>
            <w:r w:rsidRPr="00C80522">
              <w:rPr>
                <w:rFonts w:ascii="Times New Roman" w:eastAsia="Times New Roman" w:hAnsi="Times New Roman" w:cs="Times New Roman"/>
                <w:b/>
                <w:bCs/>
                <w:sz w:val="24"/>
                <w:szCs w:val="24"/>
              </w:rPr>
              <w:t>Score</w:t>
            </w:r>
          </w:p>
        </w:tc>
        <w:tc>
          <w:tcPr>
            <w:tcW w:w="0" w:type="auto"/>
            <w:vAlign w:val="center"/>
            <w:hideMark/>
          </w:tcPr>
          <w:p w14:paraId="5BB3B6F3" w14:textId="77777777" w:rsidR="00C80522" w:rsidRPr="00C80522" w:rsidRDefault="00C80522" w:rsidP="00C80522">
            <w:pPr>
              <w:spacing w:after="0" w:line="240" w:lineRule="auto"/>
              <w:jc w:val="center"/>
              <w:rPr>
                <w:rFonts w:ascii="Times New Roman" w:eastAsia="Times New Roman" w:hAnsi="Times New Roman" w:cs="Times New Roman"/>
                <w:b/>
                <w:bCs/>
                <w:sz w:val="24"/>
                <w:szCs w:val="24"/>
              </w:rPr>
            </w:pPr>
            <w:r w:rsidRPr="00C80522">
              <w:rPr>
                <w:rFonts w:ascii="Times New Roman" w:eastAsia="Times New Roman" w:hAnsi="Times New Roman" w:cs="Times New Roman"/>
                <w:b/>
                <w:bCs/>
                <w:sz w:val="24"/>
                <w:szCs w:val="24"/>
              </w:rPr>
              <w:t>Bias</w:t>
            </w:r>
          </w:p>
        </w:tc>
      </w:tr>
      <w:tr w:rsidR="00C80522" w:rsidRPr="00C80522" w14:paraId="15B0643F" w14:textId="77777777" w:rsidTr="00C80522">
        <w:trPr>
          <w:tblCellSpacing w:w="15" w:type="dxa"/>
        </w:trPr>
        <w:tc>
          <w:tcPr>
            <w:tcW w:w="0" w:type="auto"/>
            <w:vAlign w:val="center"/>
            <w:hideMark/>
          </w:tcPr>
          <w:p w14:paraId="47A2FB3D"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Spot Near Max Pain</w:t>
            </w:r>
          </w:p>
        </w:tc>
        <w:tc>
          <w:tcPr>
            <w:tcW w:w="0" w:type="auto"/>
            <w:vAlign w:val="center"/>
            <w:hideMark/>
          </w:tcPr>
          <w:p w14:paraId="528D2069"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90</w:t>
            </w:r>
          </w:p>
        </w:tc>
        <w:tc>
          <w:tcPr>
            <w:tcW w:w="0" w:type="auto"/>
            <w:vAlign w:val="center"/>
            <w:hideMark/>
          </w:tcPr>
          <w:p w14:paraId="0B214067"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Neutral</w:t>
            </w:r>
          </w:p>
        </w:tc>
      </w:tr>
      <w:tr w:rsidR="00C80522" w:rsidRPr="00C80522" w14:paraId="0B8E534D" w14:textId="77777777" w:rsidTr="00C80522">
        <w:trPr>
          <w:tblCellSpacing w:w="15" w:type="dxa"/>
        </w:trPr>
        <w:tc>
          <w:tcPr>
            <w:tcW w:w="0" w:type="auto"/>
            <w:vAlign w:val="center"/>
            <w:hideMark/>
          </w:tcPr>
          <w:p w14:paraId="2B027A89"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Spot Moving Towards Max Pain</w:t>
            </w:r>
          </w:p>
        </w:tc>
        <w:tc>
          <w:tcPr>
            <w:tcW w:w="0" w:type="auto"/>
            <w:vAlign w:val="center"/>
            <w:hideMark/>
          </w:tcPr>
          <w:p w14:paraId="1923B5B6"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80</w:t>
            </w:r>
          </w:p>
        </w:tc>
        <w:tc>
          <w:tcPr>
            <w:tcW w:w="0" w:type="auto"/>
            <w:vAlign w:val="center"/>
            <w:hideMark/>
          </w:tcPr>
          <w:p w14:paraId="09FEB5BA"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Mild Bullish/Bearish</w:t>
            </w:r>
          </w:p>
        </w:tc>
      </w:tr>
      <w:tr w:rsidR="00C80522" w:rsidRPr="00C80522" w14:paraId="389236AD" w14:textId="77777777" w:rsidTr="00C80522">
        <w:trPr>
          <w:tblCellSpacing w:w="15" w:type="dxa"/>
        </w:trPr>
        <w:tc>
          <w:tcPr>
            <w:tcW w:w="0" w:type="auto"/>
            <w:vAlign w:val="center"/>
            <w:hideMark/>
          </w:tcPr>
          <w:p w14:paraId="6E1E6352"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Spot Moderately Away</w:t>
            </w:r>
          </w:p>
        </w:tc>
        <w:tc>
          <w:tcPr>
            <w:tcW w:w="0" w:type="auto"/>
            <w:vAlign w:val="center"/>
            <w:hideMark/>
          </w:tcPr>
          <w:p w14:paraId="1ED54364"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55</w:t>
            </w:r>
          </w:p>
        </w:tc>
        <w:tc>
          <w:tcPr>
            <w:tcW w:w="0" w:type="auto"/>
            <w:vAlign w:val="center"/>
            <w:hideMark/>
          </w:tcPr>
          <w:p w14:paraId="76871DE1"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Neutral</w:t>
            </w:r>
          </w:p>
        </w:tc>
      </w:tr>
      <w:tr w:rsidR="00C80522" w:rsidRPr="00C80522" w14:paraId="5101A94E" w14:textId="77777777" w:rsidTr="00C80522">
        <w:trPr>
          <w:tblCellSpacing w:w="15" w:type="dxa"/>
        </w:trPr>
        <w:tc>
          <w:tcPr>
            <w:tcW w:w="0" w:type="auto"/>
            <w:vAlign w:val="center"/>
            <w:hideMark/>
          </w:tcPr>
          <w:p w14:paraId="5C486117"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Spot Far </w:t>
            </w:r>
            <w:proofErr w:type="gramStart"/>
            <w:r w:rsidRPr="00C80522">
              <w:rPr>
                <w:rFonts w:ascii="Times New Roman" w:eastAsia="Times New Roman" w:hAnsi="Times New Roman" w:cs="Times New Roman"/>
                <w:sz w:val="24"/>
                <w:szCs w:val="24"/>
              </w:rPr>
              <w:t>From</w:t>
            </w:r>
            <w:proofErr w:type="gramEnd"/>
            <w:r w:rsidRPr="00C80522">
              <w:rPr>
                <w:rFonts w:ascii="Times New Roman" w:eastAsia="Times New Roman" w:hAnsi="Times New Roman" w:cs="Times New Roman"/>
                <w:sz w:val="24"/>
                <w:szCs w:val="24"/>
              </w:rPr>
              <w:t xml:space="preserve"> Max Pain</w:t>
            </w:r>
          </w:p>
        </w:tc>
        <w:tc>
          <w:tcPr>
            <w:tcW w:w="0" w:type="auto"/>
            <w:vAlign w:val="center"/>
            <w:hideMark/>
          </w:tcPr>
          <w:p w14:paraId="5FC18BD1"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35</w:t>
            </w:r>
          </w:p>
        </w:tc>
        <w:tc>
          <w:tcPr>
            <w:tcW w:w="0" w:type="auto"/>
            <w:vAlign w:val="center"/>
            <w:hideMark/>
          </w:tcPr>
          <w:p w14:paraId="1F1DB050"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Weak Positioning</w:t>
            </w:r>
          </w:p>
        </w:tc>
      </w:tr>
      <w:tr w:rsidR="00C80522" w:rsidRPr="00C80522" w14:paraId="3802538A" w14:textId="77777777" w:rsidTr="00C80522">
        <w:trPr>
          <w:tblCellSpacing w:w="15" w:type="dxa"/>
        </w:trPr>
        <w:tc>
          <w:tcPr>
            <w:tcW w:w="0" w:type="auto"/>
            <w:vAlign w:val="center"/>
            <w:hideMark/>
          </w:tcPr>
          <w:p w14:paraId="47C8F0AC"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Strong Move Away with Rising OI</w:t>
            </w:r>
          </w:p>
        </w:tc>
        <w:tc>
          <w:tcPr>
            <w:tcW w:w="0" w:type="auto"/>
            <w:vAlign w:val="center"/>
            <w:hideMark/>
          </w:tcPr>
          <w:p w14:paraId="02C5E070"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15</w:t>
            </w:r>
          </w:p>
        </w:tc>
        <w:tc>
          <w:tcPr>
            <w:tcW w:w="0" w:type="auto"/>
            <w:vAlign w:val="center"/>
            <w:hideMark/>
          </w:tcPr>
          <w:p w14:paraId="7C3FD604"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Trend Continuation</w:t>
            </w:r>
          </w:p>
        </w:tc>
      </w:tr>
    </w:tbl>
    <w:p w14:paraId="4C4B97E5"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Notes</w:t>
      </w:r>
    </w:p>
    <w:p w14:paraId="0B0EFFF7" w14:textId="77777777" w:rsidR="00C80522" w:rsidRPr="00C80522" w:rsidRDefault="00C80522" w:rsidP="00C80522">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Max Pain is strongest during the final week before expiry. </w:t>
      </w:r>
    </w:p>
    <w:p w14:paraId="597E5D0D" w14:textId="77777777" w:rsidR="00C80522" w:rsidRPr="00C80522" w:rsidRDefault="00C80522" w:rsidP="00C80522">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Influence decreases for longer-dated expiries. </w:t>
      </w:r>
    </w:p>
    <w:p w14:paraId="5FC4B002" w14:textId="77777777" w:rsidR="00C80522" w:rsidRPr="00C80522" w:rsidRDefault="00C80522" w:rsidP="00C80522">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Always confirm using OI Change and PCR. </w:t>
      </w:r>
    </w:p>
    <w:p w14:paraId="17A13956"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526BE222">
          <v:rect id="_x0000_i1413" style="width:0;height:1.5pt" o:hralign="center" o:hrstd="t" o:hr="t" fillcolor="#a0a0a0" stroked="f"/>
        </w:pict>
      </w:r>
    </w:p>
    <w:p w14:paraId="1F214E58"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6. Bias Rules</w:t>
      </w:r>
    </w:p>
    <w:p w14:paraId="5BC73EF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Spot Near Max Pain</w:t>
      </w:r>
    </w:p>
    <w:p w14:paraId="05C85285"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Neutral</w:t>
      </w:r>
    </w:p>
    <w:p w14:paraId="71126D4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Spot Moving Towards Max Pain</w:t>
      </w:r>
    </w:p>
    <w:p w14:paraId="6AF799D4"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Moderately Bullish/Bearish</w:t>
      </w:r>
    </w:p>
    <w:p w14:paraId="37D55439"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Spot Moving Away</w:t>
      </w:r>
    </w:p>
    <w:p w14:paraId="0E0CF271"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Trend Strengthening</w:t>
      </w:r>
    </w:p>
    <w:p w14:paraId="21BD8376"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Large Divergence</w:t>
      </w:r>
    </w:p>
    <w:p w14:paraId="7E69185C"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Weak Max Pain Influence</w:t>
      </w:r>
    </w:p>
    <w:p w14:paraId="20D8811A"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0FCF2213">
          <v:rect id="_x0000_i1414" style="width:0;height:1.5pt" o:hralign="center" o:hrstd="t" o:hr="t" fillcolor="#a0a0a0" stroked="f"/>
        </w:pict>
      </w:r>
    </w:p>
    <w:p w14:paraId="2CDD89B4"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7. Confidence Logic</w:t>
      </w:r>
    </w:p>
    <w:p w14:paraId="49F88E44"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Base Confidence</w:t>
      </w:r>
    </w:p>
    <w:p w14:paraId="5F76924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88%</w:t>
      </w:r>
    </w:p>
    <w:p w14:paraId="62D79EBD"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Increase Confidence</w:t>
      </w:r>
    </w:p>
    <w:p w14:paraId="04F1A1C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lastRenderedPageBreak/>
        <w:t>+5% High Open Interest concentration</w:t>
      </w:r>
    </w:p>
    <w:p w14:paraId="44D86FC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+5% PCR confirmation</w:t>
      </w:r>
    </w:p>
    <w:p w14:paraId="3E457512"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+5% Final expiry week</w:t>
      </w:r>
    </w:p>
    <w:p w14:paraId="09A90178"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Decrease Confidence</w:t>
      </w:r>
    </w:p>
    <w:p w14:paraId="33AA0879"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-10% Low option liquidity</w:t>
      </w:r>
    </w:p>
    <w:p w14:paraId="1D13E66C"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-5% Large gap openings</w:t>
      </w:r>
    </w:p>
    <w:p w14:paraId="1F7B7642"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-5% Mixed OI signals</w:t>
      </w:r>
    </w:p>
    <w:p w14:paraId="5E747E38"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Minimum</w:t>
      </w:r>
    </w:p>
    <w:p w14:paraId="361B05AF"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60%</w:t>
      </w:r>
    </w:p>
    <w:p w14:paraId="45B5CE29"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Maximum</w:t>
      </w:r>
    </w:p>
    <w:p w14:paraId="6AB2CE96"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99%</w:t>
      </w:r>
    </w:p>
    <w:p w14:paraId="68AC4C92"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185ADFB6">
          <v:rect id="_x0000_i1415" style="width:0;height:1.5pt" o:hralign="center" o:hrstd="t" o:hr="t" fillcolor="#a0a0a0" stroked="f"/>
        </w:pict>
      </w:r>
    </w:p>
    <w:p w14:paraId="35027573"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8. Score Range Bar</w:t>
      </w:r>
    </w:p>
    <w:p w14:paraId="3A6092A5"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Minimum</w:t>
      </w:r>
    </w:p>
    <w:p w14:paraId="25E6A3E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0</w:t>
      </w:r>
    </w:p>
    <w:p w14:paraId="1C2B88B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Maximum</w:t>
      </w:r>
    </w:p>
    <w:p w14:paraId="4D2901F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100</w:t>
      </w:r>
    </w:p>
    <w:p w14:paraId="393C4122"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Pointer</w:t>
      </w:r>
    </w:p>
    <w:p w14:paraId="579B933C"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Current Score</w:t>
      </w:r>
    </w:p>
    <w:p w14:paraId="066C557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Average Marker</w:t>
      </w:r>
    </w:p>
    <w:p w14:paraId="05187D72"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30-Day Average Score</w:t>
      </w:r>
    </w:p>
    <w:p w14:paraId="17913A82"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Color Zones</w:t>
      </w:r>
    </w:p>
    <w:p w14:paraId="397E5AA1"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0–30 → Weak Influence</w:t>
      </w:r>
    </w:p>
    <w:p w14:paraId="3F679E51"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lastRenderedPageBreak/>
        <w:t>30–60 → Moderate</w:t>
      </w:r>
    </w:p>
    <w:p w14:paraId="05315C6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60–80 → Strong</w:t>
      </w:r>
    </w:p>
    <w:p w14:paraId="51B18546"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80–100 → Very Strong</w:t>
      </w:r>
    </w:p>
    <w:p w14:paraId="2252A353"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7145146B">
          <v:rect id="_x0000_i1416" style="width:0;height:1.5pt" o:hralign="center" o:hrstd="t" o:hr="t" fillcolor="#a0a0a0" stroked="f"/>
        </w:pict>
      </w:r>
    </w:p>
    <w:p w14:paraId="57507946"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9. Dual Trend Chart</w:t>
      </w:r>
    </w:p>
    <w:p w14:paraId="45494F44"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Chart Type</w:t>
      </w:r>
    </w:p>
    <w:p w14:paraId="2872BF91"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Dual Line</w:t>
      </w:r>
    </w:p>
    <w:p w14:paraId="552BEBA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Line 1</w:t>
      </w:r>
    </w:p>
    <w:p w14:paraId="10FD291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Max Pain Strike</w:t>
      </w:r>
    </w:p>
    <w:p w14:paraId="5B1CFCC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Line 2</w:t>
      </w:r>
    </w:p>
    <w:p w14:paraId="021AB125"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Praxis Score</w:t>
      </w:r>
    </w:p>
    <w:p w14:paraId="550A9129"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History</w:t>
      </w:r>
    </w:p>
    <w:p w14:paraId="116FBEFF"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30 Trading Days</w:t>
      </w:r>
    </w:p>
    <w:p w14:paraId="06FEF2B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Update</w:t>
      </w:r>
    </w:p>
    <w:p w14:paraId="7DB2F5A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Every option chain refresh.</w:t>
      </w:r>
    </w:p>
    <w:p w14:paraId="5587F6D1"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022D3BC5">
          <v:rect id="_x0000_i1417" style="width:0;height:1.5pt" o:hralign="center" o:hrstd="t" o:hr="t" fillcolor="#a0a0a0" stroked="f"/>
        </w:pict>
      </w:r>
    </w:p>
    <w:p w14:paraId="5C148B43"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10. AI Insight Rules</w:t>
      </w:r>
    </w:p>
    <w:p w14:paraId="1B2F734B"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Spot Near Max Pain</w:t>
      </w:r>
    </w:p>
    <w:p w14:paraId="0666B195"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Explain that price is trading close to the Max Pain level, indicating balanced options positioning.</w:t>
      </w:r>
    </w:p>
    <w:p w14:paraId="2CB7507C"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Spot Moving Towards Max Pain</w:t>
      </w:r>
    </w:p>
    <w:p w14:paraId="0F977719"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Explain that expiry-related positioning may attract price toward the Max Pain strike.</w:t>
      </w:r>
    </w:p>
    <w:p w14:paraId="40C0A996"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Spot Moving Away</w:t>
      </w:r>
    </w:p>
    <w:p w14:paraId="3A36BF7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lastRenderedPageBreak/>
        <w:t>Explain that directional momentum is currently stronger than expiry positioning.</w:t>
      </w:r>
    </w:p>
    <w:p w14:paraId="615C78F2"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High OI at Max Pain</w:t>
      </w:r>
    </w:p>
    <w:p w14:paraId="3398BCA6"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Explain that institutional option writers are heavily concentrated around the Max Pain level.</w:t>
      </w:r>
    </w:p>
    <w:p w14:paraId="0589F2E4"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1C5AA173">
          <v:rect id="_x0000_i1418" style="width:0;height:1.5pt" o:hralign="center" o:hrstd="t" o:hr="t" fillcolor="#a0a0a0" stroked="f"/>
        </w:pict>
      </w:r>
    </w:p>
    <w:p w14:paraId="1837CC5A"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11. Why It Matters</w:t>
      </w:r>
    </w:p>
    <w:p w14:paraId="2FA76307" w14:textId="77777777" w:rsidR="00C80522" w:rsidRPr="00C80522" w:rsidRDefault="00C80522" w:rsidP="00C80522">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Identifies important expiry levels. </w:t>
      </w:r>
    </w:p>
    <w:p w14:paraId="438EBE36" w14:textId="77777777" w:rsidR="00C80522" w:rsidRPr="00C80522" w:rsidRDefault="00C80522" w:rsidP="00C80522">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Tracks institutional options positioning. </w:t>
      </w:r>
    </w:p>
    <w:p w14:paraId="56240012" w14:textId="77777777" w:rsidR="00C80522" w:rsidRPr="00C80522" w:rsidRDefault="00C80522" w:rsidP="00C80522">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Improves expiry-week analysis. </w:t>
      </w:r>
    </w:p>
    <w:p w14:paraId="3E23A64E" w14:textId="77777777" w:rsidR="00C80522" w:rsidRPr="00C80522" w:rsidRDefault="00C80522" w:rsidP="00C80522">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Complements Open Interest analysis. </w:t>
      </w:r>
    </w:p>
    <w:p w14:paraId="78AFCA29" w14:textId="77777777" w:rsidR="00C80522" w:rsidRPr="00C80522" w:rsidRDefault="00C80522" w:rsidP="00C80522">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Supports short-term market assessment. </w:t>
      </w:r>
    </w:p>
    <w:p w14:paraId="0AEB8035"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5BF08B0D">
          <v:rect id="_x0000_i1419" style="width:0;height:1.5pt" o:hralign="center" o:hrstd="t" o:hr="t" fillcolor="#a0a0a0" stroked="f"/>
        </w:pict>
      </w:r>
    </w:p>
    <w:p w14:paraId="07A227BB"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12. Trading Impact</w:t>
      </w:r>
    </w:p>
    <w:p w14:paraId="72DAE66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Intraday</w:t>
      </w:r>
    </w:p>
    <w:p w14:paraId="52C6FE5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Segoe UI Symbol" w:eastAsia="Times New Roman" w:hAnsi="Segoe UI Symbol" w:cs="Segoe UI Symbol"/>
          <w:sz w:val="24"/>
          <w:szCs w:val="24"/>
        </w:rPr>
        <w:t>★★★☆☆</w:t>
      </w:r>
    </w:p>
    <w:p w14:paraId="3717937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Swing Trading</w:t>
      </w:r>
    </w:p>
    <w:p w14:paraId="1E800F0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Segoe UI Symbol" w:eastAsia="Times New Roman" w:hAnsi="Segoe UI Symbol" w:cs="Segoe UI Symbol"/>
          <w:sz w:val="24"/>
          <w:szCs w:val="24"/>
        </w:rPr>
        <w:t>★★★☆☆</w:t>
      </w:r>
    </w:p>
    <w:p w14:paraId="31CC2846"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Positional Trading</w:t>
      </w:r>
    </w:p>
    <w:p w14:paraId="0031E4E4"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Segoe UI Symbol" w:eastAsia="Times New Roman" w:hAnsi="Segoe UI Symbol" w:cs="Segoe UI Symbol"/>
          <w:sz w:val="24"/>
          <w:szCs w:val="24"/>
        </w:rPr>
        <w:t>★★☆☆☆</w:t>
      </w:r>
    </w:p>
    <w:p w14:paraId="1526C20B"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Options Trading</w:t>
      </w:r>
    </w:p>
    <w:p w14:paraId="0AEED0DB"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Segoe UI Symbol" w:eastAsia="Times New Roman" w:hAnsi="Segoe UI Symbol" w:cs="Segoe UI Symbol"/>
          <w:sz w:val="24"/>
          <w:szCs w:val="24"/>
        </w:rPr>
        <w:t>★★★★★</w:t>
      </w:r>
    </w:p>
    <w:p w14:paraId="06CF0D87"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Best Use</w:t>
      </w:r>
    </w:p>
    <w:p w14:paraId="5046A0E8"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Expiry week positioning analysis.</w:t>
      </w:r>
    </w:p>
    <w:p w14:paraId="4097BE67"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Avoid Using Alone</w:t>
      </w:r>
    </w:p>
    <w:p w14:paraId="18704478"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Yes</w:t>
      </w:r>
    </w:p>
    <w:p w14:paraId="25FF7B46"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lastRenderedPageBreak/>
        <w:pict w14:anchorId="36134D23">
          <v:rect id="_x0000_i1420" style="width:0;height:1.5pt" o:hralign="center" o:hrstd="t" o:hr="t" fillcolor="#a0a0a0" stroked="f"/>
        </w:pict>
      </w:r>
    </w:p>
    <w:p w14:paraId="5528F170"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13. Supporting Indicators</w:t>
      </w:r>
    </w:p>
    <w:p w14:paraId="1EC33AB1" w14:textId="77777777" w:rsidR="00C80522" w:rsidRPr="00C80522" w:rsidRDefault="00C80522" w:rsidP="00C80522">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Total Call Open Interest </w:t>
      </w:r>
    </w:p>
    <w:p w14:paraId="42AF6C72" w14:textId="77777777" w:rsidR="00C80522" w:rsidRPr="00C80522" w:rsidRDefault="00C80522" w:rsidP="00C80522">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Total Put Open Interest </w:t>
      </w:r>
    </w:p>
    <w:p w14:paraId="5EE02A94" w14:textId="77777777" w:rsidR="00C80522" w:rsidRPr="00C80522" w:rsidRDefault="00C80522" w:rsidP="00C80522">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OI Change </w:t>
      </w:r>
    </w:p>
    <w:p w14:paraId="58CE4F73" w14:textId="77777777" w:rsidR="00C80522" w:rsidRPr="00C80522" w:rsidRDefault="00C80522" w:rsidP="00C80522">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PCR (OI) </w:t>
      </w:r>
    </w:p>
    <w:p w14:paraId="7DCAC6E4" w14:textId="77777777" w:rsidR="00C80522" w:rsidRPr="00C80522" w:rsidRDefault="00C80522" w:rsidP="00C80522">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ATM IV </w:t>
      </w:r>
    </w:p>
    <w:p w14:paraId="673D0A0B" w14:textId="77777777" w:rsidR="00C80522" w:rsidRPr="00C80522" w:rsidRDefault="00C80522" w:rsidP="00C80522">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India VIX </w:t>
      </w:r>
    </w:p>
    <w:p w14:paraId="2BB73385"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1D830245">
          <v:rect id="_x0000_i1421" style="width:0;height:1.5pt" o:hralign="center" o:hrstd="t" o:hr="t" fillcolor="#a0a0a0" stroked="f"/>
        </w:pict>
      </w:r>
    </w:p>
    <w:p w14:paraId="2E4041E5"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14. Metadata</w:t>
      </w:r>
    </w:p>
    <w:p w14:paraId="722CBA17"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Source</w:t>
      </w:r>
    </w:p>
    <w:p w14:paraId="38EC04A2"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NSE Option Chain / Upstox API</w:t>
      </w:r>
    </w:p>
    <w:p w14:paraId="517A937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Calculation</w:t>
      </w:r>
    </w:p>
    <w:p w14:paraId="66791E0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Backend</w:t>
      </w:r>
    </w:p>
    <w:p w14:paraId="4F825A98"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Updated</w:t>
      </w:r>
    </w:p>
    <w:p w14:paraId="56DA67D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Every Option Chain Refresh</w:t>
      </w:r>
    </w:p>
    <w:p w14:paraId="13CD744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proofErr w:type="spellStart"/>
      <w:r w:rsidRPr="00C80522">
        <w:rPr>
          <w:rFonts w:ascii="Times New Roman" w:eastAsia="Times New Roman" w:hAnsi="Times New Roman" w:cs="Times New Roman"/>
          <w:b/>
          <w:bCs/>
          <w:sz w:val="24"/>
          <w:szCs w:val="24"/>
        </w:rPr>
        <w:t>Timezone</w:t>
      </w:r>
      <w:proofErr w:type="spellEnd"/>
    </w:p>
    <w:p w14:paraId="4BF36A5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Asia/Kolkata</w:t>
      </w:r>
    </w:p>
    <w:p w14:paraId="54445B0F"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Storage</w:t>
      </w:r>
    </w:p>
    <w:p w14:paraId="5D663027"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Local Electron Database</w:t>
      </w:r>
    </w:p>
    <w:p w14:paraId="345242FA"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45FAE0A4">
          <v:rect id="_x0000_i1422" style="width:0;height:1.5pt" o:hralign="center" o:hrstd="t" o:hr="t" fillcolor="#a0a0a0" stroked="f"/>
        </w:pict>
      </w:r>
    </w:p>
    <w:p w14:paraId="52E03F7F"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15. Developer Notes</w:t>
      </w:r>
    </w:p>
    <w:p w14:paraId="7FF0BA55"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Store:</w:t>
      </w:r>
    </w:p>
    <w:p w14:paraId="51294EDB" w14:textId="77777777" w:rsidR="00C80522" w:rsidRPr="00C80522" w:rsidRDefault="00C80522" w:rsidP="00C80522">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Max Pain Strike </w:t>
      </w:r>
    </w:p>
    <w:p w14:paraId="38C30AB1" w14:textId="77777777" w:rsidR="00C80522" w:rsidRPr="00C80522" w:rsidRDefault="00C80522" w:rsidP="00C80522">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Spot Price </w:t>
      </w:r>
    </w:p>
    <w:p w14:paraId="2D7DE7B1" w14:textId="77777777" w:rsidR="00C80522" w:rsidRPr="00C80522" w:rsidRDefault="00C80522" w:rsidP="00C80522">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lastRenderedPageBreak/>
        <w:t xml:space="preserve">Distance from Max Pain </w:t>
      </w:r>
    </w:p>
    <w:p w14:paraId="522E3E67" w14:textId="77777777" w:rsidR="00C80522" w:rsidRPr="00C80522" w:rsidRDefault="00C80522" w:rsidP="00C80522">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Current Score </w:t>
      </w:r>
    </w:p>
    <w:p w14:paraId="531CCBBC" w14:textId="77777777" w:rsidR="00C80522" w:rsidRPr="00C80522" w:rsidRDefault="00C80522" w:rsidP="00C80522">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Confidence </w:t>
      </w:r>
    </w:p>
    <w:p w14:paraId="12C0CEBB" w14:textId="77777777" w:rsidR="00C80522" w:rsidRPr="00C80522" w:rsidRDefault="00C80522" w:rsidP="00C80522">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Last Updated </w:t>
      </w:r>
    </w:p>
    <w:p w14:paraId="09C790D6"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Recalculate after every option chain update. Maintain historical Max Pain levels to identify persistent institutional positioning. Increase update priority during the final week before expiry.</w:t>
      </w:r>
    </w:p>
    <w:p w14:paraId="480C1E5C"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4488C9AC">
          <v:rect id="_x0000_i1423" style="width:0;height:1.5pt" o:hralign="center" o:hrstd="t" o:hr="t" fillcolor="#a0a0a0" stroked="f"/>
        </w:pict>
      </w:r>
    </w:p>
    <w:p w14:paraId="13F5873E"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 xml:space="preserve">16. Praxis Engine Integration </w:t>
      </w:r>
      <w:r w:rsidRPr="00C80522">
        <w:rPr>
          <w:rFonts w:ascii="Segoe UI Emoji" w:eastAsia="Times New Roman" w:hAnsi="Segoe UI Emoji" w:cs="Segoe UI Emoji"/>
          <w:b/>
          <w:bCs/>
          <w:kern w:val="36"/>
          <w:sz w:val="48"/>
          <w:szCs w:val="48"/>
        </w:rPr>
        <w:t>⭐</w:t>
      </w:r>
    </w:p>
    <w:p w14:paraId="4D520481"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Engine Weight</w:t>
      </w:r>
    </w:p>
    <w:p w14:paraId="5E839E6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Configurable</w:t>
      </w:r>
    </w:p>
    <w:p w14:paraId="7A61CC6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Relative Importance</w:t>
      </w:r>
    </w:p>
    <w:p w14:paraId="14EC9C7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Very High</w:t>
      </w:r>
    </w:p>
    <w:p w14:paraId="543A2D8F"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Decision Engine Role</w:t>
      </w:r>
    </w:p>
    <w:p w14:paraId="56F29B9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Expiry Positioning Assessment</w:t>
      </w:r>
    </w:p>
    <w:p w14:paraId="3448DFFB"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Primary Use</w:t>
      </w:r>
    </w:p>
    <w:p w14:paraId="6AC56304"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Identify the strike price where options market positioning is most balanced.</w:t>
      </w:r>
    </w:p>
    <w:p w14:paraId="3174918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Bullish Confirmation</w:t>
      </w:r>
    </w:p>
    <w:p w14:paraId="6000CD39" w14:textId="77777777" w:rsidR="00C80522" w:rsidRPr="00C80522" w:rsidRDefault="00C80522" w:rsidP="00C80522">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Spot moving toward Max Pain </w:t>
      </w:r>
    </w:p>
    <w:p w14:paraId="19CDFF57" w14:textId="77777777" w:rsidR="00C80522" w:rsidRPr="00C80522" w:rsidRDefault="00C80522" w:rsidP="00C80522">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Bullish PCR </w:t>
      </w:r>
    </w:p>
    <w:p w14:paraId="0EC97B35" w14:textId="77777777" w:rsidR="00C80522" w:rsidRPr="00C80522" w:rsidRDefault="00C80522" w:rsidP="00C80522">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Long Build-up </w:t>
      </w:r>
    </w:p>
    <w:p w14:paraId="6288687C"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Bearish Confirmation</w:t>
      </w:r>
    </w:p>
    <w:p w14:paraId="261D3AC9" w14:textId="77777777" w:rsidR="00C80522" w:rsidRPr="00C80522" w:rsidRDefault="00C80522" w:rsidP="00C80522">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Spot moving away from Max Pain </w:t>
      </w:r>
    </w:p>
    <w:p w14:paraId="4A64ED69" w14:textId="77777777" w:rsidR="00C80522" w:rsidRPr="00C80522" w:rsidRDefault="00C80522" w:rsidP="00C80522">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Short Build-up </w:t>
      </w:r>
    </w:p>
    <w:p w14:paraId="1CF4BE6C" w14:textId="77777777" w:rsidR="00C80522" w:rsidRPr="00C80522" w:rsidRDefault="00C80522" w:rsidP="00C80522">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Rising Call OI </w:t>
      </w:r>
    </w:p>
    <w:p w14:paraId="7439F09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Display Priority</w:t>
      </w:r>
    </w:p>
    <w:p w14:paraId="6DCF3235"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Highest</w:t>
      </w:r>
    </w:p>
    <w:p w14:paraId="40C6105E"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4EAD9A02">
          <v:rect id="_x0000_i1424" style="width:0;height:1.5pt" o:hralign="center" o:hrstd="t" o:hr="t" fillcolor="#a0a0a0" stroked="f"/>
        </w:pict>
      </w:r>
    </w:p>
    <w:p w14:paraId="096EBC65"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lastRenderedPageBreak/>
        <w:t>17. Praxis Recommendation</w:t>
      </w:r>
    </w:p>
    <w:p w14:paraId="783E24C9"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Max Pain should serve as the </w:t>
      </w:r>
      <w:r w:rsidRPr="00C80522">
        <w:rPr>
          <w:rFonts w:ascii="Times New Roman" w:eastAsia="Times New Roman" w:hAnsi="Times New Roman" w:cs="Times New Roman"/>
          <w:b/>
          <w:bCs/>
          <w:sz w:val="24"/>
          <w:szCs w:val="24"/>
        </w:rPr>
        <w:t>primary expiry positioning indicator</w:t>
      </w:r>
      <w:r w:rsidRPr="00C80522">
        <w:rPr>
          <w:rFonts w:ascii="Times New Roman" w:eastAsia="Times New Roman" w:hAnsi="Times New Roman" w:cs="Times New Roman"/>
          <w:sz w:val="24"/>
          <w:szCs w:val="24"/>
        </w:rPr>
        <w:t xml:space="preserve"> within the Market Positioning category.</w:t>
      </w:r>
    </w:p>
    <w:p w14:paraId="031638C5"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Market Positioning Hierarchy</w:t>
      </w:r>
    </w:p>
    <w:p w14:paraId="068C99E3" w14:textId="77777777" w:rsidR="00C80522" w:rsidRPr="00C80522" w:rsidRDefault="00C80522" w:rsidP="00C80522">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C80522">
        <w:rPr>
          <w:rFonts w:ascii="Segoe UI Emoji" w:eastAsia="Times New Roman" w:hAnsi="Segoe UI Emoji" w:cs="Segoe UI Emoji"/>
          <w:sz w:val="24"/>
          <w:szCs w:val="24"/>
        </w:rPr>
        <w:t>⭐⭐⭐⭐⭐</w:t>
      </w:r>
      <w:r w:rsidRPr="00C80522">
        <w:rPr>
          <w:rFonts w:ascii="Times New Roman" w:eastAsia="Times New Roman" w:hAnsi="Times New Roman" w:cs="Times New Roman"/>
          <w:sz w:val="24"/>
          <w:szCs w:val="24"/>
        </w:rPr>
        <w:t xml:space="preserve"> Max Pain </w:t>
      </w:r>
    </w:p>
    <w:p w14:paraId="5AF85569"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Engine Rules</w:t>
      </w:r>
    </w:p>
    <w:p w14:paraId="03F1739B" w14:textId="77777777" w:rsidR="00C80522" w:rsidRPr="00C80522" w:rsidRDefault="00C80522" w:rsidP="00C80522">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Spot approaching Max Pain during expiry week → Increase confidence in market equilibrium. </w:t>
      </w:r>
    </w:p>
    <w:p w14:paraId="60ECBD06" w14:textId="77777777" w:rsidR="00C80522" w:rsidRPr="00C80522" w:rsidRDefault="00C80522" w:rsidP="00C80522">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Spot moving sharply away from Max Pain + Strong OI Build-up → Increase trend continuation probability. </w:t>
      </w:r>
    </w:p>
    <w:p w14:paraId="751C8676" w14:textId="77777777" w:rsidR="00C80522" w:rsidRPr="00C80522" w:rsidRDefault="00C80522" w:rsidP="00C80522">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High Open Interest concentration at Max Pain → Strengthen Options Score. </w:t>
      </w:r>
    </w:p>
    <w:p w14:paraId="625F63A9" w14:textId="4B9606D8" w:rsidR="00C80522" w:rsidRDefault="00C80522" w:rsidP="00C80522">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Always evaluate Max Pain together with PCR, Open Interest, and OI Change before generating high-confidence expiry signals.</w:t>
      </w:r>
    </w:p>
    <w:p w14:paraId="55916BED" w14:textId="46B1B6DE"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2AC14A20" w14:textId="5445818B"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09879C1F" w14:textId="327D16F2"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03E618E9" w14:textId="2D5651B3"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63891C90" w14:textId="1E19A6AB"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591BA63E" w14:textId="14C5743D"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76090839" w14:textId="538D5829"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707BF4A2" w14:textId="5E64DF97"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5EE27DB1" w14:textId="31FCE756"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4E43A7A2" w14:textId="1482C014"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770F8B04" w14:textId="2A550ACC"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1B8BEEC8" w14:textId="62542ABF"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51F8D526" w14:textId="77777777" w:rsidR="00A5115D" w:rsidRPr="00C80522"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459CC922" w14:textId="186A725A" w:rsidR="00C80522" w:rsidRPr="00C80522" w:rsidRDefault="00A5115D" w:rsidP="00C80522">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Pr>
          <w:rFonts w:ascii="Times New Roman" w:eastAsia="Times New Roman" w:hAnsi="Times New Roman" w:cs="Times New Roman"/>
          <w:b/>
          <w:bCs/>
          <w:color w:val="FF0000"/>
          <w:kern w:val="36"/>
          <w:sz w:val="48"/>
          <w:szCs w:val="48"/>
        </w:rPr>
        <w:lastRenderedPageBreak/>
        <w:t>$</w:t>
      </w:r>
      <w:r w:rsidR="00C80522" w:rsidRPr="00C80522">
        <w:rPr>
          <w:rFonts w:ascii="Times New Roman" w:eastAsia="Times New Roman" w:hAnsi="Times New Roman" w:cs="Times New Roman"/>
          <w:b/>
          <w:bCs/>
          <w:color w:val="FF0000"/>
          <w:kern w:val="36"/>
          <w:sz w:val="48"/>
          <w:szCs w:val="48"/>
        </w:rPr>
        <w:t>. Options Score Engine</w:t>
      </w:r>
    </w:p>
    <w:p w14:paraId="2ADCF34C"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Module:</w:t>
      </w:r>
      <w:r w:rsidRPr="00C80522">
        <w:rPr>
          <w:rFonts w:ascii="Times New Roman" w:eastAsia="Times New Roman" w:hAnsi="Times New Roman" w:cs="Times New Roman"/>
          <w:sz w:val="24"/>
          <w:szCs w:val="24"/>
        </w:rPr>
        <w:t xml:space="preserve"> Options</w:t>
      </w:r>
      <w:r w:rsidRPr="00C80522">
        <w:rPr>
          <w:rFonts w:ascii="Times New Roman" w:eastAsia="Times New Roman" w:hAnsi="Times New Roman" w:cs="Times New Roman"/>
          <w:sz w:val="24"/>
          <w:szCs w:val="24"/>
        </w:rPr>
        <w:br/>
      </w:r>
      <w:r w:rsidRPr="00C80522">
        <w:rPr>
          <w:rFonts w:ascii="Times New Roman" w:eastAsia="Times New Roman" w:hAnsi="Times New Roman" w:cs="Times New Roman"/>
          <w:b/>
          <w:bCs/>
          <w:sz w:val="24"/>
          <w:szCs w:val="24"/>
        </w:rPr>
        <w:t>Category:</w:t>
      </w:r>
      <w:r w:rsidRPr="00C80522">
        <w:rPr>
          <w:rFonts w:ascii="Times New Roman" w:eastAsia="Times New Roman" w:hAnsi="Times New Roman" w:cs="Times New Roman"/>
          <w:sz w:val="24"/>
          <w:szCs w:val="24"/>
        </w:rPr>
        <w:t xml:space="preserve"> Score Engine</w:t>
      </w:r>
      <w:r w:rsidRPr="00C80522">
        <w:rPr>
          <w:rFonts w:ascii="Times New Roman" w:eastAsia="Times New Roman" w:hAnsi="Times New Roman" w:cs="Times New Roman"/>
          <w:sz w:val="24"/>
          <w:szCs w:val="24"/>
        </w:rPr>
        <w:br/>
      </w:r>
      <w:r w:rsidRPr="00C80522">
        <w:rPr>
          <w:rFonts w:ascii="Times New Roman" w:eastAsia="Times New Roman" w:hAnsi="Times New Roman" w:cs="Times New Roman"/>
          <w:b/>
          <w:bCs/>
          <w:sz w:val="24"/>
          <w:szCs w:val="24"/>
        </w:rPr>
        <w:t>Status:</w:t>
      </w:r>
      <w:r w:rsidRPr="00C80522">
        <w:rPr>
          <w:rFonts w:ascii="Times New Roman" w:eastAsia="Times New Roman" w:hAnsi="Times New Roman" w:cs="Times New Roman"/>
          <w:sz w:val="24"/>
          <w:szCs w:val="24"/>
        </w:rPr>
        <w:t xml:space="preserve"> Production Ready</w:t>
      </w:r>
    </w:p>
    <w:p w14:paraId="796E6B32" w14:textId="77777777" w:rsidR="00C80522" w:rsidRPr="00C80522" w:rsidRDefault="00C80522" w:rsidP="00C80522">
      <w:pPr>
        <w:spacing w:before="100" w:beforeAutospacing="1" w:after="100" w:afterAutospacing="1" w:line="240" w:lineRule="auto"/>
        <w:outlineLvl w:val="1"/>
        <w:rPr>
          <w:rFonts w:ascii="Times New Roman" w:eastAsia="Times New Roman" w:hAnsi="Times New Roman" w:cs="Times New Roman"/>
          <w:b/>
          <w:bCs/>
          <w:sz w:val="36"/>
          <w:szCs w:val="36"/>
        </w:rPr>
      </w:pPr>
      <w:r w:rsidRPr="00C80522">
        <w:rPr>
          <w:rFonts w:ascii="Times New Roman" w:eastAsia="Times New Roman" w:hAnsi="Times New Roman" w:cs="Times New Roman"/>
          <w:b/>
          <w:bCs/>
          <w:sz w:val="36"/>
          <w:szCs w:val="36"/>
        </w:rPr>
        <w:t>1. Overview</w:t>
      </w:r>
    </w:p>
    <w:p w14:paraId="1C134D09"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Name:</w:t>
      </w:r>
      <w:r w:rsidRPr="00C80522">
        <w:rPr>
          <w:rFonts w:ascii="Times New Roman" w:eastAsia="Times New Roman" w:hAnsi="Times New Roman" w:cs="Times New Roman"/>
          <w:sz w:val="24"/>
          <w:szCs w:val="24"/>
        </w:rPr>
        <w:t xml:space="preserve"> Options Score Engine</w:t>
      </w:r>
    </w:p>
    <w:p w14:paraId="2B7F0D17"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Short Name:</w:t>
      </w:r>
      <w:r w:rsidRPr="00C80522">
        <w:rPr>
          <w:rFonts w:ascii="Times New Roman" w:eastAsia="Times New Roman" w:hAnsi="Times New Roman" w:cs="Times New Roman"/>
          <w:sz w:val="24"/>
          <w:szCs w:val="24"/>
        </w:rPr>
        <w:t xml:space="preserve"> Options Engine</w:t>
      </w:r>
    </w:p>
    <w:p w14:paraId="4425F562"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Module:</w:t>
      </w:r>
      <w:r w:rsidRPr="00C80522">
        <w:rPr>
          <w:rFonts w:ascii="Times New Roman" w:eastAsia="Times New Roman" w:hAnsi="Times New Roman" w:cs="Times New Roman"/>
          <w:sz w:val="24"/>
          <w:szCs w:val="24"/>
        </w:rPr>
        <w:t xml:space="preserve"> Options</w:t>
      </w:r>
    </w:p>
    <w:p w14:paraId="7F439C1F"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Category:</w:t>
      </w:r>
      <w:r w:rsidRPr="00C80522">
        <w:rPr>
          <w:rFonts w:ascii="Times New Roman" w:eastAsia="Times New Roman" w:hAnsi="Times New Roman" w:cs="Times New Roman"/>
          <w:sz w:val="24"/>
          <w:szCs w:val="24"/>
        </w:rPr>
        <w:t xml:space="preserve"> Score Engine</w:t>
      </w:r>
    </w:p>
    <w:p w14:paraId="5FC9443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Purpose:</w:t>
      </w:r>
    </w:p>
    <w:p w14:paraId="474A4AF1"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Aggregates all Options indicators into a single </w:t>
      </w:r>
      <w:r w:rsidRPr="00C80522">
        <w:rPr>
          <w:rFonts w:ascii="Times New Roman" w:eastAsia="Times New Roman" w:hAnsi="Times New Roman" w:cs="Times New Roman"/>
          <w:b/>
          <w:bCs/>
          <w:sz w:val="24"/>
          <w:szCs w:val="24"/>
        </w:rPr>
        <w:t>Options Score (0–100)</w:t>
      </w:r>
      <w:r w:rsidRPr="00C80522">
        <w:rPr>
          <w:rFonts w:ascii="Times New Roman" w:eastAsia="Times New Roman" w:hAnsi="Times New Roman" w:cs="Times New Roman"/>
          <w:sz w:val="24"/>
          <w:szCs w:val="24"/>
        </w:rPr>
        <w:t xml:space="preserve"> representing market positioning, sentiment, volatility, and options-based directional strength.</w:t>
      </w:r>
    </w:p>
    <w:p w14:paraId="0829E768"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Based On:</w:t>
      </w:r>
    </w:p>
    <w:p w14:paraId="4A9F2AD1"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Weighted average of all Options indicators.</w:t>
      </w:r>
    </w:p>
    <w:p w14:paraId="573A69F1"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Importance:</w:t>
      </w:r>
    </w:p>
    <w:p w14:paraId="76FF3078"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Segoe UI Emoji" w:eastAsia="Times New Roman" w:hAnsi="Segoe UI Emoji" w:cs="Segoe UI Emoji"/>
          <w:sz w:val="24"/>
          <w:szCs w:val="24"/>
        </w:rPr>
        <w:t>⭐⭐⭐⭐⭐</w:t>
      </w:r>
      <w:r w:rsidRPr="00C80522">
        <w:rPr>
          <w:rFonts w:ascii="Times New Roman" w:eastAsia="Times New Roman" w:hAnsi="Times New Roman" w:cs="Times New Roman"/>
          <w:sz w:val="24"/>
          <w:szCs w:val="24"/>
        </w:rPr>
        <w:t xml:space="preserve"> (Core Engine)</w:t>
      </w:r>
    </w:p>
    <w:p w14:paraId="36F35757"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Auto / Manual:</w:t>
      </w:r>
    </w:p>
    <w:p w14:paraId="306A863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Automatic</w:t>
      </w:r>
    </w:p>
    <w:p w14:paraId="01AC9FA4"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Update Frequency:</w:t>
      </w:r>
    </w:p>
    <w:p w14:paraId="56750302"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Every Option Chain Refresh</w:t>
      </w:r>
    </w:p>
    <w:p w14:paraId="620158E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Praxis Note:</w:t>
      </w:r>
    </w:p>
    <w:p w14:paraId="68BCFD25"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The Options Engine does </w:t>
      </w:r>
      <w:r w:rsidRPr="00C80522">
        <w:rPr>
          <w:rFonts w:ascii="Times New Roman" w:eastAsia="Times New Roman" w:hAnsi="Times New Roman" w:cs="Times New Roman"/>
          <w:b/>
          <w:bCs/>
          <w:sz w:val="24"/>
          <w:szCs w:val="24"/>
        </w:rPr>
        <w:t>not calculate individual indicators</w:t>
      </w:r>
      <w:r w:rsidRPr="00C80522">
        <w:rPr>
          <w:rFonts w:ascii="Times New Roman" w:eastAsia="Times New Roman" w:hAnsi="Times New Roman" w:cs="Times New Roman"/>
          <w:sz w:val="24"/>
          <w:szCs w:val="24"/>
        </w:rPr>
        <w:t>. It consumes the outputs (Score, Bias, Confidence) from each Options indicator and produces the overall Options Score.</w:t>
      </w:r>
    </w:p>
    <w:p w14:paraId="3548631D"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55FB95B4">
          <v:rect id="_x0000_i1441" style="width:0;height:1.5pt" o:hralign="center" o:hrstd="t" o:hr="t" fillcolor="#a0a0a0" stroked="f"/>
        </w:pict>
      </w:r>
    </w:p>
    <w:p w14:paraId="350F0DE0"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lastRenderedPageBreak/>
        <w:t>2. Data Requirements</w:t>
      </w:r>
    </w:p>
    <w:p w14:paraId="1D942903"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Open Interest</w:t>
      </w:r>
    </w:p>
    <w:p w14:paraId="57F61B60" w14:textId="77777777" w:rsidR="00C80522" w:rsidRPr="00C80522" w:rsidRDefault="00C80522" w:rsidP="00C80522">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Total Call Open Interest </w:t>
      </w:r>
    </w:p>
    <w:p w14:paraId="17851010" w14:textId="77777777" w:rsidR="00C80522" w:rsidRPr="00C80522" w:rsidRDefault="00C80522" w:rsidP="00C80522">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Total Put Open Interest </w:t>
      </w:r>
    </w:p>
    <w:p w14:paraId="66C5F5A6" w14:textId="77777777" w:rsidR="00C80522" w:rsidRPr="00C80522" w:rsidRDefault="00C80522" w:rsidP="00C80522">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Open Interest Change </w:t>
      </w:r>
    </w:p>
    <w:p w14:paraId="536DD837"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Put-Call Ratio</w:t>
      </w:r>
    </w:p>
    <w:p w14:paraId="380C99F0" w14:textId="77777777" w:rsidR="00C80522" w:rsidRPr="00C80522" w:rsidRDefault="00C80522" w:rsidP="00C80522">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PCR (OI) </w:t>
      </w:r>
    </w:p>
    <w:p w14:paraId="567A4B80" w14:textId="77777777" w:rsidR="00C80522" w:rsidRPr="00C80522" w:rsidRDefault="00C80522" w:rsidP="00C80522">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PCR (Volume) </w:t>
      </w:r>
    </w:p>
    <w:p w14:paraId="2CAF59FF"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Implied Volatility</w:t>
      </w:r>
    </w:p>
    <w:p w14:paraId="5E1C6613" w14:textId="77777777" w:rsidR="00C80522" w:rsidRPr="00C80522" w:rsidRDefault="00C80522" w:rsidP="00C80522">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ATM IV </w:t>
      </w:r>
    </w:p>
    <w:p w14:paraId="0284C9F6" w14:textId="77777777" w:rsidR="00C80522" w:rsidRPr="00C80522" w:rsidRDefault="00C80522" w:rsidP="00C80522">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IV Rank </w:t>
      </w:r>
    </w:p>
    <w:p w14:paraId="3B449ACA" w14:textId="77777777" w:rsidR="00C80522" w:rsidRPr="00C80522" w:rsidRDefault="00C80522" w:rsidP="00C80522">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IV Percentile </w:t>
      </w:r>
    </w:p>
    <w:p w14:paraId="51F3089B"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Greeks</w:t>
      </w:r>
    </w:p>
    <w:p w14:paraId="739E0F40" w14:textId="77777777" w:rsidR="00C80522" w:rsidRPr="00C80522" w:rsidRDefault="00C80522" w:rsidP="00C80522">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Delta </w:t>
      </w:r>
    </w:p>
    <w:p w14:paraId="11BC0E80" w14:textId="77777777" w:rsidR="00C80522" w:rsidRPr="00C80522" w:rsidRDefault="00C80522" w:rsidP="00C80522">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Gamma </w:t>
      </w:r>
    </w:p>
    <w:p w14:paraId="76850EE7" w14:textId="77777777" w:rsidR="00C80522" w:rsidRPr="00C80522" w:rsidRDefault="00C80522" w:rsidP="00C80522">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Theta </w:t>
      </w:r>
    </w:p>
    <w:p w14:paraId="69999BEB" w14:textId="77777777" w:rsidR="00C80522" w:rsidRPr="00C80522" w:rsidRDefault="00C80522" w:rsidP="00C80522">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Vega </w:t>
      </w:r>
    </w:p>
    <w:p w14:paraId="44FF64B5"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Market Positioning</w:t>
      </w:r>
    </w:p>
    <w:p w14:paraId="14C74188" w14:textId="77777777" w:rsidR="00C80522" w:rsidRPr="00C80522" w:rsidRDefault="00C80522" w:rsidP="00C80522">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Max Pain </w:t>
      </w:r>
    </w:p>
    <w:p w14:paraId="3B29C6B6"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2FAB0F35">
          <v:rect id="_x0000_i1442" style="width:0;height:1.5pt" o:hralign="center" o:hrstd="t" o:hr="t" fillcolor="#a0a0a0" stroked="f"/>
        </w:pict>
      </w:r>
    </w:p>
    <w:p w14:paraId="4CB918D2"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3. Industry Standard Calculation</w:t>
      </w:r>
    </w:p>
    <w:p w14:paraId="73FA0EEC"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Category Score</w:t>
      </w:r>
    </w:p>
    <w:p w14:paraId="5B1B5D62" w14:textId="77777777" w:rsidR="00C80522" w:rsidRPr="00C80522" w:rsidRDefault="00C80522" w:rsidP="00C80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0522">
        <w:rPr>
          <w:rFonts w:ascii="Courier New" w:eastAsia="Times New Roman" w:hAnsi="Courier New" w:cs="Courier New"/>
          <w:sz w:val="20"/>
          <w:szCs w:val="20"/>
        </w:rPr>
        <w:t>Category Score =</w:t>
      </w:r>
    </w:p>
    <w:p w14:paraId="43DA56F0" w14:textId="77777777" w:rsidR="00C80522" w:rsidRPr="00C80522" w:rsidRDefault="00C80522" w:rsidP="00C80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0522">
        <w:rPr>
          <w:rFonts w:ascii="Courier New" w:eastAsia="Times New Roman" w:hAnsi="Courier New" w:cs="Courier New"/>
          <w:sz w:val="20"/>
          <w:szCs w:val="20"/>
        </w:rPr>
        <w:t>Weighted Average of Indicators</w:t>
      </w:r>
    </w:p>
    <w:p w14:paraId="2A4602F7"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Final Options Score</w:t>
      </w:r>
    </w:p>
    <w:p w14:paraId="5AEC8609" w14:textId="77777777" w:rsidR="00C80522" w:rsidRPr="00C80522" w:rsidRDefault="00C80522" w:rsidP="00C80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0522">
        <w:rPr>
          <w:rFonts w:ascii="Courier New" w:eastAsia="Times New Roman" w:hAnsi="Courier New" w:cs="Courier New"/>
          <w:sz w:val="20"/>
          <w:szCs w:val="20"/>
        </w:rPr>
        <w:t>Options Score =</w:t>
      </w:r>
    </w:p>
    <w:p w14:paraId="3EDEEBF9" w14:textId="77777777" w:rsidR="00C80522" w:rsidRPr="00C80522" w:rsidRDefault="00C80522" w:rsidP="00C80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80522">
        <w:rPr>
          <w:rFonts w:ascii="Courier New" w:eastAsia="Times New Roman" w:hAnsi="Courier New" w:cs="Courier New"/>
          <w:sz w:val="20"/>
          <w:szCs w:val="20"/>
        </w:rPr>
        <w:t>Weighted Average of Category Scores</w:t>
      </w:r>
    </w:p>
    <w:p w14:paraId="090F8E18"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lastRenderedPageBreak/>
        <w:t>Default Category Weights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822"/>
      </w:tblGrid>
      <w:tr w:rsidR="00C80522" w:rsidRPr="00C80522" w14:paraId="33765710" w14:textId="77777777" w:rsidTr="00C80522">
        <w:trPr>
          <w:tblHeader/>
          <w:tblCellSpacing w:w="15" w:type="dxa"/>
        </w:trPr>
        <w:tc>
          <w:tcPr>
            <w:tcW w:w="0" w:type="auto"/>
            <w:vAlign w:val="center"/>
            <w:hideMark/>
          </w:tcPr>
          <w:p w14:paraId="34CAF201" w14:textId="77777777" w:rsidR="00C80522" w:rsidRPr="00C80522" w:rsidRDefault="00C80522" w:rsidP="00C80522">
            <w:pPr>
              <w:spacing w:after="0" w:line="240" w:lineRule="auto"/>
              <w:jc w:val="center"/>
              <w:rPr>
                <w:rFonts w:ascii="Times New Roman" w:eastAsia="Times New Roman" w:hAnsi="Times New Roman" w:cs="Times New Roman"/>
                <w:b/>
                <w:bCs/>
                <w:sz w:val="24"/>
                <w:szCs w:val="24"/>
              </w:rPr>
            </w:pPr>
            <w:r w:rsidRPr="00C80522">
              <w:rPr>
                <w:rFonts w:ascii="Times New Roman" w:eastAsia="Times New Roman" w:hAnsi="Times New Roman" w:cs="Times New Roman"/>
                <w:b/>
                <w:bCs/>
                <w:sz w:val="24"/>
                <w:szCs w:val="24"/>
              </w:rPr>
              <w:t>Category</w:t>
            </w:r>
          </w:p>
        </w:tc>
        <w:tc>
          <w:tcPr>
            <w:tcW w:w="0" w:type="auto"/>
            <w:vAlign w:val="center"/>
            <w:hideMark/>
          </w:tcPr>
          <w:p w14:paraId="68B2EE8C" w14:textId="77777777" w:rsidR="00C80522" w:rsidRPr="00C80522" w:rsidRDefault="00C80522" w:rsidP="00C80522">
            <w:pPr>
              <w:spacing w:after="0" w:line="240" w:lineRule="auto"/>
              <w:jc w:val="center"/>
              <w:rPr>
                <w:rFonts w:ascii="Times New Roman" w:eastAsia="Times New Roman" w:hAnsi="Times New Roman" w:cs="Times New Roman"/>
                <w:b/>
                <w:bCs/>
                <w:sz w:val="24"/>
                <w:szCs w:val="24"/>
              </w:rPr>
            </w:pPr>
            <w:r w:rsidRPr="00C80522">
              <w:rPr>
                <w:rFonts w:ascii="Times New Roman" w:eastAsia="Times New Roman" w:hAnsi="Times New Roman" w:cs="Times New Roman"/>
                <w:b/>
                <w:bCs/>
                <w:sz w:val="24"/>
                <w:szCs w:val="24"/>
              </w:rPr>
              <w:t>Weight</w:t>
            </w:r>
          </w:p>
        </w:tc>
      </w:tr>
      <w:tr w:rsidR="00C80522" w:rsidRPr="00C80522" w14:paraId="57913A8D" w14:textId="77777777" w:rsidTr="00C80522">
        <w:trPr>
          <w:tblCellSpacing w:w="15" w:type="dxa"/>
        </w:trPr>
        <w:tc>
          <w:tcPr>
            <w:tcW w:w="0" w:type="auto"/>
            <w:vAlign w:val="center"/>
            <w:hideMark/>
          </w:tcPr>
          <w:p w14:paraId="5DF6D15C"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Open Interest</w:t>
            </w:r>
          </w:p>
        </w:tc>
        <w:tc>
          <w:tcPr>
            <w:tcW w:w="0" w:type="auto"/>
            <w:vAlign w:val="center"/>
            <w:hideMark/>
          </w:tcPr>
          <w:p w14:paraId="60CA9A60"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30%</w:t>
            </w:r>
          </w:p>
        </w:tc>
      </w:tr>
      <w:tr w:rsidR="00C80522" w:rsidRPr="00C80522" w14:paraId="16709D4A" w14:textId="77777777" w:rsidTr="00C80522">
        <w:trPr>
          <w:tblCellSpacing w:w="15" w:type="dxa"/>
        </w:trPr>
        <w:tc>
          <w:tcPr>
            <w:tcW w:w="0" w:type="auto"/>
            <w:vAlign w:val="center"/>
            <w:hideMark/>
          </w:tcPr>
          <w:p w14:paraId="79801FB7"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Put-Call Ratio</w:t>
            </w:r>
          </w:p>
        </w:tc>
        <w:tc>
          <w:tcPr>
            <w:tcW w:w="0" w:type="auto"/>
            <w:vAlign w:val="center"/>
            <w:hideMark/>
          </w:tcPr>
          <w:p w14:paraId="434DB048"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20%</w:t>
            </w:r>
          </w:p>
        </w:tc>
      </w:tr>
      <w:tr w:rsidR="00C80522" w:rsidRPr="00C80522" w14:paraId="422330CC" w14:textId="77777777" w:rsidTr="00C80522">
        <w:trPr>
          <w:tblCellSpacing w:w="15" w:type="dxa"/>
        </w:trPr>
        <w:tc>
          <w:tcPr>
            <w:tcW w:w="0" w:type="auto"/>
            <w:vAlign w:val="center"/>
            <w:hideMark/>
          </w:tcPr>
          <w:p w14:paraId="794EDF45"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Implied Volatility</w:t>
            </w:r>
          </w:p>
        </w:tc>
        <w:tc>
          <w:tcPr>
            <w:tcW w:w="0" w:type="auto"/>
            <w:vAlign w:val="center"/>
            <w:hideMark/>
          </w:tcPr>
          <w:p w14:paraId="61D84D87"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20%</w:t>
            </w:r>
          </w:p>
        </w:tc>
      </w:tr>
      <w:tr w:rsidR="00C80522" w:rsidRPr="00C80522" w14:paraId="0DE50F82" w14:textId="77777777" w:rsidTr="00C80522">
        <w:trPr>
          <w:tblCellSpacing w:w="15" w:type="dxa"/>
        </w:trPr>
        <w:tc>
          <w:tcPr>
            <w:tcW w:w="0" w:type="auto"/>
            <w:vAlign w:val="center"/>
            <w:hideMark/>
          </w:tcPr>
          <w:p w14:paraId="5B13EC82"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Greeks</w:t>
            </w:r>
          </w:p>
        </w:tc>
        <w:tc>
          <w:tcPr>
            <w:tcW w:w="0" w:type="auto"/>
            <w:vAlign w:val="center"/>
            <w:hideMark/>
          </w:tcPr>
          <w:p w14:paraId="26650E5F"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20%</w:t>
            </w:r>
          </w:p>
        </w:tc>
      </w:tr>
      <w:tr w:rsidR="00C80522" w:rsidRPr="00C80522" w14:paraId="76B6CB4A" w14:textId="77777777" w:rsidTr="00C80522">
        <w:trPr>
          <w:tblCellSpacing w:w="15" w:type="dxa"/>
        </w:trPr>
        <w:tc>
          <w:tcPr>
            <w:tcW w:w="0" w:type="auto"/>
            <w:vAlign w:val="center"/>
            <w:hideMark/>
          </w:tcPr>
          <w:p w14:paraId="27909C29"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Market Positioning</w:t>
            </w:r>
          </w:p>
        </w:tc>
        <w:tc>
          <w:tcPr>
            <w:tcW w:w="0" w:type="auto"/>
            <w:vAlign w:val="center"/>
            <w:hideMark/>
          </w:tcPr>
          <w:p w14:paraId="71C391A1"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10%</w:t>
            </w:r>
          </w:p>
        </w:tc>
      </w:tr>
    </w:tbl>
    <w:p w14:paraId="5DA1D52F"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Implementation Steps</w:t>
      </w:r>
    </w:p>
    <w:p w14:paraId="247C5D4B" w14:textId="77777777" w:rsidR="00C80522" w:rsidRPr="00C80522" w:rsidRDefault="00C80522" w:rsidP="00C80522">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Collect all Options indicator scores. </w:t>
      </w:r>
    </w:p>
    <w:p w14:paraId="5213CB54" w14:textId="77777777" w:rsidR="00C80522" w:rsidRPr="00C80522" w:rsidRDefault="00C80522" w:rsidP="00C80522">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Calculate each category score. </w:t>
      </w:r>
    </w:p>
    <w:p w14:paraId="5C6C417C" w14:textId="77777777" w:rsidR="00C80522" w:rsidRPr="00C80522" w:rsidRDefault="00C80522" w:rsidP="00C80522">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Apply category weights. </w:t>
      </w:r>
    </w:p>
    <w:p w14:paraId="4019286F" w14:textId="77777777" w:rsidR="00C80522" w:rsidRPr="00C80522" w:rsidRDefault="00C80522" w:rsidP="00C80522">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Generate overall Options Score. </w:t>
      </w:r>
    </w:p>
    <w:p w14:paraId="203103DE" w14:textId="77777777" w:rsidR="00C80522" w:rsidRPr="00C80522" w:rsidRDefault="00C80522" w:rsidP="00C80522">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Generate Bias and Confidence. </w:t>
      </w:r>
    </w:p>
    <w:p w14:paraId="136E1173"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Notes</w:t>
      </w:r>
    </w:p>
    <w:p w14:paraId="00A02C4B" w14:textId="77777777" w:rsidR="00C80522" w:rsidRPr="00C80522" w:rsidRDefault="00C80522" w:rsidP="00C80522">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Ignore unavailable indicators. </w:t>
      </w:r>
    </w:p>
    <w:p w14:paraId="1BCFDF9D" w14:textId="77777777" w:rsidR="00C80522" w:rsidRPr="00C80522" w:rsidRDefault="00C80522" w:rsidP="00C80522">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Normalize weights automatically if data is unavailable. </w:t>
      </w:r>
    </w:p>
    <w:p w14:paraId="10C23D84" w14:textId="77777777" w:rsidR="00C80522" w:rsidRPr="00C80522" w:rsidRDefault="00C80522" w:rsidP="00C80522">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Never assign zero because an indicator is missing. </w:t>
      </w:r>
    </w:p>
    <w:p w14:paraId="06BEA7C4"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50731E8C">
          <v:rect id="_x0000_i1443" style="width:0;height:1.5pt" o:hralign="center" o:hrstd="t" o:hr="t" fillcolor="#a0a0a0" stroked="f"/>
        </w:pict>
      </w:r>
    </w:p>
    <w:p w14:paraId="5B36CBE0"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4. Card Fields</w:t>
      </w:r>
    </w:p>
    <w:p w14:paraId="6038456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Options Score</w:t>
      </w:r>
    </w:p>
    <w:p w14:paraId="69CA52BB"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0–100</w:t>
      </w:r>
    </w:p>
    <w:p w14:paraId="11D4CE7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Category Scores</w:t>
      </w:r>
    </w:p>
    <w:p w14:paraId="2C02633C" w14:textId="77777777" w:rsidR="00C80522" w:rsidRPr="00C80522" w:rsidRDefault="00C80522" w:rsidP="00C80522">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Open Interest </w:t>
      </w:r>
    </w:p>
    <w:p w14:paraId="72A5B5C2" w14:textId="77777777" w:rsidR="00C80522" w:rsidRPr="00C80522" w:rsidRDefault="00C80522" w:rsidP="00C80522">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Put-Call Ratio </w:t>
      </w:r>
    </w:p>
    <w:p w14:paraId="5A3ABFD2" w14:textId="77777777" w:rsidR="00C80522" w:rsidRPr="00C80522" w:rsidRDefault="00C80522" w:rsidP="00C80522">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Implied Volatility </w:t>
      </w:r>
    </w:p>
    <w:p w14:paraId="1ADDCE4E" w14:textId="77777777" w:rsidR="00C80522" w:rsidRPr="00C80522" w:rsidRDefault="00C80522" w:rsidP="00C80522">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Greeks </w:t>
      </w:r>
    </w:p>
    <w:p w14:paraId="4A405935" w14:textId="77777777" w:rsidR="00C80522" w:rsidRPr="00C80522" w:rsidRDefault="00C80522" w:rsidP="00C80522">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Market Positioning </w:t>
      </w:r>
    </w:p>
    <w:p w14:paraId="21AB1C0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Bias</w:t>
      </w:r>
    </w:p>
    <w:p w14:paraId="3C5FD160" w14:textId="77777777" w:rsidR="00C80522" w:rsidRPr="00C80522" w:rsidRDefault="00C80522" w:rsidP="00C80522">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Bullish </w:t>
      </w:r>
    </w:p>
    <w:p w14:paraId="42F0219F" w14:textId="77777777" w:rsidR="00C80522" w:rsidRPr="00C80522" w:rsidRDefault="00C80522" w:rsidP="00C80522">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Neutral </w:t>
      </w:r>
    </w:p>
    <w:p w14:paraId="1146B11F" w14:textId="77777777" w:rsidR="00C80522" w:rsidRPr="00C80522" w:rsidRDefault="00C80522" w:rsidP="00C80522">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lastRenderedPageBreak/>
        <w:t xml:space="preserve">Bearish </w:t>
      </w:r>
    </w:p>
    <w:p w14:paraId="6005BC5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Confidence</w:t>
      </w:r>
    </w:p>
    <w:p w14:paraId="57182E46"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Overall Options Confidence</w:t>
      </w:r>
    </w:p>
    <w:p w14:paraId="55B4223F"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Impact Weight</w:t>
      </w:r>
    </w:p>
    <w:p w14:paraId="7A92BD86"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30% (Decision Engine Default)</w:t>
      </w:r>
    </w:p>
    <w:p w14:paraId="6A7DBA6F"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6B67C6D6">
          <v:rect id="_x0000_i1444" style="width:0;height:1.5pt" o:hralign="center" o:hrstd="t" o:hr="t" fillcolor="#a0a0a0" stroked="f"/>
        </w:pict>
      </w:r>
    </w:p>
    <w:p w14:paraId="74661ECB"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509"/>
      </w:tblGrid>
      <w:tr w:rsidR="00C80522" w:rsidRPr="00C80522" w14:paraId="5807DF6F" w14:textId="77777777" w:rsidTr="00C80522">
        <w:trPr>
          <w:tblHeader/>
          <w:tblCellSpacing w:w="15" w:type="dxa"/>
        </w:trPr>
        <w:tc>
          <w:tcPr>
            <w:tcW w:w="0" w:type="auto"/>
            <w:vAlign w:val="center"/>
            <w:hideMark/>
          </w:tcPr>
          <w:p w14:paraId="0CB85639" w14:textId="77777777" w:rsidR="00C80522" w:rsidRPr="00C80522" w:rsidRDefault="00C80522" w:rsidP="00C80522">
            <w:pPr>
              <w:spacing w:after="0" w:line="240" w:lineRule="auto"/>
              <w:jc w:val="center"/>
              <w:rPr>
                <w:rFonts w:ascii="Times New Roman" w:eastAsia="Times New Roman" w:hAnsi="Times New Roman" w:cs="Times New Roman"/>
                <w:b/>
                <w:bCs/>
                <w:sz w:val="24"/>
                <w:szCs w:val="24"/>
              </w:rPr>
            </w:pPr>
            <w:r w:rsidRPr="00C80522">
              <w:rPr>
                <w:rFonts w:ascii="Times New Roman" w:eastAsia="Times New Roman" w:hAnsi="Times New Roman" w:cs="Times New Roman"/>
                <w:b/>
                <w:bCs/>
                <w:sz w:val="24"/>
                <w:szCs w:val="24"/>
              </w:rPr>
              <w:t>Score</w:t>
            </w:r>
          </w:p>
        </w:tc>
        <w:tc>
          <w:tcPr>
            <w:tcW w:w="0" w:type="auto"/>
            <w:vAlign w:val="center"/>
            <w:hideMark/>
          </w:tcPr>
          <w:p w14:paraId="16D08195" w14:textId="77777777" w:rsidR="00C80522" w:rsidRPr="00C80522" w:rsidRDefault="00C80522" w:rsidP="00C80522">
            <w:pPr>
              <w:spacing w:after="0" w:line="240" w:lineRule="auto"/>
              <w:jc w:val="center"/>
              <w:rPr>
                <w:rFonts w:ascii="Times New Roman" w:eastAsia="Times New Roman" w:hAnsi="Times New Roman" w:cs="Times New Roman"/>
                <w:b/>
                <w:bCs/>
                <w:sz w:val="24"/>
                <w:szCs w:val="24"/>
              </w:rPr>
            </w:pPr>
            <w:r w:rsidRPr="00C80522">
              <w:rPr>
                <w:rFonts w:ascii="Times New Roman" w:eastAsia="Times New Roman" w:hAnsi="Times New Roman" w:cs="Times New Roman"/>
                <w:b/>
                <w:bCs/>
                <w:sz w:val="24"/>
                <w:szCs w:val="24"/>
              </w:rPr>
              <w:t>Bias</w:t>
            </w:r>
          </w:p>
        </w:tc>
      </w:tr>
      <w:tr w:rsidR="00C80522" w:rsidRPr="00C80522" w14:paraId="051D2CA4" w14:textId="77777777" w:rsidTr="00C80522">
        <w:trPr>
          <w:tblCellSpacing w:w="15" w:type="dxa"/>
        </w:trPr>
        <w:tc>
          <w:tcPr>
            <w:tcW w:w="0" w:type="auto"/>
            <w:vAlign w:val="center"/>
            <w:hideMark/>
          </w:tcPr>
          <w:p w14:paraId="411388E7"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90–100</w:t>
            </w:r>
          </w:p>
        </w:tc>
        <w:tc>
          <w:tcPr>
            <w:tcW w:w="0" w:type="auto"/>
            <w:vAlign w:val="center"/>
            <w:hideMark/>
          </w:tcPr>
          <w:p w14:paraId="2577EF1F"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Strong Bullish</w:t>
            </w:r>
          </w:p>
        </w:tc>
      </w:tr>
      <w:tr w:rsidR="00C80522" w:rsidRPr="00C80522" w14:paraId="4A4580B9" w14:textId="77777777" w:rsidTr="00C80522">
        <w:trPr>
          <w:tblCellSpacing w:w="15" w:type="dxa"/>
        </w:trPr>
        <w:tc>
          <w:tcPr>
            <w:tcW w:w="0" w:type="auto"/>
            <w:vAlign w:val="center"/>
            <w:hideMark/>
          </w:tcPr>
          <w:p w14:paraId="4B4641C8"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75–89</w:t>
            </w:r>
          </w:p>
        </w:tc>
        <w:tc>
          <w:tcPr>
            <w:tcW w:w="0" w:type="auto"/>
            <w:vAlign w:val="center"/>
            <w:hideMark/>
          </w:tcPr>
          <w:p w14:paraId="615663F4"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Bullish</w:t>
            </w:r>
          </w:p>
        </w:tc>
      </w:tr>
      <w:tr w:rsidR="00C80522" w:rsidRPr="00C80522" w14:paraId="795FDF8E" w14:textId="77777777" w:rsidTr="00C80522">
        <w:trPr>
          <w:tblCellSpacing w:w="15" w:type="dxa"/>
        </w:trPr>
        <w:tc>
          <w:tcPr>
            <w:tcW w:w="0" w:type="auto"/>
            <w:vAlign w:val="center"/>
            <w:hideMark/>
          </w:tcPr>
          <w:p w14:paraId="6768276D"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55–74</w:t>
            </w:r>
          </w:p>
        </w:tc>
        <w:tc>
          <w:tcPr>
            <w:tcW w:w="0" w:type="auto"/>
            <w:vAlign w:val="center"/>
            <w:hideMark/>
          </w:tcPr>
          <w:p w14:paraId="21BD61DB"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Neutral</w:t>
            </w:r>
          </w:p>
        </w:tc>
      </w:tr>
      <w:tr w:rsidR="00C80522" w:rsidRPr="00C80522" w14:paraId="71817DBD" w14:textId="77777777" w:rsidTr="00C80522">
        <w:trPr>
          <w:tblCellSpacing w:w="15" w:type="dxa"/>
        </w:trPr>
        <w:tc>
          <w:tcPr>
            <w:tcW w:w="0" w:type="auto"/>
            <w:vAlign w:val="center"/>
            <w:hideMark/>
          </w:tcPr>
          <w:p w14:paraId="6E1031FC"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35–54</w:t>
            </w:r>
          </w:p>
        </w:tc>
        <w:tc>
          <w:tcPr>
            <w:tcW w:w="0" w:type="auto"/>
            <w:vAlign w:val="center"/>
            <w:hideMark/>
          </w:tcPr>
          <w:p w14:paraId="7E5A83DC"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Bearish</w:t>
            </w:r>
          </w:p>
        </w:tc>
      </w:tr>
      <w:tr w:rsidR="00C80522" w:rsidRPr="00C80522" w14:paraId="2E06A1F2" w14:textId="77777777" w:rsidTr="00C80522">
        <w:trPr>
          <w:tblCellSpacing w:w="15" w:type="dxa"/>
        </w:trPr>
        <w:tc>
          <w:tcPr>
            <w:tcW w:w="0" w:type="auto"/>
            <w:vAlign w:val="center"/>
            <w:hideMark/>
          </w:tcPr>
          <w:p w14:paraId="0FC1AE61"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0–34</w:t>
            </w:r>
          </w:p>
        </w:tc>
        <w:tc>
          <w:tcPr>
            <w:tcW w:w="0" w:type="auto"/>
            <w:vAlign w:val="center"/>
            <w:hideMark/>
          </w:tcPr>
          <w:p w14:paraId="144B7650"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Strong Bearish</w:t>
            </w:r>
          </w:p>
        </w:tc>
      </w:tr>
    </w:tbl>
    <w:p w14:paraId="4F7F944F"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Notes</w:t>
      </w:r>
    </w:p>
    <w:p w14:paraId="6C697AE8" w14:textId="77777777" w:rsidR="00C80522" w:rsidRPr="00C80522" w:rsidRDefault="00C80522" w:rsidP="00C80522">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Every category contributes proportionally. </w:t>
      </w:r>
    </w:p>
    <w:p w14:paraId="259CF8D0" w14:textId="77777777" w:rsidR="00C80522" w:rsidRPr="00C80522" w:rsidRDefault="00C80522" w:rsidP="00C80522">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Missing indicators should not disproportionately affect the score. </w:t>
      </w:r>
    </w:p>
    <w:p w14:paraId="12021803" w14:textId="77777777" w:rsidR="00C80522" w:rsidRPr="00C80522" w:rsidRDefault="00C80522" w:rsidP="00C80522">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Category weights remain configurable. </w:t>
      </w:r>
    </w:p>
    <w:p w14:paraId="755FD366"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0743E1C1">
          <v:rect id="_x0000_i1445" style="width:0;height:1.5pt" o:hralign="center" o:hrstd="t" o:hr="t" fillcolor="#a0a0a0" stroked="f"/>
        </w:pict>
      </w:r>
    </w:p>
    <w:p w14:paraId="783DE59D"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6. Bias Rules</w:t>
      </w:r>
    </w:p>
    <w:p w14:paraId="799EB816"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Score Above 75</w:t>
      </w:r>
    </w:p>
    <w:p w14:paraId="59090E2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Bullish</w:t>
      </w:r>
    </w:p>
    <w:p w14:paraId="4B7149EF"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Score Between 55–74</w:t>
      </w:r>
    </w:p>
    <w:p w14:paraId="542E2625"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Neutral</w:t>
      </w:r>
    </w:p>
    <w:p w14:paraId="097A4EDC"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Score Below 55</w:t>
      </w:r>
    </w:p>
    <w:p w14:paraId="342FF33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Bearish</w:t>
      </w:r>
    </w:p>
    <w:p w14:paraId="2E93302C"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lastRenderedPageBreak/>
        <w:t>Score Below 35</w:t>
      </w:r>
    </w:p>
    <w:p w14:paraId="5FABC69F"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Strong Bearish</w:t>
      </w:r>
    </w:p>
    <w:p w14:paraId="5BEFBC45"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52384CB4">
          <v:rect id="_x0000_i1446" style="width:0;height:1.5pt" o:hralign="center" o:hrstd="t" o:hr="t" fillcolor="#a0a0a0" stroked="f"/>
        </w:pict>
      </w:r>
    </w:p>
    <w:p w14:paraId="17167C3C"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7. Confidence Logic</w:t>
      </w:r>
    </w:p>
    <w:p w14:paraId="54A8C31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Base Confidence</w:t>
      </w:r>
    </w:p>
    <w:p w14:paraId="69522E0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Average confidence of all available indicators.</w:t>
      </w:r>
    </w:p>
    <w:p w14:paraId="10BC1A4F"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Increase Confidence</w:t>
      </w:r>
    </w:p>
    <w:p w14:paraId="1B4A0DC9"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+5% All categories available</w:t>
      </w:r>
    </w:p>
    <w:p w14:paraId="02FF9DA2"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+5% High option liquidity</w:t>
      </w:r>
    </w:p>
    <w:p w14:paraId="234EF984"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Decrease Confidence</w:t>
      </w:r>
    </w:p>
    <w:p w14:paraId="27C6F022"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-5% Missing category</w:t>
      </w:r>
    </w:p>
    <w:p w14:paraId="15F71528"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-10% Multiple unavailable indicators</w:t>
      </w:r>
    </w:p>
    <w:p w14:paraId="42F359F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-10% Incomplete option chain</w:t>
      </w:r>
    </w:p>
    <w:p w14:paraId="0CCF996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Minimum</w:t>
      </w:r>
    </w:p>
    <w:p w14:paraId="133BAB47"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50%</w:t>
      </w:r>
    </w:p>
    <w:p w14:paraId="73268D7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Maximum</w:t>
      </w:r>
    </w:p>
    <w:p w14:paraId="290F1EA6"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99%</w:t>
      </w:r>
    </w:p>
    <w:p w14:paraId="44179428"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54E379F2">
          <v:rect id="_x0000_i1447" style="width:0;height:1.5pt" o:hralign="center" o:hrstd="t" o:hr="t" fillcolor="#a0a0a0" stroked="f"/>
        </w:pict>
      </w:r>
    </w:p>
    <w:p w14:paraId="579B91CE"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8. Score Range Bar</w:t>
      </w:r>
    </w:p>
    <w:p w14:paraId="06356C6C"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Minimum</w:t>
      </w:r>
    </w:p>
    <w:p w14:paraId="4A8D23E1"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0</w:t>
      </w:r>
    </w:p>
    <w:p w14:paraId="23A654D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Maximum</w:t>
      </w:r>
    </w:p>
    <w:p w14:paraId="3F12923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lastRenderedPageBreak/>
        <w:t>100</w:t>
      </w:r>
    </w:p>
    <w:p w14:paraId="4680A325"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Pointer</w:t>
      </w:r>
    </w:p>
    <w:p w14:paraId="4FFFA7B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Current Options Score</w:t>
      </w:r>
    </w:p>
    <w:p w14:paraId="1DD3140B"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Average Marker</w:t>
      </w:r>
    </w:p>
    <w:p w14:paraId="45B4B2A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30-Day Average Score</w:t>
      </w:r>
    </w:p>
    <w:p w14:paraId="40377808"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Color Zones</w:t>
      </w:r>
    </w:p>
    <w:p w14:paraId="2B0494F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0–30 → Strong Bearish</w:t>
      </w:r>
    </w:p>
    <w:p w14:paraId="69D28058"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30–60 → Weak</w:t>
      </w:r>
    </w:p>
    <w:p w14:paraId="4B92A2E9"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60–80 → Neutral</w:t>
      </w:r>
    </w:p>
    <w:p w14:paraId="5380908C"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80–100 → Strong Bullish</w:t>
      </w:r>
    </w:p>
    <w:p w14:paraId="063624C7"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35CA099D">
          <v:rect id="_x0000_i1448" style="width:0;height:1.5pt" o:hralign="center" o:hrstd="t" o:hr="t" fillcolor="#a0a0a0" stroked="f"/>
        </w:pict>
      </w:r>
    </w:p>
    <w:p w14:paraId="662D9891"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9. Dual Trend Chart</w:t>
      </w:r>
    </w:p>
    <w:p w14:paraId="7E42EE4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Chart Type</w:t>
      </w:r>
    </w:p>
    <w:p w14:paraId="68BD1B4C"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Dual Line</w:t>
      </w:r>
    </w:p>
    <w:p w14:paraId="39CD2147"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Line 1</w:t>
      </w:r>
    </w:p>
    <w:p w14:paraId="0D82858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Options Score</w:t>
      </w:r>
    </w:p>
    <w:p w14:paraId="634837C5"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Line 2</w:t>
      </w:r>
    </w:p>
    <w:p w14:paraId="64906A37"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Confidence</w:t>
      </w:r>
    </w:p>
    <w:p w14:paraId="13479E2B"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History</w:t>
      </w:r>
    </w:p>
    <w:p w14:paraId="3D8B9776"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30 Trading Days</w:t>
      </w:r>
    </w:p>
    <w:p w14:paraId="2F3E5A6B"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Update</w:t>
      </w:r>
    </w:p>
    <w:p w14:paraId="061F7877"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Every option chain refresh.</w:t>
      </w:r>
    </w:p>
    <w:p w14:paraId="005D2C8D"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22DF9791">
          <v:rect id="_x0000_i1449" style="width:0;height:1.5pt" o:hralign="center" o:hrstd="t" o:hr="t" fillcolor="#a0a0a0" stroked="f"/>
        </w:pict>
      </w:r>
    </w:p>
    <w:p w14:paraId="1182BCFF"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lastRenderedPageBreak/>
        <w:t>10. AI Insight Rules</w:t>
      </w:r>
    </w:p>
    <w:p w14:paraId="5F9936B6"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Score Above 80</w:t>
      </w:r>
    </w:p>
    <w:p w14:paraId="13D4D58B"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Explain that options positioning strongly supports the current market direction.</w:t>
      </w:r>
    </w:p>
    <w:p w14:paraId="6710F0F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Score Between 60–80</w:t>
      </w:r>
    </w:p>
    <w:p w14:paraId="0FF9FC4B"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Explain that options data generally supports the prevailing trend.</w:t>
      </w:r>
    </w:p>
    <w:p w14:paraId="04508FAF"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Score Between 35–60</w:t>
      </w:r>
    </w:p>
    <w:p w14:paraId="21A4D629"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Explain that options indicators are mixed and conviction is moderate.</w:t>
      </w:r>
    </w:p>
    <w:p w14:paraId="4BB8B577"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Score Below 35</w:t>
      </w:r>
    </w:p>
    <w:p w14:paraId="08167684"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Explain that options positioning indicates elevated downside risk.</w:t>
      </w:r>
    </w:p>
    <w:p w14:paraId="60CD6916"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Low Confidence</w:t>
      </w:r>
    </w:p>
    <w:p w14:paraId="4345679B"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Mention insufficient or conflicting options data.</w:t>
      </w:r>
    </w:p>
    <w:p w14:paraId="58A46D63"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76C64CBF">
          <v:rect id="_x0000_i1450" style="width:0;height:1.5pt" o:hralign="center" o:hrstd="t" o:hr="t" fillcolor="#a0a0a0" stroked="f"/>
        </w:pict>
      </w:r>
    </w:p>
    <w:p w14:paraId="37056521"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11. Why It Matters</w:t>
      </w:r>
    </w:p>
    <w:p w14:paraId="6505679F" w14:textId="77777777" w:rsidR="00C80522" w:rsidRPr="00C80522" w:rsidRDefault="00C80522" w:rsidP="00C80522">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Summarizes options market sentiment. </w:t>
      </w:r>
    </w:p>
    <w:p w14:paraId="1B65274A" w14:textId="77777777" w:rsidR="00C80522" w:rsidRPr="00C80522" w:rsidRDefault="00C80522" w:rsidP="00C80522">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Combines multiple options indicators into one score. </w:t>
      </w:r>
    </w:p>
    <w:p w14:paraId="12A10446" w14:textId="77777777" w:rsidR="00C80522" w:rsidRPr="00C80522" w:rsidRDefault="00C80522" w:rsidP="00C80522">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Tracks institutional positioning. </w:t>
      </w:r>
    </w:p>
    <w:p w14:paraId="462DA25C" w14:textId="77777777" w:rsidR="00C80522" w:rsidRPr="00C80522" w:rsidRDefault="00C80522" w:rsidP="00C80522">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Provides standardized input for the Decision Engine. </w:t>
      </w:r>
    </w:p>
    <w:p w14:paraId="5FBA6E59"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307B28A2">
          <v:rect id="_x0000_i1451" style="width:0;height:1.5pt" o:hralign="center" o:hrstd="t" o:hr="t" fillcolor="#a0a0a0" stroked="f"/>
        </w:pict>
      </w:r>
    </w:p>
    <w:p w14:paraId="0E283EC0"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12. Trading Impact</w:t>
      </w:r>
    </w:p>
    <w:p w14:paraId="38FC0D3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Intraday</w:t>
      </w:r>
    </w:p>
    <w:p w14:paraId="3894AD8F"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Segoe UI Symbol" w:eastAsia="Times New Roman" w:hAnsi="Segoe UI Symbol" w:cs="Segoe UI Symbol"/>
          <w:sz w:val="24"/>
          <w:szCs w:val="24"/>
        </w:rPr>
        <w:t>★★★★★</w:t>
      </w:r>
    </w:p>
    <w:p w14:paraId="3AD31CF8"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Swing Trading</w:t>
      </w:r>
    </w:p>
    <w:p w14:paraId="500B1DA6"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Segoe UI Symbol" w:eastAsia="Times New Roman" w:hAnsi="Segoe UI Symbol" w:cs="Segoe UI Symbol"/>
          <w:sz w:val="24"/>
          <w:szCs w:val="24"/>
        </w:rPr>
        <w:t>★★★★★</w:t>
      </w:r>
    </w:p>
    <w:p w14:paraId="557D550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lastRenderedPageBreak/>
        <w:t>Positional Trading</w:t>
      </w:r>
    </w:p>
    <w:p w14:paraId="4434B534"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Segoe UI Symbol" w:eastAsia="Times New Roman" w:hAnsi="Segoe UI Symbol" w:cs="Segoe UI Symbol"/>
          <w:sz w:val="24"/>
          <w:szCs w:val="24"/>
        </w:rPr>
        <w:t>★★★★☆</w:t>
      </w:r>
    </w:p>
    <w:p w14:paraId="351871CB"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Options Trading</w:t>
      </w:r>
    </w:p>
    <w:p w14:paraId="05D253C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Segoe UI Symbol" w:eastAsia="Times New Roman" w:hAnsi="Segoe UI Symbol" w:cs="Segoe UI Symbol"/>
          <w:sz w:val="24"/>
          <w:szCs w:val="24"/>
        </w:rPr>
        <w:t>★★★★★</w:t>
      </w:r>
    </w:p>
    <w:p w14:paraId="70E51418"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Best Use</w:t>
      </w:r>
    </w:p>
    <w:p w14:paraId="1F40C0E6"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Options market assessment.</w:t>
      </w:r>
    </w:p>
    <w:p w14:paraId="12350BD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Avoid Using Alone</w:t>
      </w:r>
    </w:p>
    <w:p w14:paraId="18146AF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Yes</w:t>
      </w:r>
    </w:p>
    <w:p w14:paraId="62572A44"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7FD2A265">
          <v:rect id="_x0000_i1452" style="width:0;height:1.5pt" o:hralign="center" o:hrstd="t" o:hr="t" fillcolor="#a0a0a0" stroked="f"/>
        </w:pict>
      </w:r>
    </w:p>
    <w:p w14:paraId="44FD4B91"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13. Supporting Indicators</w:t>
      </w:r>
    </w:p>
    <w:p w14:paraId="4448E3D9" w14:textId="77777777" w:rsidR="00C80522" w:rsidRPr="00C80522" w:rsidRDefault="00C80522" w:rsidP="00C80522">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All Options Indicators </w:t>
      </w:r>
    </w:p>
    <w:p w14:paraId="3B59E46F" w14:textId="77777777" w:rsidR="00C80522" w:rsidRPr="00C80522" w:rsidRDefault="00C80522" w:rsidP="00C80522">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Technical Score </w:t>
      </w:r>
    </w:p>
    <w:p w14:paraId="029D3FAF" w14:textId="77777777" w:rsidR="00C80522" w:rsidRPr="00C80522" w:rsidRDefault="00C80522" w:rsidP="00C80522">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Fundamentals Score </w:t>
      </w:r>
    </w:p>
    <w:p w14:paraId="65A0C961" w14:textId="77777777" w:rsidR="00C80522" w:rsidRPr="00C80522" w:rsidRDefault="00C80522" w:rsidP="00C80522">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Global Score </w:t>
      </w:r>
    </w:p>
    <w:p w14:paraId="645A7FE8" w14:textId="77777777" w:rsidR="00C80522" w:rsidRPr="00C80522" w:rsidRDefault="00C80522" w:rsidP="00C80522">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Events Score </w:t>
      </w:r>
    </w:p>
    <w:p w14:paraId="7EE9C6D0"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4EACEAD6">
          <v:rect id="_x0000_i1453" style="width:0;height:1.5pt" o:hralign="center" o:hrstd="t" o:hr="t" fillcolor="#a0a0a0" stroked="f"/>
        </w:pict>
      </w:r>
    </w:p>
    <w:p w14:paraId="697D0A1A"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14. Metadata</w:t>
      </w:r>
    </w:p>
    <w:p w14:paraId="7CF9810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Source</w:t>
      </w:r>
    </w:p>
    <w:p w14:paraId="0AD8C85C"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Calculated</w:t>
      </w:r>
    </w:p>
    <w:p w14:paraId="398B35FB"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Calculation</w:t>
      </w:r>
    </w:p>
    <w:p w14:paraId="2CA2BFB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Backend</w:t>
      </w:r>
    </w:p>
    <w:p w14:paraId="7AA2A287"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Updated</w:t>
      </w:r>
    </w:p>
    <w:p w14:paraId="4C42125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Every Option Chain Refresh</w:t>
      </w:r>
    </w:p>
    <w:p w14:paraId="1DC5C89B"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proofErr w:type="spellStart"/>
      <w:r w:rsidRPr="00C80522">
        <w:rPr>
          <w:rFonts w:ascii="Times New Roman" w:eastAsia="Times New Roman" w:hAnsi="Times New Roman" w:cs="Times New Roman"/>
          <w:b/>
          <w:bCs/>
          <w:sz w:val="24"/>
          <w:szCs w:val="24"/>
        </w:rPr>
        <w:t>Timezone</w:t>
      </w:r>
      <w:proofErr w:type="spellEnd"/>
    </w:p>
    <w:p w14:paraId="47AD9C9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lastRenderedPageBreak/>
        <w:t>Asia/Kolkata</w:t>
      </w:r>
    </w:p>
    <w:p w14:paraId="6A5DA5EC"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Storage</w:t>
      </w:r>
    </w:p>
    <w:p w14:paraId="25B330B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Local Electron Database</w:t>
      </w:r>
    </w:p>
    <w:p w14:paraId="6661B2FA"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5AB9EE2E">
          <v:rect id="_x0000_i1454" style="width:0;height:1.5pt" o:hralign="center" o:hrstd="t" o:hr="t" fillcolor="#a0a0a0" stroked="f"/>
        </w:pict>
      </w:r>
    </w:p>
    <w:p w14:paraId="4D1C0560"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15. Developer Notes</w:t>
      </w:r>
    </w:p>
    <w:p w14:paraId="4707049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Store:</w:t>
      </w:r>
    </w:p>
    <w:p w14:paraId="734746ED" w14:textId="77777777" w:rsidR="00C80522" w:rsidRPr="00C80522" w:rsidRDefault="00C80522" w:rsidP="00C80522">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Options Score </w:t>
      </w:r>
    </w:p>
    <w:p w14:paraId="1078F5E6" w14:textId="77777777" w:rsidR="00C80522" w:rsidRPr="00C80522" w:rsidRDefault="00C80522" w:rsidP="00C80522">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Category Scores </w:t>
      </w:r>
    </w:p>
    <w:p w14:paraId="0B7E3F84" w14:textId="77777777" w:rsidR="00C80522" w:rsidRPr="00C80522" w:rsidRDefault="00C80522" w:rsidP="00C80522">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Overall Confidence </w:t>
      </w:r>
    </w:p>
    <w:p w14:paraId="05575EF5" w14:textId="77777777" w:rsidR="00C80522" w:rsidRPr="00C80522" w:rsidRDefault="00C80522" w:rsidP="00C80522">
      <w:pPr>
        <w:numPr>
          <w:ilvl w:val="0"/>
          <w:numId w:val="190"/>
        </w:numPr>
        <w:spacing w:before="100" w:beforeAutospacing="1" w:after="100" w:afterAutospacing="1" w:line="240" w:lineRule="auto"/>
        <w:rPr>
          <w:rFonts w:ascii="Times New Roman" w:eastAsia="Times New Roman" w:hAnsi="Times New Roman" w:cs="Times New Roman"/>
          <w:sz w:val="24"/>
          <w:szCs w:val="24"/>
        </w:rPr>
      </w:pPr>
      <w:proofErr w:type="gramStart"/>
      <w:r w:rsidRPr="00C80522">
        <w:rPr>
          <w:rFonts w:ascii="Times New Roman" w:eastAsia="Times New Roman" w:hAnsi="Times New Roman" w:cs="Times New Roman"/>
          <w:sz w:val="24"/>
          <w:szCs w:val="24"/>
        </w:rPr>
        <w:t>Overall</w:t>
      </w:r>
      <w:proofErr w:type="gramEnd"/>
      <w:r w:rsidRPr="00C80522">
        <w:rPr>
          <w:rFonts w:ascii="Times New Roman" w:eastAsia="Times New Roman" w:hAnsi="Times New Roman" w:cs="Times New Roman"/>
          <w:sz w:val="24"/>
          <w:szCs w:val="24"/>
        </w:rPr>
        <w:t xml:space="preserve"> Bias </w:t>
      </w:r>
    </w:p>
    <w:p w14:paraId="03E292BB" w14:textId="77777777" w:rsidR="00C80522" w:rsidRPr="00C80522" w:rsidRDefault="00C80522" w:rsidP="00C80522">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Historical Scores </w:t>
      </w:r>
    </w:p>
    <w:p w14:paraId="2623CC7A" w14:textId="77777777" w:rsidR="00C80522" w:rsidRPr="00C80522" w:rsidRDefault="00C80522" w:rsidP="00C80522">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Last Updated </w:t>
      </w:r>
    </w:p>
    <w:p w14:paraId="4668352B"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Recalculate only when an underlying Options indicator changes. Normalize weights if indicators become unavailable. Maintain historical values for dashboard trend visualization.</w:t>
      </w:r>
    </w:p>
    <w:p w14:paraId="26CC8C16"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29F33DC5">
          <v:rect id="_x0000_i1455" style="width:0;height:1.5pt" o:hralign="center" o:hrstd="t" o:hr="t" fillcolor="#a0a0a0" stroked="f"/>
        </w:pict>
      </w:r>
    </w:p>
    <w:p w14:paraId="1026FD30"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 xml:space="preserve">16. Praxis Engine Integration </w:t>
      </w:r>
      <w:r w:rsidRPr="00C80522">
        <w:rPr>
          <w:rFonts w:ascii="Segoe UI Emoji" w:eastAsia="Times New Roman" w:hAnsi="Segoe UI Emoji" w:cs="Segoe UI Emoji"/>
          <w:b/>
          <w:bCs/>
          <w:kern w:val="36"/>
          <w:sz w:val="48"/>
          <w:szCs w:val="48"/>
        </w:rPr>
        <w:t>⭐</w:t>
      </w:r>
    </w:p>
    <w:p w14:paraId="42CBE212"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Engine Weight</w:t>
      </w:r>
    </w:p>
    <w:p w14:paraId="22AC98E5"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30% (Default Decision Engine Weight)</w:t>
      </w:r>
    </w:p>
    <w:p w14:paraId="5272403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Relative Importance</w:t>
      </w:r>
    </w:p>
    <w:p w14:paraId="041557B8"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Critical</w:t>
      </w:r>
    </w:p>
    <w:p w14:paraId="41D2DEFF"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Decision Engine Role</w:t>
      </w:r>
    </w:p>
    <w:p w14:paraId="51C1BC78"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Institutional Positioning Assessment</w:t>
      </w:r>
    </w:p>
    <w:p w14:paraId="10682DA6"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Primary Use</w:t>
      </w:r>
    </w:p>
    <w:p w14:paraId="07ABFBEB"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Provide the Options module output to the Dashboard and Decision Engine.</w:t>
      </w:r>
    </w:p>
    <w:p w14:paraId="6BEC2C34"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Bullish Confirmation</w:t>
      </w:r>
    </w:p>
    <w:p w14:paraId="5E68ABD1" w14:textId="77777777" w:rsidR="00C80522" w:rsidRPr="00C80522" w:rsidRDefault="00C80522" w:rsidP="00C80522">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lastRenderedPageBreak/>
        <w:t xml:space="preserve">Options Score &gt;75 </w:t>
      </w:r>
    </w:p>
    <w:p w14:paraId="7094648A" w14:textId="77777777" w:rsidR="00C80522" w:rsidRPr="00C80522" w:rsidRDefault="00C80522" w:rsidP="00C80522">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Confidence &gt;80% </w:t>
      </w:r>
    </w:p>
    <w:p w14:paraId="07E1E664"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Bearish Confirmation</w:t>
      </w:r>
    </w:p>
    <w:p w14:paraId="00503F4F" w14:textId="77777777" w:rsidR="00C80522" w:rsidRPr="00C80522" w:rsidRDefault="00C80522" w:rsidP="00C80522">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Options Score &lt;55 </w:t>
      </w:r>
    </w:p>
    <w:p w14:paraId="219956EC" w14:textId="77777777" w:rsidR="00C80522" w:rsidRPr="00C80522" w:rsidRDefault="00C80522" w:rsidP="00C80522">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Confidence &gt;60% </w:t>
      </w:r>
    </w:p>
    <w:p w14:paraId="12A86F6F"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Display Priority</w:t>
      </w:r>
    </w:p>
    <w:p w14:paraId="62C7B31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Highest</w:t>
      </w:r>
    </w:p>
    <w:p w14:paraId="222D606E"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739566FC">
          <v:rect id="_x0000_i1456" style="width:0;height:1.5pt" o:hralign="center" o:hrstd="t" o:hr="t" fillcolor="#a0a0a0" stroked="f"/>
        </w:pict>
      </w:r>
    </w:p>
    <w:p w14:paraId="41D919DA"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17. Praxis Recommendation</w:t>
      </w:r>
    </w:p>
    <w:p w14:paraId="40C19B62"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The Options Score Engine should be the </w:t>
      </w:r>
      <w:r w:rsidRPr="00C80522">
        <w:rPr>
          <w:rFonts w:ascii="Times New Roman" w:eastAsia="Times New Roman" w:hAnsi="Times New Roman" w:cs="Times New Roman"/>
          <w:b/>
          <w:bCs/>
          <w:sz w:val="24"/>
          <w:szCs w:val="24"/>
        </w:rPr>
        <w:t>single output</w:t>
      </w:r>
      <w:r w:rsidRPr="00C80522">
        <w:rPr>
          <w:rFonts w:ascii="Times New Roman" w:eastAsia="Times New Roman" w:hAnsi="Times New Roman" w:cs="Times New Roman"/>
          <w:sz w:val="24"/>
          <w:szCs w:val="24"/>
        </w:rPr>
        <w:t xml:space="preserve"> of the Options module.</w:t>
      </w:r>
    </w:p>
    <w:p w14:paraId="5E72DA9D"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Engine Hierarchy</w:t>
      </w:r>
    </w:p>
    <w:p w14:paraId="773994F8"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Segoe UI Emoji" w:eastAsia="Times New Roman" w:hAnsi="Segoe UI Emoji" w:cs="Segoe UI Emoji"/>
          <w:sz w:val="24"/>
          <w:szCs w:val="24"/>
        </w:rPr>
        <w:t>⭐⭐⭐⭐⭐</w:t>
      </w:r>
      <w:r w:rsidRPr="00C80522">
        <w:rPr>
          <w:rFonts w:ascii="Times New Roman" w:eastAsia="Times New Roman" w:hAnsi="Times New Roman" w:cs="Times New Roman"/>
          <w:sz w:val="24"/>
          <w:szCs w:val="24"/>
        </w:rPr>
        <w:t xml:space="preserve"> Options Indicators</w:t>
      </w:r>
    </w:p>
    <w:p w14:paraId="7714E96C"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Cambria Math" w:eastAsia="Times New Roman" w:hAnsi="Cambria Math" w:cs="Cambria Math"/>
          <w:sz w:val="24"/>
          <w:szCs w:val="24"/>
        </w:rPr>
        <w:t>⬇</w:t>
      </w:r>
    </w:p>
    <w:p w14:paraId="784BD3D6"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Segoe UI Emoji" w:eastAsia="Times New Roman" w:hAnsi="Segoe UI Emoji" w:cs="Segoe UI Emoji"/>
          <w:sz w:val="24"/>
          <w:szCs w:val="24"/>
        </w:rPr>
        <w:t>⭐⭐⭐⭐⭐</w:t>
      </w:r>
      <w:r w:rsidRPr="00C80522">
        <w:rPr>
          <w:rFonts w:ascii="Times New Roman" w:eastAsia="Times New Roman" w:hAnsi="Times New Roman" w:cs="Times New Roman"/>
          <w:sz w:val="24"/>
          <w:szCs w:val="24"/>
        </w:rPr>
        <w:t xml:space="preserve"> Category Scores</w:t>
      </w:r>
    </w:p>
    <w:p w14:paraId="100A9F79"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Cambria Math" w:eastAsia="Times New Roman" w:hAnsi="Cambria Math" w:cs="Cambria Math"/>
          <w:sz w:val="24"/>
          <w:szCs w:val="24"/>
        </w:rPr>
        <w:t>⬇</w:t>
      </w:r>
    </w:p>
    <w:p w14:paraId="029499A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Segoe UI Emoji" w:eastAsia="Times New Roman" w:hAnsi="Segoe UI Emoji" w:cs="Segoe UI Emoji"/>
          <w:sz w:val="24"/>
          <w:szCs w:val="24"/>
        </w:rPr>
        <w:t>⭐⭐⭐⭐⭐</w:t>
      </w:r>
      <w:r w:rsidRPr="00C80522">
        <w:rPr>
          <w:rFonts w:ascii="Times New Roman" w:eastAsia="Times New Roman" w:hAnsi="Times New Roman" w:cs="Times New Roman"/>
          <w:sz w:val="24"/>
          <w:szCs w:val="24"/>
        </w:rPr>
        <w:t xml:space="preserve"> Options Score</w:t>
      </w:r>
    </w:p>
    <w:p w14:paraId="19D6A9E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Cambria Math" w:eastAsia="Times New Roman" w:hAnsi="Cambria Math" w:cs="Cambria Math"/>
          <w:sz w:val="24"/>
          <w:szCs w:val="24"/>
        </w:rPr>
        <w:t>⬇</w:t>
      </w:r>
    </w:p>
    <w:p w14:paraId="5B41CD47"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Segoe UI Emoji" w:eastAsia="Times New Roman" w:hAnsi="Segoe UI Emoji" w:cs="Segoe UI Emoji"/>
          <w:sz w:val="24"/>
          <w:szCs w:val="24"/>
        </w:rPr>
        <w:t>⭐⭐⭐⭐⭐</w:t>
      </w:r>
      <w:r w:rsidRPr="00C80522">
        <w:rPr>
          <w:rFonts w:ascii="Times New Roman" w:eastAsia="Times New Roman" w:hAnsi="Times New Roman" w:cs="Times New Roman"/>
          <w:sz w:val="24"/>
          <w:szCs w:val="24"/>
        </w:rPr>
        <w:t xml:space="preserve"> Decision Engine</w:t>
      </w:r>
    </w:p>
    <w:p w14:paraId="066D0805"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Engine Rules</w:t>
      </w:r>
    </w:p>
    <w:p w14:paraId="1FD95886" w14:textId="77777777" w:rsidR="00C80522" w:rsidRPr="00C80522" w:rsidRDefault="00C80522" w:rsidP="00C80522">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Calculate category scores before calculating the overall score. </w:t>
      </w:r>
    </w:p>
    <w:p w14:paraId="7025C2B3" w14:textId="77777777" w:rsidR="00C80522" w:rsidRPr="00C80522" w:rsidRDefault="00C80522" w:rsidP="00C80522">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Normalize weights automatically when indicators are unavailable. </w:t>
      </w:r>
    </w:p>
    <w:p w14:paraId="73AB4BCE" w14:textId="77777777" w:rsidR="00C80522" w:rsidRPr="00C80522" w:rsidRDefault="00C80522" w:rsidP="00C80522">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Use confidence-weighted aggregation where possible. </w:t>
      </w:r>
    </w:p>
    <w:p w14:paraId="0D880491" w14:textId="095C94BA" w:rsidR="00C80522" w:rsidRDefault="00C80522" w:rsidP="00C80522">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The Options Score should be consumed directly by the </w:t>
      </w:r>
      <w:r w:rsidRPr="00C80522">
        <w:rPr>
          <w:rFonts w:ascii="Times New Roman" w:eastAsia="Times New Roman" w:hAnsi="Times New Roman" w:cs="Times New Roman"/>
          <w:b/>
          <w:bCs/>
          <w:sz w:val="24"/>
          <w:szCs w:val="24"/>
        </w:rPr>
        <w:t>Dashboard</w:t>
      </w:r>
      <w:r w:rsidRPr="00C80522">
        <w:rPr>
          <w:rFonts w:ascii="Times New Roman" w:eastAsia="Times New Roman" w:hAnsi="Times New Roman" w:cs="Times New Roman"/>
          <w:sz w:val="24"/>
          <w:szCs w:val="24"/>
        </w:rPr>
        <w:t xml:space="preserve"> and </w:t>
      </w:r>
      <w:r w:rsidRPr="00C80522">
        <w:rPr>
          <w:rFonts w:ascii="Times New Roman" w:eastAsia="Times New Roman" w:hAnsi="Times New Roman" w:cs="Times New Roman"/>
          <w:b/>
          <w:bCs/>
          <w:sz w:val="24"/>
          <w:szCs w:val="24"/>
        </w:rPr>
        <w:t>Decision Engine</w:t>
      </w:r>
      <w:r w:rsidRPr="00C80522">
        <w:rPr>
          <w:rFonts w:ascii="Times New Roman" w:eastAsia="Times New Roman" w:hAnsi="Times New Roman" w:cs="Times New Roman"/>
          <w:sz w:val="24"/>
          <w:szCs w:val="24"/>
        </w:rPr>
        <w:t xml:space="preserve"> without recalculating any individual indicators.</w:t>
      </w:r>
    </w:p>
    <w:p w14:paraId="3FC24F54" w14:textId="77777777" w:rsidR="00A5115D" w:rsidRPr="00C80522"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5D5A2365" w14:textId="404099E4" w:rsidR="00C80522" w:rsidRPr="00C80522" w:rsidRDefault="00A5115D" w:rsidP="00C80522">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A5115D">
        <w:rPr>
          <w:rFonts w:ascii="Times New Roman" w:eastAsia="Times New Roman" w:hAnsi="Times New Roman" w:cs="Times New Roman"/>
          <w:b/>
          <w:bCs/>
          <w:color w:val="FF0000"/>
          <w:kern w:val="36"/>
          <w:sz w:val="48"/>
          <w:szCs w:val="48"/>
        </w:rPr>
        <w:lastRenderedPageBreak/>
        <w:t>$</w:t>
      </w:r>
      <w:r w:rsidR="00C80522" w:rsidRPr="00C80522">
        <w:rPr>
          <w:rFonts w:ascii="Times New Roman" w:eastAsia="Times New Roman" w:hAnsi="Times New Roman" w:cs="Times New Roman"/>
          <w:b/>
          <w:bCs/>
          <w:color w:val="FF0000"/>
          <w:kern w:val="36"/>
          <w:sz w:val="48"/>
          <w:szCs w:val="48"/>
        </w:rPr>
        <w:t>. Options Dashboard Card</w:t>
      </w:r>
    </w:p>
    <w:p w14:paraId="660CB90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Module:</w:t>
      </w:r>
      <w:r w:rsidRPr="00C80522">
        <w:rPr>
          <w:rFonts w:ascii="Times New Roman" w:eastAsia="Times New Roman" w:hAnsi="Times New Roman" w:cs="Times New Roman"/>
          <w:sz w:val="24"/>
          <w:szCs w:val="24"/>
        </w:rPr>
        <w:t xml:space="preserve"> Options</w:t>
      </w:r>
      <w:r w:rsidRPr="00C80522">
        <w:rPr>
          <w:rFonts w:ascii="Times New Roman" w:eastAsia="Times New Roman" w:hAnsi="Times New Roman" w:cs="Times New Roman"/>
          <w:sz w:val="24"/>
          <w:szCs w:val="24"/>
        </w:rPr>
        <w:br/>
      </w:r>
      <w:r w:rsidRPr="00C80522">
        <w:rPr>
          <w:rFonts w:ascii="Times New Roman" w:eastAsia="Times New Roman" w:hAnsi="Times New Roman" w:cs="Times New Roman"/>
          <w:b/>
          <w:bCs/>
          <w:sz w:val="24"/>
          <w:szCs w:val="24"/>
        </w:rPr>
        <w:t>Category:</w:t>
      </w:r>
      <w:r w:rsidRPr="00C80522">
        <w:rPr>
          <w:rFonts w:ascii="Times New Roman" w:eastAsia="Times New Roman" w:hAnsi="Times New Roman" w:cs="Times New Roman"/>
          <w:sz w:val="24"/>
          <w:szCs w:val="24"/>
        </w:rPr>
        <w:t xml:space="preserve"> Dashboard</w:t>
      </w:r>
      <w:r w:rsidRPr="00C80522">
        <w:rPr>
          <w:rFonts w:ascii="Times New Roman" w:eastAsia="Times New Roman" w:hAnsi="Times New Roman" w:cs="Times New Roman"/>
          <w:sz w:val="24"/>
          <w:szCs w:val="24"/>
        </w:rPr>
        <w:br/>
      </w:r>
      <w:r w:rsidRPr="00C80522">
        <w:rPr>
          <w:rFonts w:ascii="Times New Roman" w:eastAsia="Times New Roman" w:hAnsi="Times New Roman" w:cs="Times New Roman"/>
          <w:b/>
          <w:bCs/>
          <w:sz w:val="24"/>
          <w:szCs w:val="24"/>
        </w:rPr>
        <w:t>Status:</w:t>
      </w:r>
      <w:r w:rsidRPr="00C80522">
        <w:rPr>
          <w:rFonts w:ascii="Times New Roman" w:eastAsia="Times New Roman" w:hAnsi="Times New Roman" w:cs="Times New Roman"/>
          <w:sz w:val="24"/>
          <w:szCs w:val="24"/>
        </w:rPr>
        <w:t xml:space="preserve"> Production Ready</w:t>
      </w:r>
    </w:p>
    <w:p w14:paraId="112210A4" w14:textId="77777777" w:rsidR="00C80522" w:rsidRPr="00C80522" w:rsidRDefault="00C80522" w:rsidP="00C80522">
      <w:pPr>
        <w:spacing w:before="100" w:beforeAutospacing="1" w:after="100" w:afterAutospacing="1" w:line="240" w:lineRule="auto"/>
        <w:outlineLvl w:val="1"/>
        <w:rPr>
          <w:rFonts w:ascii="Times New Roman" w:eastAsia="Times New Roman" w:hAnsi="Times New Roman" w:cs="Times New Roman"/>
          <w:b/>
          <w:bCs/>
          <w:sz w:val="36"/>
          <w:szCs w:val="36"/>
        </w:rPr>
      </w:pPr>
      <w:r w:rsidRPr="00C80522">
        <w:rPr>
          <w:rFonts w:ascii="Times New Roman" w:eastAsia="Times New Roman" w:hAnsi="Times New Roman" w:cs="Times New Roman"/>
          <w:b/>
          <w:bCs/>
          <w:sz w:val="36"/>
          <w:szCs w:val="36"/>
        </w:rPr>
        <w:t>1. Overview</w:t>
      </w:r>
    </w:p>
    <w:p w14:paraId="62E51CAC"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Name:</w:t>
      </w:r>
      <w:r w:rsidRPr="00C80522">
        <w:rPr>
          <w:rFonts w:ascii="Times New Roman" w:eastAsia="Times New Roman" w:hAnsi="Times New Roman" w:cs="Times New Roman"/>
          <w:sz w:val="24"/>
          <w:szCs w:val="24"/>
        </w:rPr>
        <w:t xml:space="preserve"> Options Dashboard Card</w:t>
      </w:r>
    </w:p>
    <w:p w14:paraId="0A89DC1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Short Name:</w:t>
      </w:r>
      <w:r w:rsidRPr="00C80522">
        <w:rPr>
          <w:rFonts w:ascii="Times New Roman" w:eastAsia="Times New Roman" w:hAnsi="Times New Roman" w:cs="Times New Roman"/>
          <w:sz w:val="24"/>
          <w:szCs w:val="24"/>
        </w:rPr>
        <w:t xml:space="preserve"> Options Card</w:t>
      </w:r>
    </w:p>
    <w:p w14:paraId="65CC02A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Module:</w:t>
      </w:r>
      <w:r w:rsidRPr="00C80522">
        <w:rPr>
          <w:rFonts w:ascii="Times New Roman" w:eastAsia="Times New Roman" w:hAnsi="Times New Roman" w:cs="Times New Roman"/>
          <w:sz w:val="24"/>
          <w:szCs w:val="24"/>
        </w:rPr>
        <w:t xml:space="preserve"> Options</w:t>
      </w:r>
    </w:p>
    <w:p w14:paraId="5E8F1E14"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Category:</w:t>
      </w:r>
      <w:r w:rsidRPr="00C80522">
        <w:rPr>
          <w:rFonts w:ascii="Times New Roman" w:eastAsia="Times New Roman" w:hAnsi="Times New Roman" w:cs="Times New Roman"/>
          <w:sz w:val="24"/>
          <w:szCs w:val="24"/>
        </w:rPr>
        <w:t xml:space="preserve"> Dashboard</w:t>
      </w:r>
    </w:p>
    <w:p w14:paraId="3381DBC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Purpose:</w:t>
      </w:r>
    </w:p>
    <w:p w14:paraId="17DA2EF4"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Provides a consolidated view of the overall Options Score, category performance, market positioning, volatility, and institutional sentiment in a single dashboard card.</w:t>
      </w:r>
    </w:p>
    <w:p w14:paraId="2847F43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Based On:</w:t>
      </w:r>
    </w:p>
    <w:p w14:paraId="6B700CC9"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Options Score Engine</w:t>
      </w:r>
    </w:p>
    <w:p w14:paraId="44A76711"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Importance:</w:t>
      </w:r>
    </w:p>
    <w:p w14:paraId="6529CE51"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Segoe UI Emoji" w:eastAsia="Times New Roman" w:hAnsi="Segoe UI Emoji" w:cs="Segoe UI Emoji"/>
          <w:sz w:val="24"/>
          <w:szCs w:val="24"/>
        </w:rPr>
        <w:t>⭐⭐⭐⭐⭐</w:t>
      </w:r>
      <w:r w:rsidRPr="00C80522">
        <w:rPr>
          <w:rFonts w:ascii="Times New Roman" w:eastAsia="Times New Roman" w:hAnsi="Times New Roman" w:cs="Times New Roman"/>
          <w:sz w:val="24"/>
          <w:szCs w:val="24"/>
        </w:rPr>
        <w:t xml:space="preserve"> (Primary Dashboard Component)</w:t>
      </w:r>
    </w:p>
    <w:p w14:paraId="0FDCDCC9"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Auto / Manual:</w:t>
      </w:r>
    </w:p>
    <w:p w14:paraId="270EB8F4"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Automatic</w:t>
      </w:r>
    </w:p>
    <w:p w14:paraId="7ADA296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Update Frequency:</w:t>
      </w:r>
    </w:p>
    <w:p w14:paraId="1E7245AF"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Every Option Chain Refresh</w:t>
      </w:r>
    </w:p>
    <w:p w14:paraId="20E7FD27"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Praxis Note:</w:t>
      </w:r>
    </w:p>
    <w:p w14:paraId="7EE78BF1"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This card is </w:t>
      </w:r>
      <w:r w:rsidRPr="00C80522">
        <w:rPr>
          <w:rFonts w:ascii="Times New Roman" w:eastAsia="Times New Roman" w:hAnsi="Times New Roman" w:cs="Times New Roman"/>
          <w:b/>
          <w:bCs/>
          <w:sz w:val="24"/>
          <w:szCs w:val="24"/>
        </w:rPr>
        <w:t>display-only</w:t>
      </w:r>
      <w:r w:rsidRPr="00C80522">
        <w:rPr>
          <w:rFonts w:ascii="Times New Roman" w:eastAsia="Times New Roman" w:hAnsi="Times New Roman" w:cs="Times New Roman"/>
          <w:sz w:val="24"/>
          <w:szCs w:val="24"/>
        </w:rPr>
        <w:t>. It consumes data from the Options Score Engine and never performs calculations.</w:t>
      </w:r>
    </w:p>
    <w:p w14:paraId="13F0A765"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2E2E1FEB">
          <v:rect id="_x0000_i1473" style="width:0;height:1.5pt" o:hralign="center" o:hrstd="t" o:hr="t" fillcolor="#a0a0a0" stroked="f"/>
        </w:pict>
      </w:r>
    </w:p>
    <w:p w14:paraId="12529780"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lastRenderedPageBreak/>
        <w:t>2. Data Requirements</w:t>
      </w:r>
    </w:p>
    <w:p w14:paraId="058AB9C2"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Required Data</w:t>
      </w:r>
    </w:p>
    <w:p w14:paraId="3604FA0E" w14:textId="77777777" w:rsidR="00C80522" w:rsidRPr="00C80522" w:rsidRDefault="00C80522" w:rsidP="00C80522">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Options Score </w:t>
      </w:r>
    </w:p>
    <w:p w14:paraId="77F9B5DC" w14:textId="77777777" w:rsidR="00C80522" w:rsidRPr="00C80522" w:rsidRDefault="00C80522" w:rsidP="00C80522">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Options Bias </w:t>
      </w:r>
    </w:p>
    <w:p w14:paraId="41C2C3C4" w14:textId="77777777" w:rsidR="00C80522" w:rsidRPr="00C80522" w:rsidRDefault="00C80522" w:rsidP="00C80522">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Overall Confidence </w:t>
      </w:r>
    </w:p>
    <w:p w14:paraId="67DD0001" w14:textId="77777777" w:rsidR="00C80522" w:rsidRPr="00C80522" w:rsidRDefault="00C80522" w:rsidP="00C80522">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Open Interest Score </w:t>
      </w:r>
    </w:p>
    <w:p w14:paraId="24562358" w14:textId="77777777" w:rsidR="00C80522" w:rsidRPr="00C80522" w:rsidRDefault="00C80522" w:rsidP="00C80522">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Put-Call Ratio Score </w:t>
      </w:r>
    </w:p>
    <w:p w14:paraId="1796BFE9" w14:textId="77777777" w:rsidR="00C80522" w:rsidRPr="00C80522" w:rsidRDefault="00C80522" w:rsidP="00C80522">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Implied Volatility Score </w:t>
      </w:r>
    </w:p>
    <w:p w14:paraId="0D4D186D" w14:textId="77777777" w:rsidR="00C80522" w:rsidRPr="00C80522" w:rsidRDefault="00C80522" w:rsidP="00C80522">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Greeks Score </w:t>
      </w:r>
    </w:p>
    <w:p w14:paraId="61AECBB6" w14:textId="77777777" w:rsidR="00C80522" w:rsidRPr="00C80522" w:rsidRDefault="00C80522" w:rsidP="00C80522">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Market Positioning Score </w:t>
      </w:r>
    </w:p>
    <w:p w14:paraId="09C9F537" w14:textId="77777777" w:rsidR="00C80522" w:rsidRPr="00C80522" w:rsidRDefault="00C80522" w:rsidP="00C80522">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Last Updated Timestamp </w:t>
      </w:r>
    </w:p>
    <w:p w14:paraId="23D0E845"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Data Source</w:t>
      </w:r>
    </w:p>
    <w:p w14:paraId="206B55C4"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Options Score Engine</w:t>
      </w:r>
    </w:p>
    <w:p w14:paraId="50C60A9B"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3A8B53C3">
          <v:rect id="_x0000_i1474" style="width:0;height:1.5pt" o:hralign="center" o:hrstd="t" o:hr="t" fillcolor="#a0a0a0" stroked="f"/>
        </w:pict>
      </w:r>
    </w:p>
    <w:p w14:paraId="5891C44F"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3. Industry Standard Calculation</w:t>
      </w:r>
    </w:p>
    <w:p w14:paraId="6B24E908"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Calculation</w:t>
      </w:r>
    </w:p>
    <w:p w14:paraId="020CCC0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No independent calculations.</w:t>
      </w:r>
    </w:p>
    <w:p w14:paraId="3FFCB0D1"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Consume outputs from:</w:t>
      </w:r>
    </w:p>
    <w:p w14:paraId="5C180E34" w14:textId="77777777" w:rsidR="00C80522" w:rsidRPr="00C80522" w:rsidRDefault="00C80522" w:rsidP="00C80522">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Options Score Engine </w:t>
      </w:r>
    </w:p>
    <w:p w14:paraId="21E5CE4A" w14:textId="77777777" w:rsidR="00C80522" w:rsidRPr="00C80522" w:rsidRDefault="00C80522" w:rsidP="00C80522">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Category Scores </w:t>
      </w:r>
    </w:p>
    <w:p w14:paraId="0827A7DB" w14:textId="77777777" w:rsidR="00C80522" w:rsidRPr="00C80522" w:rsidRDefault="00C80522" w:rsidP="00C80522">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Confidence Engine </w:t>
      </w:r>
    </w:p>
    <w:p w14:paraId="745F2E29"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Implementation Steps</w:t>
      </w:r>
    </w:p>
    <w:p w14:paraId="027ABE2E" w14:textId="77777777" w:rsidR="00C80522" w:rsidRPr="00C80522" w:rsidRDefault="00C80522" w:rsidP="00C80522">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Retrieve Options Engine output. </w:t>
      </w:r>
    </w:p>
    <w:p w14:paraId="39DE91C0" w14:textId="77777777" w:rsidR="00C80522" w:rsidRPr="00C80522" w:rsidRDefault="00C80522" w:rsidP="00C80522">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Display latest score and confidence. </w:t>
      </w:r>
    </w:p>
    <w:p w14:paraId="2A8A3E95" w14:textId="77777777" w:rsidR="00C80522" w:rsidRPr="00C80522" w:rsidRDefault="00C80522" w:rsidP="00C80522">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Display category breakdown. </w:t>
      </w:r>
    </w:p>
    <w:p w14:paraId="148F9DB8" w14:textId="77777777" w:rsidR="00C80522" w:rsidRPr="00C80522" w:rsidRDefault="00C80522" w:rsidP="00C80522">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Update charts. </w:t>
      </w:r>
    </w:p>
    <w:p w14:paraId="64A2492C" w14:textId="77777777" w:rsidR="00C80522" w:rsidRPr="00C80522" w:rsidRDefault="00C80522" w:rsidP="00C80522">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Refresh AI Insight. </w:t>
      </w:r>
    </w:p>
    <w:p w14:paraId="40DE1911"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Notes</w:t>
      </w:r>
    </w:p>
    <w:p w14:paraId="23747339" w14:textId="77777777" w:rsidR="00C80522" w:rsidRPr="00C80522" w:rsidRDefault="00C80522" w:rsidP="00C80522">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Never recalculate indicator values. </w:t>
      </w:r>
    </w:p>
    <w:p w14:paraId="45752793" w14:textId="77777777" w:rsidR="00C80522" w:rsidRPr="00C80522" w:rsidRDefault="00C80522" w:rsidP="00C80522">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Dashboard is presentation only. </w:t>
      </w:r>
    </w:p>
    <w:p w14:paraId="3A7C1263"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lastRenderedPageBreak/>
        <w:pict w14:anchorId="0E192E11">
          <v:rect id="_x0000_i1475" style="width:0;height:1.5pt" o:hralign="center" o:hrstd="t" o:hr="t" fillcolor="#a0a0a0" stroked="f"/>
        </w:pict>
      </w:r>
    </w:p>
    <w:p w14:paraId="44DA2D97"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4. Card Fields</w:t>
      </w:r>
    </w:p>
    <w:p w14:paraId="0113DA98"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Primary</w:t>
      </w:r>
    </w:p>
    <w:p w14:paraId="71B5996F" w14:textId="77777777" w:rsidR="00C80522" w:rsidRPr="00C80522" w:rsidRDefault="00C80522" w:rsidP="00C80522">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Options Score </w:t>
      </w:r>
    </w:p>
    <w:p w14:paraId="5ECC3B93" w14:textId="77777777" w:rsidR="00C80522" w:rsidRPr="00C80522" w:rsidRDefault="00C80522" w:rsidP="00C80522">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Bias </w:t>
      </w:r>
    </w:p>
    <w:p w14:paraId="5C164C58" w14:textId="77777777" w:rsidR="00C80522" w:rsidRPr="00C80522" w:rsidRDefault="00C80522" w:rsidP="00C80522">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Confidence </w:t>
      </w:r>
    </w:p>
    <w:p w14:paraId="5E7BB2EB"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Category Breakdown</w:t>
      </w:r>
    </w:p>
    <w:p w14:paraId="4A8BD13D" w14:textId="77777777" w:rsidR="00C80522" w:rsidRPr="00C80522" w:rsidRDefault="00C80522" w:rsidP="00C80522">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Open Interest </w:t>
      </w:r>
    </w:p>
    <w:p w14:paraId="70E6F244" w14:textId="77777777" w:rsidR="00C80522" w:rsidRPr="00C80522" w:rsidRDefault="00C80522" w:rsidP="00C80522">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Put-Call Ratio </w:t>
      </w:r>
    </w:p>
    <w:p w14:paraId="66E90420" w14:textId="77777777" w:rsidR="00C80522" w:rsidRPr="00C80522" w:rsidRDefault="00C80522" w:rsidP="00C80522">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Implied Volatility </w:t>
      </w:r>
    </w:p>
    <w:p w14:paraId="14502F59" w14:textId="77777777" w:rsidR="00C80522" w:rsidRPr="00C80522" w:rsidRDefault="00C80522" w:rsidP="00C80522">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Greeks </w:t>
      </w:r>
    </w:p>
    <w:p w14:paraId="63351623" w14:textId="77777777" w:rsidR="00C80522" w:rsidRPr="00C80522" w:rsidRDefault="00C80522" w:rsidP="00C80522">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Market Positioning </w:t>
      </w:r>
    </w:p>
    <w:p w14:paraId="069F2E63"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Visual Components</w:t>
      </w:r>
    </w:p>
    <w:p w14:paraId="23C32E22" w14:textId="77777777" w:rsidR="00C80522" w:rsidRPr="00C80522" w:rsidRDefault="00C80522" w:rsidP="00C80522">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Score Range Bar </w:t>
      </w:r>
    </w:p>
    <w:p w14:paraId="11CDA19A" w14:textId="77777777" w:rsidR="00C80522" w:rsidRPr="00C80522" w:rsidRDefault="00C80522" w:rsidP="00C80522">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30-Day Average Marker </w:t>
      </w:r>
    </w:p>
    <w:p w14:paraId="18BD3CDB" w14:textId="77777777" w:rsidR="00C80522" w:rsidRPr="00C80522" w:rsidRDefault="00C80522" w:rsidP="00C80522">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Current Score Pointer </w:t>
      </w:r>
    </w:p>
    <w:p w14:paraId="2ED461F8" w14:textId="77777777" w:rsidR="00C80522" w:rsidRPr="00C80522" w:rsidRDefault="00C80522" w:rsidP="00C80522">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Options Trend Chart </w:t>
      </w:r>
    </w:p>
    <w:p w14:paraId="24BF3AB7"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Additional</w:t>
      </w:r>
    </w:p>
    <w:p w14:paraId="573C4D3B" w14:textId="77777777" w:rsidR="00C80522" w:rsidRPr="00C80522" w:rsidRDefault="00C80522" w:rsidP="00C80522">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AI Insight </w:t>
      </w:r>
    </w:p>
    <w:p w14:paraId="3F6BA69A" w14:textId="77777777" w:rsidR="00C80522" w:rsidRPr="00C80522" w:rsidRDefault="00C80522" w:rsidP="00C80522">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Why It Matters </w:t>
      </w:r>
    </w:p>
    <w:p w14:paraId="1FE33771" w14:textId="77777777" w:rsidR="00C80522" w:rsidRPr="00C80522" w:rsidRDefault="00C80522" w:rsidP="00C80522">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Supporting Categories </w:t>
      </w:r>
    </w:p>
    <w:p w14:paraId="6AD2A731" w14:textId="77777777" w:rsidR="00C80522" w:rsidRPr="00C80522" w:rsidRDefault="00C80522" w:rsidP="00C80522">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Last Updated </w:t>
      </w:r>
    </w:p>
    <w:p w14:paraId="2E64E508"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77090DED">
          <v:rect id="_x0000_i1476" style="width:0;height:1.5pt" o:hralign="center" o:hrstd="t" o:hr="t" fillcolor="#a0a0a0" stroked="f"/>
        </w:pict>
      </w:r>
    </w:p>
    <w:p w14:paraId="6FB342D6"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5. Praxis Score Logic</w:t>
      </w:r>
    </w:p>
    <w:p w14:paraId="4B181144"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Display the score generated by the Options Engine.</w:t>
      </w:r>
    </w:p>
    <w:p w14:paraId="755B2B8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No additional scoring logic.</w:t>
      </w:r>
    </w:p>
    <w:p w14:paraId="45A2B5DC"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31682F71">
          <v:rect id="_x0000_i1477" style="width:0;height:1.5pt" o:hralign="center" o:hrstd="t" o:hr="t" fillcolor="#a0a0a0" stroked="f"/>
        </w:pict>
      </w:r>
    </w:p>
    <w:p w14:paraId="0E2799A8"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6. Bias Rules</w:t>
      </w:r>
    </w:p>
    <w:p w14:paraId="203E889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lastRenderedPageBreak/>
        <w:t>Display:</w:t>
      </w:r>
    </w:p>
    <w:p w14:paraId="1A0BCCEC" w14:textId="77777777" w:rsidR="00C80522" w:rsidRPr="00C80522" w:rsidRDefault="00C80522" w:rsidP="00C80522">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Strong Bullish </w:t>
      </w:r>
    </w:p>
    <w:p w14:paraId="51C14410" w14:textId="77777777" w:rsidR="00C80522" w:rsidRPr="00C80522" w:rsidRDefault="00C80522" w:rsidP="00C80522">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Bullish </w:t>
      </w:r>
    </w:p>
    <w:p w14:paraId="7E5CFAD7" w14:textId="77777777" w:rsidR="00C80522" w:rsidRPr="00C80522" w:rsidRDefault="00C80522" w:rsidP="00C80522">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Neutral </w:t>
      </w:r>
    </w:p>
    <w:p w14:paraId="501012ED" w14:textId="77777777" w:rsidR="00C80522" w:rsidRPr="00C80522" w:rsidRDefault="00C80522" w:rsidP="00C80522">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Bearish </w:t>
      </w:r>
    </w:p>
    <w:p w14:paraId="13B2DBA7" w14:textId="77777777" w:rsidR="00C80522" w:rsidRPr="00C80522" w:rsidRDefault="00C80522" w:rsidP="00C80522">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Strong Bearish </w:t>
      </w:r>
    </w:p>
    <w:p w14:paraId="4FA14911"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Exactly as received from the Options Engine.</w:t>
      </w:r>
    </w:p>
    <w:p w14:paraId="797D023D"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04F0BCB9">
          <v:rect id="_x0000_i1478" style="width:0;height:1.5pt" o:hralign="center" o:hrstd="t" o:hr="t" fillcolor="#a0a0a0" stroked="f"/>
        </w:pict>
      </w:r>
    </w:p>
    <w:p w14:paraId="4BCBE209"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7. Confidence Logic</w:t>
      </w:r>
    </w:p>
    <w:p w14:paraId="67AB411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Display:</w:t>
      </w:r>
    </w:p>
    <w:p w14:paraId="2FEE118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Overall Options Confidence</w:t>
      </w:r>
    </w:p>
    <w:p w14:paraId="5B23955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No recalculation.</w:t>
      </w:r>
    </w:p>
    <w:p w14:paraId="7F257CB3"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2284C14D">
          <v:rect id="_x0000_i1479" style="width:0;height:1.5pt" o:hralign="center" o:hrstd="t" o:hr="t" fillcolor="#a0a0a0" stroked="f"/>
        </w:pict>
      </w:r>
    </w:p>
    <w:p w14:paraId="5C2DEB84"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8. Score Range Bar</w:t>
      </w:r>
    </w:p>
    <w:p w14:paraId="68B116F8"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Minimum</w:t>
      </w:r>
    </w:p>
    <w:p w14:paraId="6CCB172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0</w:t>
      </w:r>
    </w:p>
    <w:p w14:paraId="46437AE6"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Maximum</w:t>
      </w:r>
    </w:p>
    <w:p w14:paraId="25CE93A9"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100</w:t>
      </w:r>
    </w:p>
    <w:p w14:paraId="01038687"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Pointer</w:t>
      </w:r>
    </w:p>
    <w:p w14:paraId="7F4C8B22"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Current Options Score</w:t>
      </w:r>
    </w:p>
    <w:p w14:paraId="368289F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Average Marker</w:t>
      </w:r>
    </w:p>
    <w:p w14:paraId="48F4B734"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30-Day Average</w:t>
      </w:r>
    </w:p>
    <w:p w14:paraId="6F252F3D"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Color Zones</w:t>
      </w:r>
    </w:p>
    <w:p w14:paraId="00921FD7"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0–30 → Strong Bearish</w:t>
      </w:r>
    </w:p>
    <w:p w14:paraId="00DC2525"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lastRenderedPageBreak/>
        <w:t>30–60 → Weak</w:t>
      </w:r>
    </w:p>
    <w:p w14:paraId="1889AC1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60–80 → Neutral</w:t>
      </w:r>
    </w:p>
    <w:p w14:paraId="749C0E2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80–100 → Strong Bullish</w:t>
      </w:r>
    </w:p>
    <w:p w14:paraId="21D7381C"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59F8745F">
          <v:rect id="_x0000_i1480" style="width:0;height:1.5pt" o:hralign="center" o:hrstd="t" o:hr="t" fillcolor="#a0a0a0" stroked="f"/>
        </w:pict>
      </w:r>
    </w:p>
    <w:p w14:paraId="58904EE1"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9. Dual Trend Chart</w:t>
      </w:r>
    </w:p>
    <w:p w14:paraId="332EFD3C"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Chart Type</w:t>
      </w:r>
    </w:p>
    <w:p w14:paraId="2CB5A51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Dual Line</w:t>
      </w:r>
    </w:p>
    <w:p w14:paraId="4F8A2E7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Line 1</w:t>
      </w:r>
    </w:p>
    <w:p w14:paraId="0325EC18"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Options Score</w:t>
      </w:r>
    </w:p>
    <w:p w14:paraId="60DF0C2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Line 2</w:t>
      </w:r>
    </w:p>
    <w:p w14:paraId="67E290FB"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Overall Confidence</w:t>
      </w:r>
    </w:p>
    <w:p w14:paraId="79E0E956"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History</w:t>
      </w:r>
    </w:p>
    <w:p w14:paraId="4464879F"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30 Trading Days</w:t>
      </w:r>
    </w:p>
    <w:p w14:paraId="5FB3B082"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Update</w:t>
      </w:r>
    </w:p>
    <w:p w14:paraId="0B874B96"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Every option chain refresh.</w:t>
      </w:r>
    </w:p>
    <w:p w14:paraId="606B8398"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2B9552B4">
          <v:rect id="_x0000_i1481" style="width:0;height:1.5pt" o:hralign="center" o:hrstd="t" o:hr="t" fillcolor="#a0a0a0" stroked="f"/>
        </w:pict>
      </w:r>
    </w:p>
    <w:p w14:paraId="17A450B6"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10. AI Insight Rules</w:t>
      </w:r>
    </w:p>
    <w:p w14:paraId="15B91E9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Display the AI summary generated from the Options Engine.</w:t>
      </w:r>
    </w:p>
    <w:p w14:paraId="79D6B9A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Priority order:</w:t>
      </w:r>
    </w:p>
    <w:p w14:paraId="3D9E1E9B" w14:textId="77777777" w:rsidR="00C80522" w:rsidRPr="00C80522" w:rsidRDefault="00C80522" w:rsidP="00C80522">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Overall Options Positioning </w:t>
      </w:r>
    </w:p>
    <w:p w14:paraId="7608E46A" w14:textId="77777777" w:rsidR="00C80522" w:rsidRPr="00C80522" w:rsidRDefault="00C80522" w:rsidP="00C80522">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Strongest Category </w:t>
      </w:r>
    </w:p>
    <w:p w14:paraId="4E2FBAFB" w14:textId="77777777" w:rsidR="00C80522" w:rsidRPr="00C80522" w:rsidRDefault="00C80522" w:rsidP="00C80522">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Weakest Category </w:t>
      </w:r>
    </w:p>
    <w:p w14:paraId="18250E6C" w14:textId="77777777" w:rsidR="00C80522" w:rsidRPr="00C80522" w:rsidRDefault="00C80522" w:rsidP="00C80522">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Confidence Warning (if applicable) </w:t>
      </w:r>
    </w:p>
    <w:p w14:paraId="60A6F38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Maximum:</w:t>
      </w:r>
    </w:p>
    <w:p w14:paraId="7FD9D8B5"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lastRenderedPageBreak/>
        <w:t>3–5 concise sentences.</w:t>
      </w:r>
    </w:p>
    <w:p w14:paraId="635BA751"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1A929657">
          <v:rect id="_x0000_i1482" style="width:0;height:1.5pt" o:hralign="center" o:hrstd="t" o:hr="t" fillcolor="#a0a0a0" stroked="f"/>
        </w:pict>
      </w:r>
    </w:p>
    <w:p w14:paraId="4E2EA92A"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11. Why It Matters</w:t>
      </w:r>
    </w:p>
    <w:p w14:paraId="6F1C88D2" w14:textId="77777777" w:rsidR="00C80522" w:rsidRPr="00C80522" w:rsidRDefault="00C80522" w:rsidP="00C80522">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Provides a quick overview of options market positioning. </w:t>
      </w:r>
    </w:p>
    <w:p w14:paraId="34B9D4F4" w14:textId="77777777" w:rsidR="00C80522" w:rsidRPr="00C80522" w:rsidRDefault="00C80522" w:rsidP="00C80522">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Highlights institutional sentiment. </w:t>
      </w:r>
    </w:p>
    <w:p w14:paraId="582B676F" w14:textId="77777777" w:rsidR="00C80522" w:rsidRPr="00C80522" w:rsidRDefault="00C80522" w:rsidP="00C80522">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Summarizes volatility and directional exposure. </w:t>
      </w:r>
    </w:p>
    <w:p w14:paraId="142C0284" w14:textId="77777777" w:rsidR="00C80522" w:rsidRPr="00C80522" w:rsidRDefault="00C80522" w:rsidP="00C80522">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Simplifies complex options data into a single score. </w:t>
      </w:r>
    </w:p>
    <w:p w14:paraId="776938B9" w14:textId="77777777" w:rsidR="00C80522" w:rsidRPr="00C80522" w:rsidRDefault="00C80522" w:rsidP="00C80522">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Serves as the primary Options summary for the Dashboard. </w:t>
      </w:r>
    </w:p>
    <w:p w14:paraId="1AB208F2"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049E3E02">
          <v:rect id="_x0000_i1483" style="width:0;height:1.5pt" o:hralign="center" o:hrstd="t" o:hr="t" fillcolor="#a0a0a0" stroked="f"/>
        </w:pict>
      </w:r>
    </w:p>
    <w:p w14:paraId="3B0DE995"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12. Trading Impact</w:t>
      </w:r>
    </w:p>
    <w:p w14:paraId="1FC6BF6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Intraday</w:t>
      </w:r>
    </w:p>
    <w:p w14:paraId="26AA0786"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Segoe UI Symbol" w:eastAsia="Times New Roman" w:hAnsi="Segoe UI Symbol" w:cs="Segoe UI Symbol"/>
          <w:sz w:val="24"/>
          <w:szCs w:val="24"/>
        </w:rPr>
        <w:t>★★★★★</w:t>
      </w:r>
    </w:p>
    <w:p w14:paraId="63EF5421"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Swing Trading</w:t>
      </w:r>
    </w:p>
    <w:p w14:paraId="6F7B5585"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Segoe UI Symbol" w:eastAsia="Times New Roman" w:hAnsi="Segoe UI Symbol" w:cs="Segoe UI Symbol"/>
          <w:sz w:val="24"/>
          <w:szCs w:val="24"/>
        </w:rPr>
        <w:t>★★★★★</w:t>
      </w:r>
    </w:p>
    <w:p w14:paraId="698CBFDB"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Positional Trading</w:t>
      </w:r>
    </w:p>
    <w:p w14:paraId="57A92E2B"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Segoe UI Symbol" w:eastAsia="Times New Roman" w:hAnsi="Segoe UI Symbol" w:cs="Segoe UI Symbol"/>
          <w:sz w:val="24"/>
          <w:szCs w:val="24"/>
        </w:rPr>
        <w:t>★★★★☆</w:t>
      </w:r>
    </w:p>
    <w:p w14:paraId="105CF9E5"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Options Trading</w:t>
      </w:r>
    </w:p>
    <w:p w14:paraId="59EB8A9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Segoe UI Symbol" w:eastAsia="Times New Roman" w:hAnsi="Segoe UI Symbol" w:cs="Segoe UI Symbol"/>
          <w:sz w:val="24"/>
          <w:szCs w:val="24"/>
        </w:rPr>
        <w:t>★★★★★</w:t>
      </w:r>
    </w:p>
    <w:p w14:paraId="3C310991"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Best Use</w:t>
      </w:r>
    </w:p>
    <w:p w14:paraId="4048CE6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Institutional positioning assessment.</w:t>
      </w:r>
    </w:p>
    <w:p w14:paraId="442401C4"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45BD8142">
          <v:rect id="_x0000_i1484" style="width:0;height:1.5pt" o:hralign="center" o:hrstd="t" o:hr="t" fillcolor="#a0a0a0" stroked="f"/>
        </w:pict>
      </w:r>
    </w:p>
    <w:p w14:paraId="346491B3"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13. Supporting Indicators</w:t>
      </w:r>
    </w:p>
    <w:p w14:paraId="11363D2C" w14:textId="77777777" w:rsidR="00C80522" w:rsidRPr="00C80522" w:rsidRDefault="00C80522" w:rsidP="00C80522">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Options Score Engine </w:t>
      </w:r>
    </w:p>
    <w:p w14:paraId="68D57CDA" w14:textId="77777777" w:rsidR="00C80522" w:rsidRPr="00C80522" w:rsidRDefault="00C80522" w:rsidP="00C80522">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Open Interest </w:t>
      </w:r>
    </w:p>
    <w:p w14:paraId="6123960E" w14:textId="77777777" w:rsidR="00C80522" w:rsidRPr="00C80522" w:rsidRDefault="00C80522" w:rsidP="00C80522">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Put-Call Ratio </w:t>
      </w:r>
    </w:p>
    <w:p w14:paraId="2D406F47" w14:textId="77777777" w:rsidR="00C80522" w:rsidRPr="00C80522" w:rsidRDefault="00C80522" w:rsidP="00C80522">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lastRenderedPageBreak/>
        <w:t xml:space="preserve">Implied Volatility </w:t>
      </w:r>
    </w:p>
    <w:p w14:paraId="1BF9C89E" w14:textId="77777777" w:rsidR="00C80522" w:rsidRPr="00C80522" w:rsidRDefault="00C80522" w:rsidP="00C80522">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Greeks </w:t>
      </w:r>
    </w:p>
    <w:p w14:paraId="5892165C" w14:textId="77777777" w:rsidR="00C80522" w:rsidRPr="00C80522" w:rsidRDefault="00C80522" w:rsidP="00C80522">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Market Positioning </w:t>
      </w:r>
    </w:p>
    <w:p w14:paraId="7770B3C4"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1214931A">
          <v:rect id="_x0000_i1485" style="width:0;height:1.5pt" o:hralign="center" o:hrstd="t" o:hr="t" fillcolor="#a0a0a0" stroked="f"/>
        </w:pict>
      </w:r>
    </w:p>
    <w:p w14:paraId="39AD5912"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14. Metadata</w:t>
      </w:r>
    </w:p>
    <w:p w14:paraId="4A3ECC8C"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Source</w:t>
      </w:r>
    </w:p>
    <w:p w14:paraId="6639FBDC"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Options Engine</w:t>
      </w:r>
    </w:p>
    <w:p w14:paraId="5980216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Calculation</w:t>
      </w:r>
    </w:p>
    <w:p w14:paraId="238F5221"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None (Display Only)</w:t>
      </w:r>
    </w:p>
    <w:p w14:paraId="4C4E754F"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Updated</w:t>
      </w:r>
    </w:p>
    <w:p w14:paraId="78F72FD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Every Option Chain Refresh</w:t>
      </w:r>
    </w:p>
    <w:p w14:paraId="3DF22FC8"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proofErr w:type="spellStart"/>
      <w:r w:rsidRPr="00C80522">
        <w:rPr>
          <w:rFonts w:ascii="Times New Roman" w:eastAsia="Times New Roman" w:hAnsi="Times New Roman" w:cs="Times New Roman"/>
          <w:b/>
          <w:bCs/>
          <w:sz w:val="24"/>
          <w:szCs w:val="24"/>
        </w:rPr>
        <w:t>Timezone</w:t>
      </w:r>
      <w:proofErr w:type="spellEnd"/>
    </w:p>
    <w:p w14:paraId="0F1FD0D2"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Asia/Kolkata</w:t>
      </w:r>
    </w:p>
    <w:p w14:paraId="529AAE8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Storage</w:t>
      </w:r>
    </w:p>
    <w:p w14:paraId="132556C5"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Local Electron Database</w:t>
      </w:r>
    </w:p>
    <w:p w14:paraId="1A7E771F"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3A5C02EB">
          <v:rect id="_x0000_i1486" style="width:0;height:1.5pt" o:hralign="center" o:hrstd="t" o:hr="t" fillcolor="#a0a0a0" stroked="f"/>
        </w:pict>
      </w:r>
    </w:p>
    <w:p w14:paraId="00AC928B"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15. Developer Notes</w:t>
      </w:r>
    </w:p>
    <w:p w14:paraId="777E8D66"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Display only.</w:t>
      </w:r>
    </w:p>
    <w:p w14:paraId="4D037705"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Do not calculate:</w:t>
      </w:r>
    </w:p>
    <w:p w14:paraId="18F9CEAA" w14:textId="77777777" w:rsidR="00C80522" w:rsidRPr="00C80522" w:rsidRDefault="00C80522" w:rsidP="00C80522">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Scores </w:t>
      </w:r>
    </w:p>
    <w:p w14:paraId="427A0D0D" w14:textId="77777777" w:rsidR="00C80522" w:rsidRPr="00C80522" w:rsidRDefault="00C80522" w:rsidP="00C80522">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Bias </w:t>
      </w:r>
    </w:p>
    <w:p w14:paraId="5F537587" w14:textId="77777777" w:rsidR="00C80522" w:rsidRPr="00C80522" w:rsidRDefault="00C80522" w:rsidP="00C80522">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Confidence </w:t>
      </w:r>
    </w:p>
    <w:p w14:paraId="1FD092A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Consume directly from the Options Engine.</w:t>
      </w:r>
    </w:p>
    <w:p w14:paraId="1F973656"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Refresh automatically whenever the Options Engine publishes new data.</w:t>
      </w:r>
    </w:p>
    <w:p w14:paraId="070C4C06"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lastRenderedPageBreak/>
        <w:t>Cache previous values to support dashboard history.</w:t>
      </w:r>
    </w:p>
    <w:p w14:paraId="7DCD404B"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76E8CD3B">
          <v:rect id="_x0000_i1487" style="width:0;height:1.5pt" o:hralign="center" o:hrstd="t" o:hr="t" fillcolor="#a0a0a0" stroked="f"/>
        </w:pict>
      </w:r>
    </w:p>
    <w:p w14:paraId="46286D57"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 xml:space="preserve">16. Praxis Engine Integration </w:t>
      </w:r>
      <w:r w:rsidRPr="00C80522">
        <w:rPr>
          <w:rFonts w:ascii="Segoe UI Emoji" w:eastAsia="Times New Roman" w:hAnsi="Segoe UI Emoji" w:cs="Segoe UI Emoji"/>
          <w:b/>
          <w:bCs/>
          <w:kern w:val="36"/>
          <w:sz w:val="48"/>
          <w:szCs w:val="48"/>
        </w:rPr>
        <w:t>⭐</w:t>
      </w:r>
    </w:p>
    <w:p w14:paraId="17F77242"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Display Priority</w:t>
      </w:r>
    </w:p>
    <w:p w14:paraId="0AE704A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Highest</w:t>
      </w:r>
    </w:p>
    <w:p w14:paraId="5BAB2B4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Consumes</w:t>
      </w:r>
    </w:p>
    <w:p w14:paraId="50A71E40" w14:textId="77777777" w:rsidR="00C80522" w:rsidRPr="00C80522" w:rsidRDefault="00C80522" w:rsidP="00C80522">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Options Score </w:t>
      </w:r>
    </w:p>
    <w:p w14:paraId="36405B96" w14:textId="77777777" w:rsidR="00C80522" w:rsidRPr="00C80522" w:rsidRDefault="00C80522" w:rsidP="00C80522">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Bias </w:t>
      </w:r>
    </w:p>
    <w:p w14:paraId="5E065744" w14:textId="77777777" w:rsidR="00C80522" w:rsidRPr="00C80522" w:rsidRDefault="00C80522" w:rsidP="00C80522">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Confidence </w:t>
      </w:r>
    </w:p>
    <w:p w14:paraId="344EBA60" w14:textId="77777777" w:rsidR="00C80522" w:rsidRPr="00C80522" w:rsidRDefault="00C80522" w:rsidP="00C80522">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Category Scores </w:t>
      </w:r>
    </w:p>
    <w:p w14:paraId="4B50B337"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Outputs</w:t>
      </w:r>
    </w:p>
    <w:p w14:paraId="71F8239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None</w:t>
      </w:r>
    </w:p>
    <w:p w14:paraId="577B27AF"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This card is a presentation layer and does not feed back into any engine.</w:t>
      </w:r>
    </w:p>
    <w:p w14:paraId="2AAE42E9"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5C1644CC">
          <v:rect id="_x0000_i1488" style="width:0;height:1.5pt" o:hralign="center" o:hrstd="t" o:hr="t" fillcolor="#a0a0a0" stroked="f"/>
        </w:pict>
      </w:r>
    </w:p>
    <w:p w14:paraId="7A49B26B"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17. Praxis Recommendation</w:t>
      </w:r>
    </w:p>
    <w:p w14:paraId="784EA189"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The Options Dashboard Card should act as the </w:t>
      </w:r>
      <w:r w:rsidRPr="00C80522">
        <w:rPr>
          <w:rFonts w:ascii="Times New Roman" w:eastAsia="Times New Roman" w:hAnsi="Times New Roman" w:cs="Times New Roman"/>
          <w:b/>
          <w:bCs/>
          <w:sz w:val="24"/>
          <w:szCs w:val="24"/>
        </w:rPr>
        <w:t>single visualization component</w:t>
      </w:r>
      <w:r w:rsidRPr="00C80522">
        <w:rPr>
          <w:rFonts w:ascii="Times New Roman" w:eastAsia="Times New Roman" w:hAnsi="Times New Roman" w:cs="Times New Roman"/>
          <w:sz w:val="24"/>
          <w:szCs w:val="24"/>
        </w:rPr>
        <w:t xml:space="preserve"> for the Options module.</w:t>
      </w:r>
    </w:p>
    <w:p w14:paraId="7B980FE8"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Display Hierarchy</w:t>
      </w:r>
    </w:p>
    <w:p w14:paraId="13A7435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Segoe UI Emoji" w:eastAsia="Times New Roman" w:hAnsi="Segoe UI Emoji" w:cs="Segoe UI Emoji"/>
          <w:sz w:val="24"/>
          <w:szCs w:val="24"/>
        </w:rPr>
        <w:t>⭐⭐⭐⭐⭐</w:t>
      </w:r>
      <w:r w:rsidRPr="00C80522">
        <w:rPr>
          <w:rFonts w:ascii="Times New Roman" w:eastAsia="Times New Roman" w:hAnsi="Times New Roman" w:cs="Times New Roman"/>
          <w:sz w:val="24"/>
          <w:szCs w:val="24"/>
        </w:rPr>
        <w:t xml:space="preserve"> Options Score</w:t>
      </w:r>
    </w:p>
    <w:p w14:paraId="12CE8D5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Cambria Math" w:eastAsia="Times New Roman" w:hAnsi="Cambria Math" w:cs="Cambria Math"/>
          <w:sz w:val="24"/>
          <w:szCs w:val="24"/>
        </w:rPr>
        <w:t>⬇</w:t>
      </w:r>
    </w:p>
    <w:p w14:paraId="1911E3D5"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Category Breakdown</w:t>
      </w:r>
    </w:p>
    <w:p w14:paraId="5E5E1AF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Cambria Math" w:eastAsia="Times New Roman" w:hAnsi="Cambria Math" w:cs="Cambria Math"/>
          <w:sz w:val="24"/>
          <w:szCs w:val="24"/>
        </w:rPr>
        <w:t>⬇</w:t>
      </w:r>
    </w:p>
    <w:p w14:paraId="5B3CBB6F"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Trend Chart</w:t>
      </w:r>
    </w:p>
    <w:p w14:paraId="43EF856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Cambria Math" w:eastAsia="Times New Roman" w:hAnsi="Cambria Math" w:cs="Cambria Math"/>
          <w:sz w:val="24"/>
          <w:szCs w:val="24"/>
        </w:rPr>
        <w:t>⬇</w:t>
      </w:r>
    </w:p>
    <w:p w14:paraId="56DD0EA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lastRenderedPageBreak/>
        <w:t>AI Insight</w:t>
      </w:r>
    </w:p>
    <w:p w14:paraId="79887894"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Cambria Math" w:eastAsia="Times New Roman" w:hAnsi="Cambria Math" w:cs="Cambria Math"/>
          <w:sz w:val="24"/>
          <w:szCs w:val="24"/>
        </w:rPr>
        <w:t>⬇</w:t>
      </w:r>
    </w:p>
    <w:p w14:paraId="0386CA65"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Metadata</w:t>
      </w:r>
    </w:p>
    <w:p w14:paraId="650F2549"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Dashboard Rules</w:t>
      </w:r>
    </w:p>
    <w:p w14:paraId="11163BE3" w14:textId="77777777" w:rsidR="00C80522" w:rsidRPr="00C80522" w:rsidRDefault="00C80522" w:rsidP="00C80522">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Never perform calculations. </w:t>
      </w:r>
    </w:p>
    <w:p w14:paraId="1D042931" w14:textId="77777777" w:rsidR="00C80522" w:rsidRPr="00C80522" w:rsidRDefault="00C80522" w:rsidP="00C80522">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Always consume the latest Options Engine output. </w:t>
      </w:r>
    </w:p>
    <w:p w14:paraId="43ACF958" w14:textId="77777777" w:rsidR="00C80522" w:rsidRPr="00C80522" w:rsidRDefault="00C80522" w:rsidP="00C80522">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Refresh automatically after every Options Engine update. </w:t>
      </w:r>
    </w:p>
    <w:p w14:paraId="5DE675D1" w14:textId="3BCC8C7D" w:rsidR="00C80522" w:rsidRDefault="00C80522" w:rsidP="00C80522">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Maintain a clean, high-level summary suitable for rapid trading decisions.</w:t>
      </w:r>
    </w:p>
    <w:p w14:paraId="31366FC0" w14:textId="1069F883"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4C6F724F" w14:textId="6A812DCB"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78C6B091" w14:textId="7970931F"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6EC9148E" w14:textId="33267503"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6563BD71" w14:textId="3E679196"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2648F2CC" w14:textId="579744A4"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61311AD2" w14:textId="33DEE2ED"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08B46283" w14:textId="0B33E8DA"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61789B94" w14:textId="6AF5794B"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663B2E1A" w14:textId="07647F07"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3569F261" w14:textId="3C844DFA"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3AB04863" w14:textId="17D5CC45"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000A1F6E" w14:textId="1F646075"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68D52366" w14:textId="53BBDEB0"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695AEF96" w14:textId="60A62BAD"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61E6720C" w14:textId="60B22D45" w:rsid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2E7F9406" w14:textId="77777777" w:rsidR="00A5115D" w:rsidRPr="00C80522" w:rsidRDefault="00A5115D" w:rsidP="00A5115D">
      <w:pPr>
        <w:spacing w:before="100" w:beforeAutospacing="1" w:after="100" w:afterAutospacing="1" w:line="240" w:lineRule="auto"/>
        <w:rPr>
          <w:rFonts w:ascii="Times New Roman" w:eastAsia="Times New Roman" w:hAnsi="Times New Roman" w:cs="Times New Roman"/>
          <w:sz w:val="24"/>
          <w:szCs w:val="24"/>
        </w:rPr>
      </w:pPr>
    </w:p>
    <w:p w14:paraId="468D8A4F" w14:textId="642A09F3" w:rsidR="00C80522" w:rsidRPr="00C80522" w:rsidRDefault="00A5115D" w:rsidP="00C80522">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A5115D">
        <w:rPr>
          <w:rFonts w:ascii="Times New Roman" w:eastAsia="Times New Roman" w:hAnsi="Times New Roman" w:cs="Times New Roman"/>
          <w:b/>
          <w:bCs/>
          <w:color w:val="FF0000"/>
          <w:kern w:val="36"/>
          <w:sz w:val="48"/>
          <w:szCs w:val="48"/>
        </w:rPr>
        <w:lastRenderedPageBreak/>
        <w:t>$</w:t>
      </w:r>
      <w:r w:rsidR="00C80522" w:rsidRPr="00C80522">
        <w:rPr>
          <w:rFonts w:ascii="Times New Roman" w:eastAsia="Times New Roman" w:hAnsi="Times New Roman" w:cs="Times New Roman"/>
          <w:b/>
          <w:bCs/>
          <w:color w:val="FF0000"/>
          <w:kern w:val="36"/>
          <w:sz w:val="48"/>
          <w:szCs w:val="48"/>
        </w:rPr>
        <w:t>. Options AI Engine</w:t>
      </w:r>
    </w:p>
    <w:p w14:paraId="3EFFC52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Module:</w:t>
      </w:r>
      <w:r w:rsidRPr="00C80522">
        <w:rPr>
          <w:rFonts w:ascii="Times New Roman" w:eastAsia="Times New Roman" w:hAnsi="Times New Roman" w:cs="Times New Roman"/>
          <w:sz w:val="24"/>
          <w:szCs w:val="24"/>
        </w:rPr>
        <w:t xml:space="preserve"> Options</w:t>
      </w:r>
      <w:r w:rsidRPr="00C80522">
        <w:rPr>
          <w:rFonts w:ascii="Times New Roman" w:eastAsia="Times New Roman" w:hAnsi="Times New Roman" w:cs="Times New Roman"/>
          <w:sz w:val="24"/>
          <w:szCs w:val="24"/>
        </w:rPr>
        <w:br/>
      </w:r>
      <w:r w:rsidRPr="00C80522">
        <w:rPr>
          <w:rFonts w:ascii="Times New Roman" w:eastAsia="Times New Roman" w:hAnsi="Times New Roman" w:cs="Times New Roman"/>
          <w:b/>
          <w:bCs/>
          <w:sz w:val="24"/>
          <w:szCs w:val="24"/>
        </w:rPr>
        <w:t>Category:</w:t>
      </w:r>
      <w:r w:rsidRPr="00C80522">
        <w:rPr>
          <w:rFonts w:ascii="Times New Roman" w:eastAsia="Times New Roman" w:hAnsi="Times New Roman" w:cs="Times New Roman"/>
          <w:sz w:val="24"/>
          <w:szCs w:val="24"/>
        </w:rPr>
        <w:t xml:space="preserve"> AI Engine</w:t>
      </w:r>
      <w:r w:rsidRPr="00C80522">
        <w:rPr>
          <w:rFonts w:ascii="Times New Roman" w:eastAsia="Times New Roman" w:hAnsi="Times New Roman" w:cs="Times New Roman"/>
          <w:sz w:val="24"/>
          <w:szCs w:val="24"/>
        </w:rPr>
        <w:br/>
      </w:r>
      <w:r w:rsidRPr="00C80522">
        <w:rPr>
          <w:rFonts w:ascii="Times New Roman" w:eastAsia="Times New Roman" w:hAnsi="Times New Roman" w:cs="Times New Roman"/>
          <w:b/>
          <w:bCs/>
          <w:sz w:val="24"/>
          <w:szCs w:val="24"/>
        </w:rPr>
        <w:t>Status:</w:t>
      </w:r>
      <w:r w:rsidRPr="00C80522">
        <w:rPr>
          <w:rFonts w:ascii="Times New Roman" w:eastAsia="Times New Roman" w:hAnsi="Times New Roman" w:cs="Times New Roman"/>
          <w:sz w:val="24"/>
          <w:szCs w:val="24"/>
        </w:rPr>
        <w:t xml:space="preserve"> Production Ready</w:t>
      </w:r>
    </w:p>
    <w:p w14:paraId="753A40F3" w14:textId="77777777" w:rsidR="00C80522" w:rsidRPr="00C80522" w:rsidRDefault="00C80522" w:rsidP="00C80522">
      <w:pPr>
        <w:spacing w:before="100" w:beforeAutospacing="1" w:after="100" w:afterAutospacing="1" w:line="240" w:lineRule="auto"/>
        <w:outlineLvl w:val="1"/>
        <w:rPr>
          <w:rFonts w:ascii="Times New Roman" w:eastAsia="Times New Roman" w:hAnsi="Times New Roman" w:cs="Times New Roman"/>
          <w:b/>
          <w:bCs/>
          <w:sz w:val="36"/>
          <w:szCs w:val="36"/>
        </w:rPr>
      </w:pPr>
      <w:r w:rsidRPr="00C80522">
        <w:rPr>
          <w:rFonts w:ascii="Times New Roman" w:eastAsia="Times New Roman" w:hAnsi="Times New Roman" w:cs="Times New Roman"/>
          <w:b/>
          <w:bCs/>
          <w:sz w:val="36"/>
          <w:szCs w:val="36"/>
        </w:rPr>
        <w:t>1. Overview</w:t>
      </w:r>
    </w:p>
    <w:p w14:paraId="56DAB2CC"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Name:</w:t>
      </w:r>
      <w:r w:rsidRPr="00C80522">
        <w:rPr>
          <w:rFonts w:ascii="Times New Roman" w:eastAsia="Times New Roman" w:hAnsi="Times New Roman" w:cs="Times New Roman"/>
          <w:sz w:val="24"/>
          <w:szCs w:val="24"/>
        </w:rPr>
        <w:t xml:space="preserve"> Options AI Engine</w:t>
      </w:r>
    </w:p>
    <w:p w14:paraId="1F0A1427"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Short Name:</w:t>
      </w:r>
      <w:r w:rsidRPr="00C80522">
        <w:rPr>
          <w:rFonts w:ascii="Times New Roman" w:eastAsia="Times New Roman" w:hAnsi="Times New Roman" w:cs="Times New Roman"/>
          <w:sz w:val="24"/>
          <w:szCs w:val="24"/>
        </w:rPr>
        <w:t xml:space="preserve"> Options AI</w:t>
      </w:r>
    </w:p>
    <w:p w14:paraId="60B3E00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Module:</w:t>
      </w:r>
      <w:r w:rsidRPr="00C80522">
        <w:rPr>
          <w:rFonts w:ascii="Times New Roman" w:eastAsia="Times New Roman" w:hAnsi="Times New Roman" w:cs="Times New Roman"/>
          <w:sz w:val="24"/>
          <w:szCs w:val="24"/>
        </w:rPr>
        <w:t xml:space="preserve"> Options</w:t>
      </w:r>
    </w:p>
    <w:p w14:paraId="6FA7424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Category:</w:t>
      </w:r>
      <w:r w:rsidRPr="00C80522">
        <w:rPr>
          <w:rFonts w:ascii="Times New Roman" w:eastAsia="Times New Roman" w:hAnsi="Times New Roman" w:cs="Times New Roman"/>
          <w:sz w:val="24"/>
          <w:szCs w:val="24"/>
        </w:rPr>
        <w:t xml:space="preserve"> AI Engine</w:t>
      </w:r>
    </w:p>
    <w:p w14:paraId="7EA6FC7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Purpose:</w:t>
      </w:r>
    </w:p>
    <w:p w14:paraId="6730CE3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Generate concise, human-readable explanations for the Options module using structured outputs from the Options Score Engine.</w:t>
      </w:r>
    </w:p>
    <w:p w14:paraId="5664754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Based On:</w:t>
      </w:r>
    </w:p>
    <w:p w14:paraId="66F4792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Options Score Engine</w:t>
      </w:r>
    </w:p>
    <w:p w14:paraId="4BD82B1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Importance:</w:t>
      </w:r>
    </w:p>
    <w:p w14:paraId="3EF95F4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Segoe UI Emoji" w:eastAsia="Times New Roman" w:hAnsi="Segoe UI Emoji" w:cs="Segoe UI Emoji"/>
          <w:sz w:val="24"/>
          <w:szCs w:val="24"/>
        </w:rPr>
        <w:t>⭐⭐⭐⭐⭐</w:t>
      </w:r>
      <w:r w:rsidRPr="00C80522">
        <w:rPr>
          <w:rFonts w:ascii="Times New Roman" w:eastAsia="Times New Roman" w:hAnsi="Times New Roman" w:cs="Times New Roman"/>
          <w:sz w:val="24"/>
          <w:szCs w:val="24"/>
        </w:rPr>
        <w:t xml:space="preserve"> (Core AI Component)</w:t>
      </w:r>
    </w:p>
    <w:p w14:paraId="7FCA0049"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Auto / Manual:</w:t>
      </w:r>
    </w:p>
    <w:p w14:paraId="0379DF45"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Automatic</w:t>
      </w:r>
    </w:p>
    <w:p w14:paraId="7576F929"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Update Frequency:</w:t>
      </w:r>
    </w:p>
    <w:p w14:paraId="70418258"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Every Option Chain Refresh</w:t>
      </w:r>
    </w:p>
    <w:p w14:paraId="1C324BE7"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Praxis Note:</w:t>
      </w:r>
    </w:p>
    <w:p w14:paraId="50969FF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The AI Engine </w:t>
      </w:r>
      <w:r w:rsidRPr="00C80522">
        <w:rPr>
          <w:rFonts w:ascii="Times New Roman" w:eastAsia="Times New Roman" w:hAnsi="Times New Roman" w:cs="Times New Roman"/>
          <w:b/>
          <w:bCs/>
          <w:sz w:val="24"/>
          <w:szCs w:val="24"/>
        </w:rPr>
        <w:t>never performs calculations</w:t>
      </w:r>
      <w:r w:rsidRPr="00C80522">
        <w:rPr>
          <w:rFonts w:ascii="Times New Roman" w:eastAsia="Times New Roman" w:hAnsi="Times New Roman" w:cs="Times New Roman"/>
          <w:sz w:val="24"/>
          <w:szCs w:val="24"/>
        </w:rPr>
        <w:t xml:space="preserve"> or modifies scores. It only explains the outputs generated by the Options Score Engine.</w:t>
      </w:r>
    </w:p>
    <w:p w14:paraId="3D842977"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1691EB3B">
          <v:rect id="_x0000_i1505" style="width:0;height:1.5pt" o:hralign="center" o:hrstd="t" o:hr="t" fillcolor="#a0a0a0" stroked="f"/>
        </w:pict>
      </w:r>
    </w:p>
    <w:p w14:paraId="12378670"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lastRenderedPageBreak/>
        <w:t>2. Data Requirements</w:t>
      </w:r>
    </w:p>
    <w:p w14:paraId="772D1FBF"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Required Inputs</w:t>
      </w:r>
    </w:p>
    <w:p w14:paraId="1927D0E9" w14:textId="77777777" w:rsidR="00C80522" w:rsidRPr="00C80522" w:rsidRDefault="00C80522" w:rsidP="00C80522">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Options Score </w:t>
      </w:r>
    </w:p>
    <w:p w14:paraId="27862B20" w14:textId="77777777" w:rsidR="00C80522" w:rsidRPr="00C80522" w:rsidRDefault="00C80522" w:rsidP="00C80522">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Options Bias </w:t>
      </w:r>
    </w:p>
    <w:p w14:paraId="6131321B" w14:textId="77777777" w:rsidR="00C80522" w:rsidRPr="00C80522" w:rsidRDefault="00C80522" w:rsidP="00C80522">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Overall Confidence </w:t>
      </w:r>
    </w:p>
    <w:p w14:paraId="375C1A97" w14:textId="77777777" w:rsidR="00C80522" w:rsidRPr="00C80522" w:rsidRDefault="00C80522" w:rsidP="00C80522">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Open Interest Score </w:t>
      </w:r>
    </w:p>
    <w:p w14:paraId="6374D218" w14:textId="77777777" w:rsidR="00C80522" w:rsidRPr="00C80522" w:rsidRDefault="00C80522" w:rsidP="00C80522">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Put-Call Ratio Score </w:t>
      </w:r>
    </w:p>
    <w:p w14:paraId="13ACC840" w14:textId="77777777" w:rsidR="00C80522" w:rsidRPr="00C80522" w:rsidRDefault="00C80522" w:rsidP="00C80522">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Implied Volatility Score </w:t>
      </w:r>
    </w:p>
    <w:p w14:paraId="668AF772" w14:textId="77777777" w:rsidR="00C80522" w:rsidRPr="00C80522" w:rsidRDefault="00C80522" w:rsidP="00C80522">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Greeks Score </w:t>
      </w:r>
    </w:p>
    <w:p w14:paraId="7C43B317" w14:textId="77777777" w:rsidR="00C80522" w:rsidRPr="00C80522" w:rsidRDefault="00C80522" w:rsidP="00C80522">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Market Positioning Score </w:t>
      </w:r>
    </w:p>
    <w:p w14:paraId="4C3A8206" w14:textId="77777777" w:rsidR="00C80522" w:rsidRPr="00C80522" w:rsidRDefault="00C80522" w:rsidP="00C80522">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Highest Scoring Category </w:t>
      </w:r>
    </w:p>
    <w:p w14:paraId="7B9B0601" w14:textId="77777777" w:rsidR="00C80522" w:rsidRPr="00C80522" w:rsidRDefault="00C80522" w:rsidP="00C80522">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Lowest Scoring Category </w:t>
      </w:r>
    </w:p>
    <w:p w14:paraId="05424ECD"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Source</w:t>
      </w:r>
    </w:p>
    <w:p w14:paraId="5BD5BA74"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Options Score Engine</w:t>
      </w:r>
    </w:p>
    <w:p w14:paraId="315EE5E2"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76F9E82F">
          <v:rect id="_x0000_i1506" style="width:0;height:1.5pt" o:hralign="center" o:hrstd="t" o:hr="t" fillcolor="#a0a0a0" stroked="f"/>
        </w:pict>
      </w:r>
    </w:p>
    <w:p w14:paraId="20A5DE9A"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3. Industry Standard Logic</w:t>
      </w:r>
    </w:p>
    <w:p w14:paraId="16598913"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Workflow</w:t>
      </w:r>
    </w:p>
    <w:p w14:paraId="03EC4A30" w14:textId="77777777" w:rsidR="00C80522" w:rsidRPr="00C80522" w:rsidRDefault="00C80522" w:rsidP="00C80522">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Receive Options Engine outputs. </w:t>
      </w:r>
    </w:p>
    <w:p w14:paraId="1AE6D454" w14:textId="77777777" w:rsidR="00C80522" w:rsidRPr="00C80522" w:rsidRDefault="00C80522" w:rsidP="00C80522">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Identify the strongest category. </w:t>
      </w:r>
    </w:p>
    <w:p w14:paraId="246C5988" w14:textId="77777777" w:rsidR="00C80522" w:rsidRPr="00C80522" w:rsidRDefault="00C80522" w:rsidP="00C80522">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Identify the weakest category. </w:t>
      </w:r>
    </w:p>
    <w:p w14:paraId="6BB38707" w14:textId="77777777" w:rsidR="00C80522" w:rsidRPr="00C80522" w:rsidRDefault="00C80522" w:rsidP="00C80522">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Generate the overall summary. </w:t>
      </w:r>
    </w:p>
    <w:p w14:paraId="61500277" w14:textId="77777777" w:rsidR="00C80522" w:rsidRPr="00C80522" w:rsidRDefault="00C80522" w:rsidP="00C80522">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Add a confidence disclaimer if required. </w:t>
      </w:r>
    </w:p>
    <w:p w14:paraId="557B70DC"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Notes</w:t>
      </w:r>
    </w:p>
    <w:p w14:paraId="7BA59BC2" w14:textId="77777777" w:rsidR="00C80522" w:rsidRPr="00C80522" w:rsidRDefault="00C80522" w:rsidP="00C80522">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No calculations. </w:t>
      </w:r>
    </w:p>
    <w:p w14:paraId="1B555AA3" w14:textId="77777777" w:rsidR="00C80522" w:rsidRPr="00C80522" w:rsidRDefault="00C80522" w:rsidP="00C80522">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No predictions. </w:t>
      </w:r>
    </w:p>
    <w:p w14:paraId="3482EE1E" w14:textId="77777777" w:rsidR="00C80522" w:rsidRPr="00C80522" w:rsidRDefault="00C80522" w:rsidP="00C80522">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No investment advice. </w:t>
      </w:r>
    </w:p>
    <w:p w14:paraId="1DF5B2A4" w14:textId="77777777" w:rsidR="00C80522" w:rsidRPr="00C80522" w:rsidRDefault="00C80522" w:rsidP="00C80522">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Explanation only. </w:t>
      </w:r>
    </w:p>
    <w:p w14:paraId="75D30AD4"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6C4D444A">
          <v:rect id="_x0000_i1507" style="width:0;height:1.5pt" o:hralign="center" o:hrstd="t" o:hr="t" fillcolor="#a0a0a0" stroked="f"/>
        </w:pict>
      </w:r>
    </w:p>
    <w:p w14:paraId="3C534B45"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4. Card Fields</w:t>
      </w:r>
    </w:p>
    <w:p w14:paraId="627B7167"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AI Summary</w:t>
      </w:r>
    </w:p>
    <w:p w14:paraId="34BA665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lastRenderedPageBreak/>
        <w:t>Overall explanation.</w:t>
      </w:r>
    </w:p>
    <w:p w14:paraId="6DF5F7D7"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Strengths</w:t>
      </w:r>
    </w:p>
    <w:p w14:paraId="1031EF31"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Highest-performing category.</w:t>
      </w:r>
    </w:p>
    <w:p w14:paraId="66B1D67B"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Weaknesses</w:t>
      </w:r>
    </w:p>
    <w:p w14:paraId="4F7E28E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Lowest-performing category.</w:t>
      </w:r>
    </w:p>
    <w:p w14:paraId="35F478F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Confidence Note</w:t>
      </w:r>
    </w:p>
    <w:p w14:paraId="7ED275E5"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Displayed only when confidence is below the threshold.</w:t>
      </w:r>
    </w:p>
    <w:p w14:paraId="6B01D949"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6B41B667">
          <v:rect id="_x0000_i1508" style="width:0;height:1.5pt" o:hralign="center" o:hrstd="t" o:hr="t" fillcolor="#a0a0a0" stroked="f"/>
        </w:pict>
      </w:r>
    </w:p>
    <w:p w14:paraId="40F9B28A"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5. Summary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3202"/>
      </w:tblGrid>
      <w:tr w:rsidR="00C80522" w:rsidRPr="00C80522" w14:paraId="02F7D633" w14:textId="77777777" w:rsidTr="00C80522">
        <w:trPr>
          <w:tblHeader/>
          <w:tblCellSpacing w:w="15" w:type="dxa"/>
        </w:trPr>
        <w:tc>
          <w:tcPr>
            <w:tcW w:w="0" w:type="auto"/>
            <w:vAlign w:val="center"/>
            <w:hideMark/>
          </w:tcPr>
          <w:p w14:paraId="46433D10" w14:textId="77777777" w:rsidR="00C80522" w:rsidRPr="00C80522" w:rsidRDefault="00C80522" w:rsidP="00C80522">
            <w:pPr>
              <w:spacing w:after="0" w:line="240" w:lineRule="auto"/>
              <w:jc w:val="center"/>
              <w:rPr>
                <w:rFonts w:ascii="Times New Roman" w:eastAsia="Times New Roman" w:hAnsi="Times New Roman" w:cs="Times New Roman"/>
                <w:b/>
                <w:bCs/>
                <w:sz w:val="24"/>
                <w:szCs w:val="24"/>
              </w:rPr>
            </w:pPr>
            <w:r w:rsidRPr="00C80522">
              <w:rPr>
                <w:rFonts w:ascii="Times New Roman" w:eastAsia="Times New Roman" w:hAnsi="Times New Roman" w:cs="Times New Roman"/>
                <w:b/>
                <w:bCs/>
                <w:sz w:val="24"/>
                <w:szCs w:val="24"/>
              </w:rPr>
              <w:t>Options Score</w:t>
            </w:r>
          </w:p>
        </w:tc>
        <w:tc>
          <w:tcPr>
            <w:tcW w:w="0" w:type="auto"/>
            <w:vAlign w:val="center"/>
            <w:hideMark/>
          </w:tcPr>
          <w:p w14:paraId="1C8A5BFE" w14:textId="77777777" w:rsidR="00C80522" w:rsidRPr="00C80522" w:rsidRDefault="00C80522" w:rsidP="00C80522">
            <w:pPr>
              <w:spacing w:after="0" w:line="240" w:lineRule="auto"/>
              <w:jc w:val="center"/>
              <w:rPr>
                <w:rFonts w:ascii="Times New Roman" w:eastAsia="Times New Roman" w:hAnsi="Times New Roman" w:cs="Times New Roman"/>
                <w:b/>
                <w:bCs/>
                <w:sz w:val="24"/>
                <w:szCs w:val="24"/>
              </w:rPr>
            </w:pPr>
            <w:r w:rsidRPr="00C80522">
              <w:rPr>
                <w:rFonts w:ascii="Times New Roman" w:eastAsia="Times New Roman" w:hAnsi="Times New Roman" w:cs="Times New Roman"/>
                <w:b/>
                <w:bCs/>
                <w:sz w:val="24"/>
                <w:szCs w:val="24"/>
              </w:rPr>
              <w:t>Summary Tone</w:t>
            </w:r>
          </w:p>
        </w:tc>
      </w:tr>
      <w:tr w:rsidR="00C80522" w:rsidRPr="00C80522" w14:paraId="4DA0D9AE" w14:textId="77777777" w:rsidTr="00C80522">
        <w:trPr>
          <w:tblCellSpacing w:w="15" w:type="dxa"/>
        </w:trPr>
        <w:tc>
          <w:tcPr>
            <w:tcW w:w="0" w:type="auto"/>
            <w:vAlign w:val="center"/>
            <w:hideMark/>
          </w:tcPr>
          <w:p w14:paraId="78E11B78"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90–100</w:t>
            </w:r>
          </w:p>
        </w:tc>
        <w:tc>
          <w:tcPr>
            <w:tcW w:w="0" w:type="auto"/>
            <w:vAlign w:val="center"/>
            <w:hideMark/>
          </w:tcPr>
          <w:p w14:paraId="6EE7CC98"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Very Strong Bullish Positioning</w:t>
            </w:r>
          </w:p>
        </w:tc>
      </w:tr>
      <w:tr w:rsidR="00C80522" w:rsidRPr="00C80522" w14:paraId="4F87BC3D" w14:textId="77777777" w:rsidTr="00C80522">
        <w:trPr>
          <w:tblCellSpacing w:w="15" w:type="dxa"/>
        </w:trPr>
        <w:tc>
          <w:tcPr>
            <w:tcW w:w="0" w:type="auto"/>
            <w:vAlign w:val="center"/>
            <w:hideMark/>
          </w:tcPr>
          <w:p w14:paraId="2ECBC8CB"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75–89</w:t>
            </w:r>
          </w:p>
        </w:tc>
        <w:tc>
          <w:tcPr>
            <w:tcW w:w="0" w:type="auto"/>
            <w:vAlign w:val="center"/>
            <w:hideMark/>
          </w:tcPr>
          <w:p w14:paraId="5AE2F2C1"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Bullish Positioning</w:t>
            </w:r>
          </w:p>
        </w:tc>
      </w:tr>
      <w:tr w:rsidR="00C80522" w:rsidRPr="00C80522" w14:paraId="7849AC9E" w14:textId="77777777" w:rsidTr="00C80522">
        <w:trPr>
          <w:tblCellSpacing w:w="15" w:type="dxa"/>
        </w:trPr>
        <w:tc>
          <w:tcPr>
            <w:tcW w:w="0" w:type="auto"/>
            <w:vAlign w:val="center"/>
            <w:hideMark/>
          </w:tcPr>
          <w:p w14:paraId="254D601B"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55–74</w:t>
            </w:r>
          </w:p>
        </w:tc>
        <w:tc>
          <w:tcPr>
            <w:tcW w:w="0" w:type="auto"/>
            <w:vAlign w:val="center"/>
            <w:hideMark/>
          </w:tcPr>
          <w:p w14:paraId="246CAD86"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Neutral Positioning</w:t>
            </w:r>
          </w:p>
        </w:tc>
      </w:tr>
      <w:tr w:rsidR="00C80522" w:rsidRPr="00C80522" w14:paraId="621B7046" w14:textId="77777777" w:rsidTr="00C80522">
        <w:trPr>
          <w:tblCellSpacing w:w="15" w:type="dxa"/>
        </w:trPr>
        <w:tc>
          <w:tcPr>
            <w:tcW w:w="0" w:type="auto"/>
            <w:vAlign w:val="center"/>
            <w:hideMark/>
          </w:tcPr>
          <w:p w14:paraId="3D70196B"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35–54</w:t>
            </w:r>
          </w:p>
        </w:tc>
        <w:tc>
          <w:tcPr>
            <w:tcW w:w="0" w:type="auto"/>
            <w:vAlign w:val="center"/>
            <w:hideMark/>
          </w:tcPr>
          <w:p w14:paraId="108BE6A1"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Bearish Positioning</w:t>
            </w:r>
          </w:p>
        </w:tc>
      </w:tr>
      <w:tr w:rsidR="00C80522" w:rsidRPr="00C80522" w14:paraId="6DC3F426" w14:textId="77777777" w:rsidTr="00C80522">
        <w:trPr>
          <w:tblCellSpacing w:w="15" w:type="dxa"/>
        </w:trPr>
        <w:tc>
          <w:tcPr>
            <w:tcW w:w="0" w:type="auto"/>
            <w:vAlign w:val="center"/>
            <w:hideMark/>
          </w:tcPr>
          <w:p w14:paraId="51AF19B3"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0–34</w:t>
            </w:r>
          </w:p>
        </w:tc>
        <w:tc>
          <w:tcPr>
            <w:tcW w:w="0" w:type="auto"/>
            <w:vAlign w:val="center"/>
            <w:hideMark/>
          </w:tcPr>
          <w:p w14:paraId="4579D3ED"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Very Strong Bearish Positioning</w:t>
            </w:r>
          </w:p>
        </w:tc>
      </w:tr>
    </w:tbl>
    <w:p w14:paraId="117A59D5"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Notes</w:t>
      </w:r>
    </w:p>
    <w:p w14:paraId="1DD4F5F4" w14:textId="77777777" w:rsidR="00C80522" w:rsidRPr="00C80522" w:rsidRDefault="00C80522" w:rsidP="00C80522">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Keep </w:t>
      </w:r>
      <w:proofErr w:type="gramStart"/>
      <w:r w:rsidRPr="00C80522">
        <w:rPr>
          <w:rFonts w:ascii="Times New Roman" w:eastAsia="Times New Roman" w:hAnsi="Times New Roman" w:cs="Times New Roman"/>
          <w:sz w:val="24"/>
          <w:szCs w:val="24"/>
        </w:rPr>
        <w:t>responses</w:t>
      </w:r>
      <w:proofErr w:type="gramEnd"/>
      <w:r w:rsidRPr="00C80522">
        <w:rPr>
          <w:rFonts w:ascii="Times New Roman" w:eastAsia="Times New Roman" w:hAnsi="Times New Roman" w:cs="Times New Roman"/>
          <w:sz w:val="24"/>
          <w:szCs w:val="24"/>
        </w:rPr>
        <w:t xml:space="preserve"> objective. </w:t>
      </w:r>
    </w:p>
    <w:p w14:paraId="0DEC669D" w14:textId="77777777" w:rsidR="00C80522" w:rsidRPr="00C80522" w:rsidRDefault="00C80522" w:rsidP="00C80522">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Avoid exaggerated language. </w:t>
      </w:r>
    </w:p>
    <w:p w14:paraId="412947C3" w14:textId="77777777" w:rsidR="00C80522" w:rsidRPr="00C80522" w:rsidRDefault="00C80522" w:rsidP="00C80522">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Limit summaries to </w:t>
      </w:r>
      <w:r w:rsidRPr="00C80522">
        <w:rPr>
          <w:rFonts w:ascii="Times New Roman" w:eastAsia="Times New Roman" w:hAnsi="Times New Roman" w:cs="Times New Roman"/>
          <w:b/>
          <w:bCs/>
          <w:sz w:val="24"/>
          <w:szCs w:val="24"/>
        </w:rPr>
        <w:t>3–5 concise sentences</w:t>
      </w:r>
      <w:r w:rsidRPr="00C80522">
        <w:rPr>
          <w:rFonts w:ascii="Times New Roman" w:eastAsia="Times New Roman" w:hAnsi="Times New Roman" w:cs="Times New Roman"/>
          <w:sz w:val="24"/>
          <w:szCs w:val="24"/>
        </w:rPr>
        <w:t xml:space="preserve">. </w:t>
      </w:r>
    </w:p>
    <w:p w14:paraId="67B2DC8E"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52FF806F">
          <v:rect id="_x0000_i1509" style="width:0;height:1.5pt" o:hralign="center" o:hrstd="t" o:hr="t" fillcolor="#a0a0a0" stroked="f"/>
        </w:pict>
      </w:r>
    </w:p>
    <w:p w14:paraId="53C40FD2"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6. Bias Rules</w:t>
      </w:r>
    </w:p>
    <w:p w14:paraId="239FDC22"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Bullish</w:t>
      </w:r>
    </w:p>
    <w:p w14:paraId="46CCCCF5"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Highlight positive institutional positioning and supportive options data.</w:t>
      </w:r>
    </w:p>
    <w:p w14:paraId="39DFAD38"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Neutral</w:t>
      </w:r>
    </w:p>
    <w:p w14:paraId="55050B7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Explain that options indicators are mixed or balanced.</w:t>
      </w:r>
    </w:p>
    <w:p w14:paraId="3D96CBEC"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lastRenderedPageBreak/>
        <w:t>Bearish</w:t>
      </w:r>
    </w:p>
    <w:p w14:paraId="5D19ECD5"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Highlight bearish positioning and elevated market risk.</w:t>
      </w:r>
    </w:p>
    <w:p w14:paraId="469F87E3"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2EEEF545">
          <v:rect id="_x0000_i1510" style="width:0;height:1.5pt" o:hralign="center" o:hrstd="t" o:hr="t" fillcolor="#a0a0a0" stroked="f"/>
        </w:pict>
      </w:r>
    </w:p>
    <w:p w14:paraId="712CE781"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7. Confidence Logic</w:t>
      </w:r>
    </w:p>
    <w:p w14:paraId="62BA2A1C"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Confidence &gt;80%</w:t>
      </w:r>
    </w:p>
    <w:p w14:paraId="1AEE63E4"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No disclaimer.</w:t>
      </w:r>
    </w:p>
    <w:p w14:paraId="467AF50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Confidence 60–80%</w:t>
      </w:r>
    </w:p>
    <w:p w14:paraId="7615CC4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Mention that some options indicators require monitoring.</w:t>
      </w:r>
    </w:p>
    <w:p w14:paraId="3D4B94D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Confidence &lt;60%</w:t>
      </w:r>
    </w:p>
    <w:p w14:paraId="179ADBE6"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Clearly state that conflicting or incomplete options data reduces confidence.</w:t>
      </w:r>
    </w:p>
    <w:p w14:paraId="2AF2B277"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204434D4">
          <v:rect id="_x0000_i1511" style="width:0;height:1.5pt" o:hralign="center" o:hrstd="t" o:hr="t" fillcolor="#a0a0a0" stroked="f"/>
        </w:pict>
      </w:r>
    </w:p>
    <w:p w14:paraId="3BB543A4"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8. Summary Structure</w:t>
      </w:r>
    </w:p>
    <w:p w14:paraId="33F0BE3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The AI response should follow this order:</w:t>
      </w:r>
    </w:p>
    <w:p w14:paraId="35BD7947" w14:textId="77777777" w:rsidR="00C80522" w:rsidRPr="00C80522" w:rsidRDefault="00C80522" w:rsidP="00C80522">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Overall Options Positioning </w:t>
      </w:r>
    </w:p>
    <w:p w14:paraId="40E26EF6" w14:textId="77777777" w:rsidR="00C80522" w:rsidRPr="00C80522" w:rsidRDefault="00C80522" w:rsidP="00C80522">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Strongest Category </w:t>
      </w:r>
    </w:p>
    <w:p w14:paraId="49C7A8DC" w14:textId="77777777" w:rsidR="00C80522" w:rsidRPr="00C80522" w:rsidRDefault="00C80522" w:rsidP="00C80522">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Weakest Category </w:t>
      </w:r>
    </w:p>
    <w:p w14:paraId="0BA5E36E" w14:textId="77777777" w:rsidR="00C80522" w:rsidRPr="00C80522" w:rsidRDefault="00C80522" w:rsidP="00C80522">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Confidence Note (if required) </w:t>
      </w:r>
    </w:p>
    <w:p w14:paraId="7612AED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Maximum:</w:t>
      </w:r>
    </w:p>
    <w:p w14:paraId="45C9D9E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5 sentences.</w:t>
      </w:r>
    </w:p>
    <w:p w14:paraId="6BB83EB7"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73AB7DE8">
          <v:rect id="_x0000_i1512" style="width:0;height:1.5pt" o:hralign="center" o:hrstd="t" o:hr="t" fillcolor="#a0a0a0" stroked="f"/>
        </w:pict>
      </w:r>
    </w:p>
    <w:p w14:paraId="164AD23E"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9. Insight Refresh</w:t>
      </w:r>
    </w:p>
    <w:p w14:paraId="4F704D65"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History</w:t>
      </w:r>
    </w:p>
    <w:p w14:paraId="2255F05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Store the latest AI summaries.</w:t>
      </w:r>
    </w:p>
    <w:p w14:paraId="55F2DD0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lastRenderedPageBreak/>
        <w:t>Update</w:t>
      </w:r>
    </w:p>
    <w:p w14:paraId="6115323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Whenever the Options Score Engine publishes a new score.</w:t>
      </w:r>
    </w:p>
    <w:p w14:paraId="0533A945"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150A25C5">
          <v:rect id="_x0000_i1513" style="width:0;height:1.5pt" o:hralign="center" o:hrstd="t" o:hr="t" fillcolor="#a0a0a0" stroked="f"/>
        </w:pict>
      </w:r>
    </w:p>
    <w:p w14:paraId="29F16E45"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10. AI Insight Rules</w:t>
      </w:r>
    </w:p>
    <w:p w14:paraId="2E201B5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Open Interest Strong</w:t>
      </w:r>
    </w:p>
    <w:p w14:paraId="20C6B7DF"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Mention strong institutional positioning.</w:t>
      </w:r>
    </w:p>
    <w:p w14:paraId="0288ADDF"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PCR Strong</w:t>
      </w:r>
    </w:p>
    <w:p w14:paraId="5082FEE8"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Highlight supportive market sentiment.</w:t>
      </w:r>
    </w:p>
    <w:p w14:paraId="4C79DB48"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Implied Volatility High</w:t>
      </w:r>
    </w:p>
    <w:p w14:paraId="79DE3132"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Mention elevated market uncertainty and expensive option premiums.</w:t>
      </w:r>
    </w:p>
    <w:p w14:paraId="5C123569"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Greeks Strong</w:t>
      </w:r>
    </w:p>
    <w:p w14:paraId="4197ECD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Highlight favorable option sensitivity and positioning.</w:t>
      </w:r>
    </w:p>
    <w:p w14:paraId="7C66AD74"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Max Pain Alignment</w:t>
      </w:r>
    </w:p>
    <w:p w14:paraId="0A192CCF"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Mention balanced expiry positioning.</w:t>
      </w:r>
    </w:p>
    <w:p w14:paraId="02D8C9CF"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Multiple Weak Categories</w:t>
      </w:r>
    </w:p>
    <w:p w14:paraId="51C2BE0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Summarize the primary risks affecting the Options Score.</w:t>
      </w:r>
    </w:p>
    <w:p w14:paraId="3701C6E0"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4157AD0A">
          <v:rect id="_x0000_i1514" style="width:0;height:1.5pt" o:hralign="center" o:hrstd="t" o:hr="t" fillcolor="#a0a0a0" stroked="f"/>
        </w:pict>
      </w:r>
    </w:p>
    <w:p w14:paraId="5A375B29"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11. Why It Matters</w:t>
      </w:r>
    </w:p>
    <w:p w14:paraId="18B1214B" w14:textId="77777777" w:rsidR="00C80522" w:rsidRPr="00C80522" w:rsidRDefault="00C80522" w:rsidP="00C80522">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Converts complex options data into clear insights. </w:t>
      </w:r>
    </w:p>
    <w:p w14:paraId="5E56F537" w14:textId="77777777" w:rsidR="00C80522" w:rsidRPr="00C80522" w:rsidRDefault="00C80522" w:rsidP="00C80522">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Improves dashboard usability. </w:t>
      </w:r>
    </w:p>
    <w:p w14:paraId="490A16F2" w14:textId="77777777" w:rsidR="00C80522" w:rsidRPr="00C80522" w:rsidRDefault="00C80522" w:rsidP="00C80522">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Helps users quickly understand institutional positioning. </w:t>
      </w:r>
    </w:p>
    <w:p w14:paraId="231F2532" w14:textId="77777777" w:rsidR="00C80522" w:rsidRPr="00C80522" w:rsidRDefault="00C80522" w:rsidP="00C80522">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Maintains consistency across all Praxis modules. </w:t>
      </w:r>
    </w:p>
    <w:p w14:paraId="7CE2BC7D"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5B96347E">
          <v:rect id="_x0000_i1515" style="width:0;height:1.5pt" o:hralign="center" o:hrstd="t" o:hr="t" fillcolor="#a0a0a0" stroked="f"/>
        </w:pict>
      </w:r>
    </w:p>
    <w:p w14:paraId="2165F2A2"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lastRenderedPageBreak/>
        <w:t>12. Trading Impact</w:t>
      </w:r>
    </w:p>
    <w:p w14:paraId="5F1A07F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Direct Trading Impact</w:t>
      </w:r>
    </w:p>
    <w:p w14:paraId="04B17EA2"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None</w:t>
      </w:r>
    </w:p>
    <w:p w14:paraId="2853BAC9"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Primary Use</w:t>
      </w:r>
    </w:p>
    <w:p w14:paraId="2F3171C2"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Interpretation of Options data.</w:t>
      </w:r>
    </w:p>
    <w:p w14:paraId="16E5F6EC"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2C68BA23">
          <v:rect id="_x0000_i1516" style="width:0;height:1.5pt" o:hralign="center" o:hrstd="t" o:hr="t" fillcolor="#a0a0a0" stroked="f"/>
        </w:pict>
      </w:r>
    </w:p>
    <w:p w14:paraId="0F3E6E3D"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13. Supporting Components</w:t>
      </w:r>
    </w:p>
    <w:p w14:paraId="6917DDF8" w14:textId="77777777" w:rsidR="00C80522" w:rsidRPr="00C80522" w:rsidRDefault="00C80522" w:rsidP="00C80522">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Options Score Engine </w:t>
      </w:r>
    </w:p>
    <w:p w14:paraId="53AB5BB1" w14:textId="77777777" w:rsidR="00C80522" w:rsidRPr="00C80522" w:rsidRDefault="00C80522" w:rsidP="00C80522">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Category Scores </w:t>
      </w:r>
    </w:p>
    <w:p w14:paraId="6FE98504" w14:textId="77777777" w:rsidR="00C80522" w:rsidRPr="00C80522" w:rsidRDefault="00C80522" w:rsidP="00C80522">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Confidence Engine </w:t>
      </w:r>
    </w:p>
    <w:p w14:paraId="6CA0E3FC"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48B9ADED">
          <v:rect id="_x0000_i1517" style="width:0;height:1.5pt" o:hralign="center" o:hrstd="t" o:hr="t" fillcolor="#a0a0a0" stroked="f"/>
        </w:pict>
      </w:r>
    </w:p>
    <w:p w14:paraId="73572C5C"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14. Metadata</w:t>
      </w:r>
    </w:p>
    <w:p w14:paraId="724DC25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Source</w:t>
      </w:r>
    </w:p>
    <w:p w14:paraId="2C24E29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Options Score Engine</w:t>
      </w:r>
    </w:p>
    <w:p w14:paraId="1E148442"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Calculation</w:t>
      </w:r>
    </w:p>
    <w:p w14:paraId="14229891"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None (Explanation Only)</w:t>
      </w:r>
    </w:p>
    <w:p w14:paraId="0E43BC2F"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Updated</w:t>
      </w:r>
    </w:p>
    <w:p w14:paraId="579711D1"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Every Option Chain Refresh</w:t>
      </w:r>
    </w:p>
    <w:p w14:paraId="59936859"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proofErr w:type="spellStart"/>
      <w:r w:rsidRPr="00C80522">
        <w:rPr>
          <w:rFonts w:ascii="Times New Roman" w:eastAsia="Times New Roman" w:hAnsi="Times New Roman" w:cs="Times New Roman"/>
          <w:b/>
          <w:bCs/>
          <w:sz w:val="24"/>
          <w:szCs w:val="24"/>
        </w:rPr>
        <w:t>Timezone</w:t>
      </w:r>
      <w:proofErr w:type="spellEnd"/>
    </w:p>
    <w:p w14:paraId="07170DFB"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Asia/Kolkata</w:t>
      </w:r>
    </w:p>
    <w:p w14:paraId="1A7FFC06"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Storage</w:t>
      </w:r>
    </w:p>
    <w:p w14:paraId="3AF4419B"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Local Electron Database</w:t>
      </w:r>
    </w:p>
    <w:p w14:paraId="47859F77"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16523571">
          <v:rect id="_x0000_i1518" style="width:0;height:1.5pt" o:hralign="center" o:hrstd="t" o:hr="t" fillcolor="#a0a0a0" stroked="f"/>
        </w:pict>
      </w:r>
    </w:p>
    <w:p w14:paraId="6C436EFF"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lastRenderedPageBreak/>
        <w:t>15. Developer Notes</w:t>
      </w:r>
    </w:p>
    <w:p w14:paraId="72061383" w14:textId="77777777" w:rsidR="00C80522" w:rsidRPr="00C80522" w:rsidRDefault="00C80522" w:rsidP="00C80522">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Do not expose calculation logic. </w:t>
      </w:r>
    </w:p>
    <w:p w14:paraId="6E277190" w14:textId="77777777" w:rsidR="00C80522" w:rsidRPr="00C80522" w:rsidRDefault="00C80522" w:rsidP="00C80522">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Never modify indicator scores. </w:t>
      </w:r>
    </w:p>
    <w:p w14:paraId="7A3C8D95" w14:textId="77777777" w:rsidR="00C80522" w:rsidRPr="00C80522" w:rsidRDefault="00C80522" w:rsidP="00C80522">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Generate deterministic summaries from engine outputs. </w:t>
      </w:r>
    </w:p>
    <w:p w14:paraId="0010791B" w14:textId="77777777" w:rsidR="00C80522" w:rsidRPr="00C80522" w:rsidRDefault="00C80522" w:rsidP="00C80522">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Avoid repeating identical summaries unless the Options Score changes meaningfully. </w:t>
      </w:r>
    </w:p>
    <w:p w14:paraId="1302AA8C" w14:textId="77777777" w:rsidR="00C80522" w:rsidRPr="00C80522" w:rsidRDefault="00C80522" w:rsidP="00C80522">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Store previous summaries if AI history is enabled. </w:t>
      </w:r>
    </w:p>
    <w:p w14:paraId="68557701"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6AD8E972">
          <v:rect id="_x0000_i1519" style="width:0;height:1.5pt" o:hralign="center" o:hrstd="t" o:hr="t" fillcolor="#a0a0a0" stroked="f"/>
        </w:pict>
      </w:r>
    </w:p>
    <w:p w14:paraId="31C34710"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 xml:space="preserve">16. Praxis Engine Integration </w:t>
      </w:r>
      <w:r w:rsidRPr="00C80522">
        <w:rPr>
          <w:rFonts w:ascii="Segoe UI Emoji" w:eastAsia="Times New Roman" w:hAnsi="Segoe UI Emoji" w:cs="Segoe UI Emoji"/>
          <w:b/>
          <w:bCs/>
          <w:kern w:val="36"/>
          <w:sz w:val="48"/>
          <w:szCs w:val="48"/>
        </w:rPr>
        <w:t>⭐</w:t>
      </w:r>
    </w:p>
    <w:p w14:paraId="2B89EF14"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Consumes</w:t>
      </w:r>
    </w:p>
    <w:p w14:paraId="65A5A9EE" w14:textId="77777777" w:rsidR="00C80522" w:rsidRPr="00C80522" w:rsidRDefault="00C80522" w:rsidP="00C80522">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Options Score </w:t>
      </w:r>
    </w:p>
    <w:p w14:paraId="1F74FD3C" w14:textId="77777777" w:rsidR="00C80522" w:rsidRPr="00C80522" w:rsidRDefault="00C80522" w:rsidP="00C80522">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Bias </w:t>
      </w:r>
    </w:p>
    <w:p w14:paraId="66239E3E" w14:textId="77777777" w:rsidR="00C80522" w:rsidRPr="00C80522" w:rsidRDefault="00C80522" w:rsidP="00C80522">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Confidence </w:t>
      </w:r>
    </w:p>
    <w:p w14:paraId="7F7A9A3E" w14:textId="77777777" w:rsidR="00C80522" w:rsidRPr="00C80522" w:rsidRDefault="00C80522" w:rsidP="00C80522">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Category Scores </w:t>
      </w:r>
    </w:p>
    <w:p w14:paraId="1D7C480B"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Outputs</w:t>
      </w:r>
    </w:p>
    <w:p w14:paraId="43E489DD" w14:textId="77777777" w:rsidR="00C80522" w:rsidRPr="00C80522" w:rsidRDefault="00C80522" w:rsidP="00C80522">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AI Summary </w:t>
      </w:r>
    </w:p>
    <w:p w14:paraId="3189C225" w14:textId="77777777" w:rsidR="00C80522" w:rsidRPr="00C80522" w:rsidRDefault="00C80522" w:rsidP="00C80522">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Strengths </w:t>
      </w:r>
    </w:p>
    <w:p w14:paraId="0CE9DDA3" w14:textId="77777777" w:rsidR="00C80522" w:rsidRPr="00C80522" w:rsidRDefault="00C80522" w:rsidP="00C80522">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Weaknesses </w:t>
      </w:r>
    </w:p>
    <w:p w14:paraId="02E861AD" w14:textId="77777777" w:rsidR="00C80522" w:rsidRPr="00C80522" w:rsidRDefault="00C80522" w:rsidP="00C80522">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Confidence Note </w:t>
      </w:r>
    </w:p>
    <w:p w14:paraId="27F7EAD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Display Priority</w:t>
      </w:r>
    </w:p>
    <w:p w14:paraId="6CF7F38C"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High</w:t>
      </w:r>
    </w:p>
    <w:p w14:paraId="7F47255C"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The AI Engine is an explanation layer only and does not provide feedback to the Options Score Engine.</w:t>
      </w:r>
    </w:p>
    <w:p w14:paraId="67714304"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1E809980">
          <v:rect id="_x0000_i1520" style="width:0;height:1.5pt" o:hralign="center" o:hrstd="t" o:hr="t" fillcolor="#a0a0a0" stroked="f"/>
        </w:pict>
      </w:r>
    </w:p>
    <w:p w14:paraId="7F24CF62"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17. Praxis Recommendation</w:t>
      </w:r>
    </w:p>
    <w:p w14:paraId="4234E82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The Options AI Engine should act as the </w:t>
      </w:r>
      <w:r w:rsidRPr="00C80522">
        <w:rPr>
          <w:rFonts w:ascii="Times New Roman" w:eastAsia="Times New Roman" w:hAnsi="Times New Roman" w:cs="Times New Roman"/>
          <w:b/>
          <w:bCs/>
          <w:sz w:val="24"/>
          <w:szCs w:val="24"/>
        </w:rPr>
        <w:t>natural language explanation layer</w:t>
      </w:r>
      <w:r w:rsidRPr="00C80522">
        <w:rPr>
          <w:rFonts w:ascii="Times New Roman" w:eastAsia="Times New Roman" w:hAnsi="Times New Roman" w:cs="Times New Roman"/>
          <w:sz w:val="24"/>
          <w:szCs w:val="24"/>
        </w:rPr>
        <w:t xml:space="preserve"> for the Options module.</w:t>
      </w:r>
    </w:p>
    <w:p w14:paraId="02B9E17B"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AI Flow</w:t>
      </w:r>
    </w:p>
    <w:p w14:paraId="300BD499"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Segoe UI Emoji" w:eastAsia="Times New Roman" w:hAnsi="Segoe UI Emoji" w:cs="Segoe UI Emoji"/>
          <w:sz w:val="24"/>
          <w:szCs w:val="24"/>
        </w:rPr>
        <w:t>⭐⭐⭐⭐⭐</w:t>
      </w:r>
      <w:r w:rsidRPr="00C80522">
        <w:rPr>
          <w:rFonts w:ascii="Times New Roman" w:eastAsia="Times New Roman" w:hAnsi="Times New Roman" w:cs="Times New Roman"/>
          <w:sz w:val="24"/>
          <w:szCs w:val="24"/>
        </w:rPr>
        <w:t xml:space="preserve"> Options Score Engine</w:t>
      </w:r>
    </w:p>
    <w:p w14:paraId="50E7ABC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Cambria Math" w:eastAsia="Times New Roman" w:hAnsi="Cambria Math" w:cs="Cambria Math"/>
          <w:sz w:val="24"/>
          <w:szCs w:val="24"/>
        </w:rPr>
        <w:lastRenderedPageBreak/>
        <w:t>⬇</w:t>
      </w:r>
    </w:p>
    <w:p w14:paraId="62B6CD7C"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Category Analysis</w:t>
      </w:r>
    </w:p>
    <w:p w14:paraId="19F5EB1C"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Cambria Math" w:eastAsia="Times New Roman" w:hAnsi="Cambria Math" w:cs="Cambria Math"/>
          <w:sz w:val="24"/>
          <w:szCs w:val="24"/>
        </w:rPr>
        <w:t>⬇</w:t>
      </w:r>
    </w:p>
    <w:p w14:paraId="0A495B94"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Summary Generation</w:t>
      </w:r>
    </w:p>
    <w:p w14:paraId="3B4AFE67"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Cambria Math" w:eastAsia="Times New Roman" w:hAnsi="Cambria Math" w:cs="Cambria Math"/>
          <w:sz w:val="24"/>
          <w:szCs w:val="24"/>
        </w:rPr>
        <w:t>⬇</w:t>
      </w:r>
    </w:p>
    <w:p w14:paraId="470E93C1"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Strengths &amp; Weaknesses</w:t>
      </w:r>
    </w:p>
    <w:p w14:paraId="154720E4"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Cambria Math" w:eastAsia="Times New Roman" w:hAnsi="Cambria Math" w:cs="Cambria Math"/>
          <w:sz w:val="24"/>
          <w:szCs w:val="24"/>
        </w:rPr>
        <w:t>⬇</w:t>
      </w:r>
    </w:p>
    <w:p w14:paraId="64C59322"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Confidence Note</w:t>
      </w:r>
    </w:p>
    <w:p w14:paraId="0AAA640F"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AI Rules</w:t>
      </w:r>
    </w:p>
    <w:p w14:paraId="45CD4BB8" w14:textId="77777777" w:rsidR="00C80522" w:rsidRPr="00C80522" w:rsidRDefault="00C80522" w:rsidP="00C80522">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Never calculate indicators. </w:t>
      </w:r>
    </w:p>
    <w:p w14:paraId="6FDEBB7D" w14:textId="77777777" w:rsidR="00C80522" w:rsidRPr="00C80522" w:rsidRDefault="00C80522" w:rsidP="00C80522">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Never generate independent trading signals. </w:t>
      </w:r>
    </w:p>
    <w:p w14:paraId="4ECBAEF5" w14:textId="77777777" w:rsidR="00C80522" w:rsidRPr="00C80522" w:rsidRDefault="00C80522" w:rsidP="00C80522">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Explain only what the Options Score Engine has already determined. </w:t>
      </w:r>
    </w:p>
    <w:p w14:paraId="7703D347" w14:textId="77777777" w:rsidR="00C80522" w:rsidRPr="00C80522" w:rsidRDefault="00C80522" w:rsidP="00C80522">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Keep explanations concise, factual, and consistent with the calculated scores. </w:t>
      </w:r>
    </w:p>
    <w:p w14:paraId="68CD48AC"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The Options AI Engine should ensure that every Options Score is accompanied by a clear, reliable explanation, enabling traders to quickly understand institutional positioning, volatility conditions, and overall options market sentiment without influencing the underlying calculations or decision-making logic.</w:t>
      </w:r>
    </w:p>
    <w:p w14:paraId="64524927" w14:textId="77777777" w:rsidR="00A5115D" w:rsidRDefault="00A5115D" w:rsidP="00C80522">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p>
    <w:p w14:paraId="3739460F" w14:textId="77777777" w:rsidR="00A5115D" w:rsidRDefault="00A5115D" w:rsidP="00C80522">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p>
    <w:p w14:paraId="08273F24" w14:textId="77777777" w:rsidR="00A5115D" w:rsidRDefault="00A5115D" w:rsidP="00C80522">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p>
    <w:p w14:paraId="02AF1BB8" w14:textId="77777777" w:rsidR="00A5115D" w:rsidRDefault="00A5115D" w:rsidP="00C80522">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p>
    <w:p w14:paraId="780E790B" w14:textId="77777777" w:rsidR="00A5115D" w:rsidRDefault="00A5115D" w:rsidP="00C80522">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p>
    <w:p w14:paraId="51DFF1C3" w14:textId="77777777" w:rsidR="00A5115D" w:rsidRDefault="00A5115D" w:rsidP="00C80522">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p>
    <w:p w14:paraId="1D50BAA2" w14:textId="5E46816C" w:rsidR="00C80522" w:rsidRPr="00C80522" w:rsidRDefault="00A5115D" w:rsidP="00C80522">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A5115D">
        <w:rPr>
          <w:rFonts w:ascii="Times New Roman" w:eastAsia="Times New Roman" w:hAnsi="Times New Roman" w:cs="Times New Roman"/>
          <w:b/>
          <w:bCs/>
          <w:color w:val="FF0000"/>
          <w:kern w:val="36"/>
          <w:sz w:val="48"/>
          <w:szCs w:val="48"/>
        </w:rPr>
        <w:lastRenderedPageBreak/>
        <w:t>$</w:t>
      </w:r>
      <w:r w:rsidR="00C80522" w:rsidRPr="00C80522">
        <w:rPr>
          <w:rFonts w:ascii="Times New Roman" w:eastAsia="Times New Roman" w:hAnsi="Times New Roman" w:cs="Times New Roman"/>
          <w:b/>
          <w:bCs/>
          <w:color w:val="FF0000"/>
          <w:kern w:val="36"/>
          <w:sz w:val="48"/>
          <w:szCs w:val="48"/>
        </w:rPr>
        <w:t>. Options Configuration</w:t>
      </w:r>
    </w:p>
    <w:p w14:paraId="3D14964B"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Module:</w:t>
      </w:r>
      <w:r w:rsidRPr="00C80522">
        <w:rPr>
          <w:rFonts w:ascii="Times New Roman" w:eastAsia="Times New Roman" w:hAnsi="Times New Roman" w:cs="Times New Roman"/>
          <w:sz w:val="24"/>
          <w:szCs w:val="24"/>
        </w:rPr>
        <w:t xml:space="preserve"> Options</w:t>
      </w:r>
      <w:r w:rsidRPr="00C80522">
        <w:rPr>
          <w:rFonts w:ascii="Times New Roman" w:eastAsia="Times New Roman" w:hAnsi="Times New Roman" w:cs="Times New Roman"/>
          <w:sz w:val="24"/>
          <w:szCs w:val="24"/>
        </w:rPr>
        <w:br/>
      </w:r>
      <w:r w:rsidRPr="00C80522">
        <w:rPr>
          <w:rFonts w:ascii="Times New Roman" w:eastAsia="Times New Roman" w:hAnsi="Times New Roman" w:cs="Times New Roman"/>
          <w:b/>
          <w:bCs/>
          <w:sz w:val="24"/>
          <w:szCs w:val="24"/>
        </w:rPr>
        <w:t>Category:</w:t>
      </w:r>
      <w:r w:rsidRPr="00C80522">
        <w:rPr>
          <w:rFonts w:ascii="Times New Roman" w:eastAsia="Times New Roman" w:hAnsi="Times New Roman" w:cs="Times New Roman"/>
          <w:sz w:val="24"/>
          <w:szCs w:val="24"/>
        </w:rPr>
        <w:t xml:space="preserve"> Configuration</w:t>
      </w:r>
      <w:r w:rsidRPr="00C80522">
        <w:rPr>
          <w:rFonts w:ascii="Times New Roman" w:eastAsia="Times New Roman" w:hAnsi="Times New Roman" w:cs="Times New Roman"/>
          <w:sz w:val="24"/>
          <w:szCs w:val="24"/>
        </w:rPr>
        <w:br/>
      </w:r>
      <w:r w:rsidRPr="00C80522">
        <w:rPr>
          <w:rFonts w:ascii="Times New Roman" w:eastAsia="Times New Roman" w:hAnsi="Times New Roman" w:cs="Times New Roman"/>
          <w:b/>
          <w:bCs/>
          <w:sz w:val="24"/>
          <w:szCs w:val="24"/>
        </w:rPr>
        <w:t>Status:</w:t>
      </w:r>
      <w:r w:rsidRPr="00C80522">
        <w:rPr>
          <w:rFonts w:ascii="Times New Roman" w:eastAsia="Times New Roman" w:hAnsi="Times New Roman" w:cs="Times New Roman"/>
          <w:sz w:val="24"/>
          <w:szCs w:val="24"/>
        </w:rPr>
        <w:t xml:space="preserve"> Production Ready</w:t>
      </w:r>
    </w:p>
    <w:p w14:paraId="59D692FC" w14:textId="77777777" w:rsidR="00C80522" w:rsidRPr="00C80522" w:rsidRDefault="00C80522" w:rsidP="00C80522">
      <w:pPr>
        <w:spacing w:before="100" w:beforeAutospacing="1" w:after="100" w:afterAutospacing="1" w:line="240" w:lineRule="auto"/>
        <w:outlineLvl w:val="1"/>
        <w:rPr>
          <w:rFonts w:ascii="Times New Roman" w:eastAsia="Times New Roman" w:hAnsi="Times New Roman" w:cs="Times New Roman"/>
          <w:b/>
          <w:bCs/>
          <w:sz w:val="36"/>
          <w:szCs w:val="36"/>
        </w:rPr>
      </w:pPr>
      <w:r w:rsidRPr="00C80522">
        <w:rPr>
          <w:rFonts w:ascii="Times New Roman" w:eastAsia="Times New Roman" w:hAnsi="Times New Roman" w:cs="Times New Roman"/>
          <w:b/>
          <w:bCs/>
          <w:sz w:val="36"/>
          <w:szCs w:val="36"/>
        </w:rPr>
        <w:t>1. Overview</w:t>
      </w:r>
    </w:p>
    <w:p w14:paraId="17D1C24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Name:</w:t>
      </w:r>
      <w:r w:rsidRPr="00C80522">
        <w:rPr>
          <w:rFonts w:ascii="Times New Roman" w:eastAsia="Times New Roman" w:hAnsi="Times New Roman" w:cs="Times New Roman"/>
          <w:sz w:val="24"/>
          <w:szCs w:val="24"/>
        </w:rPr>
        <w:t xml:space="preserve"> Options Configuration</w:t>
      </w:r>
    </w:p>
    <w:p w14:paraId="65174435"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Short Name:</w:t>
      </w:r>
      <w:r w:rsidRPr="00C80522">
        <w:rPr>
          <w:rFonts w:ascii="Times New Roman" w:eastAsia="Times New Roman" w:hAnsi="Times New Roman" w:cs="Times New Roman"/>
          <w:sz w:val="24"/>
          <w:szCs w:val="24"/>
        </w:rPr>
        <w:t xml:space="preserve"> Options Config</w:t>
      </w:r>
    </w:p>
    <w:p w14:paraId="48A08F5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Module:</w:t>
      </w:r>
      <w:r w:rsidRPr="00C80522">
        <w:rPr>
          <w:rFonts w:ascii="Times New Roman" w:eastAsia="Times New Roman" w:hAnsi="Times New Roman" w:cs="Times New Roman"/>
          <w:sz w:val="24"/>
          <w:szCs w:val="24"/>
        </w:rPr>
        <w:t xml:space="preserve"> Options</w:t>
      </w:r>
    </w:p>
    <w:p w14:paraId="52A8515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Category:</w:t>
      </w:r>
      <w:r w:rsidRPr="00C80522">
        <w:rPr>
          <w:rFonts w:ascii="Times New Roman" w:eastAsia="Times New Roman" w:hAnsi="Times New Roman" w:cs="Times New Roman"/>
          <w:sz w:val="24"/>
          <w:szCs w:val="24"/>
        </w:rPr>
        <w:t xml:space="preserve"> Configuration</w:t>
      </w:r>
    </w:p>
    <w:p w14:paraId="1E44D0F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Purpose:</w:t>
      </w:r>
    </w:p>
    <w:p w14:paraId="51127312"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Provides centralized configuration for the Options module, including category weights, indicator weights, scoring thresholds, update behavior, expiry selection, and future automation settings.</w:t>
      </w:r>
    </w:p>
    <w:p w14:paraId="4BD5485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Importance:</w:t>
      </w:r>
    </w:p>
    <w:p w14:paraId="5045F4EC"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Segoe UI Emoji" w:eastAsia="Times New Roman" w:hAnsi="Segoe UI Emoji" w:cs="Segoe UI Emoji"/>
          <w:sz w:val="24"/>
          <w:szCs w:val="24"/>
        </w:rPr>
        <w:t>⭐⭐⭐⭐⭐</w:t>
      </w:r>
      <w:r w:rsidRPr="00C80522">
        <w:rPr>
          <w:rFonts w:ascii="Times New Roman" w:eastAsia="Times New Roman" w:hAnsi="Times New Roman" w:cs="Times New Roman"/>
          <w:sz w:val="24"/>
          <w:szCs w:val="24"/>
        </w:rPr>
        <w:t xml:space="preserve"> (Core Configuration)</w:t>
      </w:r>
    </w:p>
    <w:p w14:paraId="26D1D31C"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Auto / Manual:</w:t>
      </w:r>
    </w:p>
    <w:p w14:paraId="5A9C96B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Manual</w:t>
      </w:r>
    </w:p>
    <w:p w14:paraId="444DBCA6"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Update Frequency:</w:t>
      </w:r>
    </w:p>
    <w:p w14:paraId="754AF68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On Configuration Change</w:t>
      </w:r>
    </w:p>
    <w:p w14:paraId="57E1A603"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Praxis Note:</w:t>
      </w:r>
    </w:p>
    <w:p w14:paraId="06AAA7D2"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Configuration only affects how the Options Engine interprets and combines indicator outputs. It must never modify the calculation methodology of individual indicators.</w:t>
      </w:r>
    </w:p>
    <w:p w14:paraId="5BF4D7E3"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34FF7ACB">
          <v:rect id="_x0000_i1537" style="width:0;height:1.5pt" o:hralign="center" o:hrstd="t" o:hr="t" fillcolor="#a0a0a0" stroked="f"/>
        </w:pict>
      </w:r>
    </w:p>
    <w:p w14:paraId="5B0B0CEF"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2. Configuration Parameters</w:t>
      </w:r>
    </w:p>
    <w:p w14:paraId="51FC1520" w14:textId="77777777" w:rsidR="00C80522" w:rsidRPr="00C80522" w:rsidRDefault="00C80522" w:rsidP="00C80522">
      <w:pPr>
        <w:spacing w:before="100" w:beforeAutospacing="1" w:after="100" w:afterAutospacing="1" w:line="240" w:lineRule="auto"/>
        <w:outlineLvl w:val="1"/>
        <w:rPr>
          <w:rFonts w:ascii="Times New Roman" w:eastAsia="Times New Roman" w:hAnsi="Times New Roman" w:cs="Times New Roman"/>
          <w:b/>
          <w:bCs/>
          <w:sz w:val="36"/>
          <w:szCs w:val="36"/>
        </w:rPr>
      </w:pPr>
      <w:r w:rsidRPr="00C80522">
        <w:rPr>
          <w:rFonts w:ascii="Times New Roman" w:eastAsia="Times New Roman" w:hAnsi="Times New Roman" w:cs="Times New Roman"/>
          <w:b/>
          <w:bCs/>
          <w:sz w:val="36"/>
          <w:szCs w:val="36"/>
        </w:rPr>
        <w:t>Category Weights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1642"/>
      </w:tblGrid>
      <w:tr w:rsidR="00C80522" w:rsidRPr="00C80522" w14:paraId="47F4A40E" w14:textId="77777777" w:rsidTr="00C80522">
        <w:trPr>
          <w:tblHeader/>
          <w:tblCellSpacing w:w="15" w:type="dxa"/>
        </w:trPr>
        <w:tc>
          <w:tcPr>
            <w:tcW w:w="0" w:type="auto"/>
            <w:vAlign w:val="center"/>
            <w:hideMark/>
          </w:tcPr>
          <w:p w14:paraId="4EC34078" w14:textId="77777777" w:rsidR="00C80522" w:rsidRPr="00C80522" w:rsidRDefault="00C80522" w:rsidP="00C80522">
            <w:pPr>
              <w:spacing w:after="0" w:line="240" w:lineRule="auto"/>
              <w:jc w:val="center"/>
              <w:rPr>
                <w:rFonts w:ascii="Times New Roman" w:eastAsia="Times New Roman" w:hAnsi="Times New Roman" w:cs="Times New Roman"/>
                <w:b/>
                <w:bCs/>
                <w:sz w:val="24"/>
                <w:szCs w:val="24"/>
              </w:rPr>
            </w:pPr>
            <w:r w:rsidRPr="00C80522">
              <w:rPr>
                <w:rFonts w:ascii="Times New Roman" w:eastAsia="Times New Roman" w:hAnsi="Times New Roman" w:cs="Times New Roman"/>
                <w:b/>
                <w:bCs/>
                <w:sz w:val="24"/>
                <w:szCs w:val="24"/>
              </w:rPr>
              <w:lastRenderedPageBreak/>
              <w:t>Category</w:t>
            </w:r>
          </w:p>
        </w:tc>
        <w:tc>
          <w:tcPr>
            <w:tcW w:w="0" w:type="auto"/>
            <w:vAlign w:val="center"/>
            <w:hideMark/>
          </w:tcPr>
          <w:p w14:paraId="338D1F40" w14:textId="77777777" w:rsidR="00C80522" w:rsidRPr="00C80522" w:rsidRDefault="00C80522" w:rsidP="00C80522">
            <w:pPr>
              <w:spacing w:after="0" w:line="240" w:lineRule="auto"/>
              <w:jc w:val="center"/>
              <w:rPr>
                <w:rFonts w:ascii="Times New Roman" w:eastAsia="Times New Roman" w:hAnsi="Times New Roman" w:cs="Times New Roman"/>
                <w:b/>
                <w:bCs/>
                <w:sz w:val="24"/>
                <w:szCs w:val="24"/>
              </w:rPr>
            </w:pPr>
            <w:r w:rsidRPr="00C80522">
              <w:rPr>
                <w:rFonts w:ascii="Times New Roman" w:eastAsia="Times New Roman" w:hAnsi="Times New Roman" w:cs="Times New Roman"/>
                <w:b/>
                <w:bCs/>
                <w:sz w:val="24"/>
                <w:szCs w:val="24"/>
              </w:rPr>
              <w:t>Default Weight</w:t>
            </w:r>
          </w:p>
        </w:tc>
      </w:tr>
      <w:tr w:rsidR="00C80522" w:rsidRPr="00C80522" w14:paraId="2BD0ACA9" w14:textId="77777777" w:rsidTr="00C80522">
        <w:trPr>
          <w:tblCellSpacing w:w="15" w:type="dxa"/>
        </w:trPr>
        <w:tc>
          <w:tcPr>
            <w:tcW w:w="0" w:type="auto"/>
            <w:vAlign w:val="center"/>
            <w:hideMark/>
          </w:tcPr>
          <w:p w14:paraId="0F4683B5"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Open Interest</w:t>
            </w:r>
          </w:p>
        </w:tc>
        <w:tc>
          <w:tcPr>
            <w:tcW w:w="0" w:type="auto"/>
            <w:vAlign w:val="center"/>
            <w:hideMark/>
          </w:tcPr>
          <w:p w14:paraId="1F376955"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30%</w:t>
            </w:r>
          </w:p>
        </w:tc>
      </w:tr>
      <w:tr w:rsidR="00C80522" w:rsidRPr="00C80522" w14:paraId="05A5AD71" w14:textId="77777777" w:rsidTr="00C80522">
        <w:trPr>
          <w:tblCellSpacing w:w="15" w:type="dxa"/>
        </w:trPr>
        <w:tc>
          <w:tcPr>
            <w:tcW w:w="0" w:type="auto"/>
            <w:vAlign w:val="center"/>
            <w:hideMark/>
          </w:tcPr>
          <w:p w14:paraId="7F7C8D82"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Put-Call Ratio</w:t>
            </w:r>
          </w:p>
        </w:tc>
        <w:tc>
          <w:tcPr>
            <w:tcW w:w="0" w:type="auto"/>
            <w:vAlign w:val="center"/>
            <w:hideMark/>
          </w:tcPr>
          <w:p w14:paraId="684DA451"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20%</w:t>
            </w:r>
          </w:p>
        </w:tc>
      </w:tr>
      <w:tr w:rsidR="00C80522" w:rsidRPr="00C80522" w14:paraId="0F07FE2C" w14:textId="77777777" w:rsidTr="00C80522">
        <w:trPr>
          <w:tblCellSpacing w:w="15" w:type="dxa"/>
        </w:trPr>
        <w:tc>
          <w:tcPr>
            <w:tcW w:w="0" w:type="auto"/>
            <w:vAlign w:val="center"/>
            <w:hideMark/>
          </w:tcPr>
          <w:p w14:paraId="3FFB7EC0"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Implied Volatility</w:t>
            </w:r>
          </w:p>
        </w:tc>
        <w:tc>
          <w:tcPr>
            <w:tcW w:w="0" w:type="auto"/>
            <w:vAlign w:val="center"/>
            <w:hideMark/>
          </w:tcPr>
          <w:p w14:paraId="2E3A5628"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20%</w:t>
            </w:r>
          </w:p>
        </w:tc>
      </w:tr>
      <w:tr w:rsidR="00C80522" w:rsidRPr="00C80522" w14:paraId="2DD3B1F7" w14:textId="77777777" w:rsidTr="00C80522">
        <w:trPr>
          <w:tblCellSpacing w:w="15" w:type="dxa"/>
        </w:trPr>
        <w:tc>
          <w:tcPr>
            <w:tcW w:w="0" w:type="auto"/>
            <w:vAlign w:val="center"/>
            <w:hideMark/>
          </w:tcPr>
          <w:p w14:paraId="40AE95F5"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Greeks</w:t>
            </w:r>
          </w:p>
        </w:tc>
        <w:tc>
          <w:tcPr>
            <w:tcW w:w="0" w:type="auto"/>
            <w:vAlign w:val="center"/>
            <w:hideMark/>
          </w:tcPr>
          <w:p w14:paraId="04BBA5C9"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20%</w:t>
            </w:r>
          </w:p>
        </w:tc>
      </w:tr>
      <w:tr w:rsidR="00C80522" w:rsidRPr="00C80522" w14:paraId="3DF6F5A2" w14:textId="77777777" w:rsidTr="00C80522">
        <w:trPr>
          <w:tblCellSpacing w:w="15" w:type="dxa"/>
        </w:trPr>
        <w:tc>
          <w:tcPr>
            <w:tcW w:w="0" w:type="auto"/>
            <w:vAlign w:val="center"/>
            <w:hideMark/>
          </w:tcPr>
          <w:p w14:paraId="2D5F0F13"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Market Positioning</w:t>
            </w:r>
          </w:p>
        </w:tc>
        <w:tc>
          <w:tcPr>
            <w:tcW w:w="0" w:type="auto"/>
            <w:vAlign w:val="center"/>
            <w:hideMark/>
          </w:tcPr>
          <w:p w14:paraId="32D2042D"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10%</w:t>
            </w:r>
          </w:p>
        </w:tc>
      </w:tr>
    </w:tbl>
    <w:p w14:paraId="463A2609"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48168753">
          <v:rect id="_x0000_i1538" style="width:0;height:1.5pt" o:hralign="center" o:hrstd="t" o:hr="t" fillcolor="#a0a0a0" stroked="f"/>
        </w:pict>
      </w:r>
    </w:p>
    <w:p w14:paraId="3FD20D79" w14:textId="77777777" w:rsidR="00C80522" w:rsidRPr="00C80522" w:rsidRDefault="00C80522" w:rsidP="00C80522">
      <w:pPr>
        <w:spacing w:before="100" w:beforeAutospacing="1" w:after="100" w:afterAutospacing="1" w:line="240" w:lineRule="auto"/>
        <w:outlineLvl w:val="1"/>
        <w:rPr>
          <w:rFonts w:ascii="Times New Roman" w:eastAsia="Times New Roman" w:hAnsi="Times New Roman" w:cs="Times New Roman"/>
          <w:b/>
          <w:bCs/>
          <w:sz w:val="36"/>
          <w:szCs w:val="36"/>
        </w:rPr>
      </w:pPr>
      <w:r w:rsidRPr="00C80522">
        <w:rPr>
          <w:rFonts w:ascii="Times New Roman" w:eastAsia="Times New Roman" w:hAnsi="Times New Roman" w:cs="Times New Roman"/>
          <w:b/>
          <w:bCs/>
          <w:sz w:val="36"/>
          <w:szCs w:val="36"/>
        </w:rPr>
        <w:t>Indicator Weights</w:t>
      </w:r>
    </w:p>
    <w:p w14:paraId="785BAB8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All indicators use the default engine weights.</w:t>
      </w:r>
    </w:p>
    <w:p w14:paraId="6FCF57D1"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Support custom weighting in future versions.</w:t>
      </w:r>
    </w:p>
    <w:p w14:paraId="0068D2C2"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2352633B">
          <v:rect id="_x0000_i1539" style="width:0;height:1.5pt" o:hralign="center" o:hrstd="t" o:hr="t" fillcolor="#a0a0a0" stroked="f"/>
        </w:pict>
      </w:r>
    </w:p>
    <w:p w14:paraId="506A0A42" w14:textId="77777777" w:rsidR="00C80522" w:rsidRPr="00C80522" w:rsidRDefault="00C80522" w:rsidP="00C80522">
      <w:pPr>
        <w:spacing w:before="100" w:beforeAutospacing="1" w:after="100" w:afterAutospacing="1" w:line="240" w:lineRule="auto"/>
        <w:outlineLvl w:val="1"/>
        <w:rPr>
          <w:rFonts w:ascii="Times New Roman" w:eastAsia="Times New Roman" w:hAnsi="Times New Roman" w:cs="Times New Roman"/>
          <w:b/>
          <w:bCs/>
          <w:sz w:val="36"/>
          <w:szCs w:val="36"/>
        </w:rPr>
      </w:pPr>
      <w:r w:rsidRPr="00C80522">
        <w:rPr>
          <w:rFonts w:ascii="Times New Roman" w:eastAsia="Times New Roman" w:hAnsi="Times New Roman" w:cs="Times New Roman"/>
          <w:b/>
          <w:bCs/>
          <w:sz w:val="36"/>
          <w:szCs w:val="36"/>
        </w:rPr>
        <w:t>Score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509"/>
      </w:tblGrid>
      <w:tr w:rsidR="00C80522" w:rsidRPr="00C80522" w14:paraId="62524320" w14:textId="77777777" w:rsidTr="00C80522">
        <w:trPr>
          <w:tblHeader/>
          <w:tblCellSpacing w:w="15" w:type="dxa"/>
        </w:trPr>
        <w:tc>
          <w:tcPr>
            <w:tcW w:w="0" w:type="auto"/>
            <w:vAlign w:val="center"/>
            <w:hideMark/>
          </w:tcPr>
          <w:p w14:paraId="0F185F25" w14:textId="77777777" w:rsidR="00C80522" w:rsidRPr="00C80522" w:rsidRDefault="00C80522" w:rsidP="00C80522">
            <w:pPr>
              <w:spacing w:after="0" w:line="240" w:lineRule="auto"/>
              <w:jc w:val="center"/>
              <w:rPr>
                <w:rFonts w:ascii="Times New Roman" w:eastAsia="Times New Roman" w:hAnsi="Times New Roman" w:cs="Times New Roman"/>
                <w:b/>
                <w:bCs/>
                <w:sz w:val="24"/>
                <w:szCs w:val="24"/>
              </w:rPr>
            </w:pPr>
            <w:r w:rsidRPr="00C80522">
              <w:rPr>
                <w:rFonts w:ascii="Times New Roman" w:eastAsia="Times New Roman" w:hAnsi="Times New Roman" w:cs="Times New Roman"/>
                <w:b/>
                <w:bCs/>
                <w:sz w:val="24"/>
                <w:szCs w:val="24"/>
              </w:rPr>
              <w:t>Score</w:t>
            </w:r>
          </w:p>
        </w:tc>
        <w:tc>
          <w:tcPr>
            <w:tcW w:w="0" w:type="auto"/>
            <w:vAlign w:val="center"/>
            <w:hideMark/>
          </w:tcPr>
          <w:p w14:paraId="3506D626" w14:textId="77777777" w:rsidR="00C80522" w:rsidRPr="00C80522" w:rsidRDefault="00C80522" w:rsidP="00C80522">
            <w:pPr>
              <w:spacing w:after="0" w:line="240" w:lineRule="auto"/>
              <w:jc w:val="center"/>
              <w:rPr>
                <w:rFonts w:ascii="Times New Roman" w:eastAsia="Times New Roman" w:hAnsi="Times New Roman" w:cs="Times New Roman"/>
                <w:b/>
                <w:bCs/>
                <w:sz w:val="24"/>
                <w:szCs w:val="24"/>
              </w:rPr>
            </w:pPr>
            <w:r w:rsidRPr="00C80522">
              <w:rPr>
                <w:rFonts w:ascii="Times New Roman" w:eastAsia="Times New Roman" w:hAnsi="Times New Roman" w:cs="Times New Roman"/>
                <w:b/>
                <w:bCs/>
                <w:sz w:val="24"/>
                <w:szCs w:val="24"/>
              </w:rPr>
              <w:t>Bias</w:t>
            </w:r>
          </w:p>
        </w:tc>
      </w:tr>
      <w:tr w:rsidR="00C80522" w:rsidRPr="00C80522" w14:paraId="5B61522E" w14:textId="77777777" w:rsidTr="00C80522">
        <w:trPr>
          <w:tblCellSpacing w:w="15" w:type="dxa"/>
        </w:trPr>
        <w:tc>
          <w:tcPr>
            <w:tcW w:w="0" w:type="auto"/>
            <w:vAlign w:val="center"/>
            <w:hideMark/>
          </w:tcPr>
          <w:p w14:paraId="08E5FBDE"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90–100</w:t>
            </w:r>
          </w:p>
        </w:tc>
        <w:tc>
          <w:tcPr>
            <w:tcW w:w="0" w:type="auto"/>
            <w:vAlign w:val="center"/>
            <w:hideMark/>
          </w:tcPr>
          <w:p w14:paraId="79FC33EF"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Strong Bullish</w:t>
            </w:r>
          </w:p>
        </w:tc>
      </w:tr>
      <w:tr w:rsidR="00C80522" w:rsidRPr="00C80522" w14:paraId="7AA465CF" w14:textId="77777777" w:rsidTr="00C80522">
        <w:trPr>
          <w:tblCellSpacing w:w="15" w:type="dxa"/>
        </w:trPr>
        <w:tc>
          <w:tcPr>
            <w:tcW w:w="0" w:type="auto"/>
            <w:vAlign w:val="center"/>
            <w:hideMark/>
          </w:tcPr>
          <w:p w14:paraId="3F9AA061"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75–89</w:t>
            </w:r>
          </w:p>
        </w:tc>
        <w:tc>
          <w:tcPr>
            <w:tcW w:w="0" w:type="auto"/>
            <w:vAlign w:val="center"/>
            <w:hideMark/>
          </w:tcPr>
          <w:p w14:paraId="2A0771C5"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Bullish</w:t>
            </w:r>
          </w:p>
        </w:tc>
      </w:tr>
      <w:tr w:rsidR="00C80522" w:rsidRPr="00C80522" w14:paraId="4796C787" w14:textId="77777777" w:rsidTr="00C80522">
        <w:trPr>
          <w:tblCellSpacing w:w="15" w:type="dxa"/>
        </w:trPr>
        <w:tc>
          <w:tcPr>
            <w:tcW w:w="0" w:type="auto"/>
            <w:vAlign w:val="center"/>
            <w:hideMark/>
          </w:tcPr>
          <w:p w14:paraId="0FE2AED6"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55–74</w:t>
            </w:r>
          </w:p>
        </w:tc>
        <w:tc>
          <w:tcPr>
            <w:tcW w:w="0" w:type="auto"/>
            <w:vAlign w:val="center"/>
            <w:hideMark/>
          </w:tcPr>
          <w:p w14:paraId="065A0C4E"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Neutral</w:t>
            </w:r>
          </w:p>
        </w:tc>
      </w:tr>
      <w:tr w:rsidR="00C80522" w:rsidRPr="00C80522" w14:paraId="2E1DBF8D" w14:textId="77777777" w:rsidTr="00C80522">
        <w:trPr>
          <w:tblCellSpacing w:w="15" w:type="dxa"/>
        </w:trPr>
        <w:tc>
          <w:tcPr>
            <w:tcW w:w="0" w:type="auto"/>
            <w:vAlign w:val="center"/>
            <w:hideMark/>
          </w:tcPr>
          <w:p w14:paraId="7E7172E9"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35–54</w:t>
            </w:r>
          </w:p>
        </w:tc>
        <w:tc>
          <w:tcPr>
            <w:tcW w:w="0" w:type="auto"/>
            <w:vAlign w:val="center"/>
            <w:hideMark/>
          </w:tcPr>
          <w:p w14:paraId="615251EC"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Bearish</w:t>
            </w:r>
          </w:p>
        </w:tc>
      </w:tr>
      <w:tr w:rsidR="00C80522" w:rsidRPr="00C80522" w14:paraId="11CE1378" w14:textId="77777777" w:rsidTr="00C80522">
        <w:trPr>
          <w:tblCellSpacing w:w="15" w:type="dxa"/>
        </w:trPr>
        <w:tc>
          <w:tcPr>
            <w:tcW w:w="0" w:type="auto"/>
            <w:vAlign w:val="center"/>
            <w:hideMark/>
          </w:tcPr>
          <w:p w14:paraId="464A3E84"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0–34</w:t>
            </w:r>
          </w:p>
        </w:tc>
        <w:tc>
          <w:tcPr>
            <w:tcW w:w="0" w:type="auto"/>
            <w:vAlign w:val="center"/>
            <w:hideMark/>
          </w:tcPr>
          <w:p w14:paraId="294D33EF"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Strong Bearish</w:t>
            </w:r>
          </w:p>
        </w:tc>
      </w:tr>
    </w:tbl>
    <w:p w14:paraId="29CDAC8D"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2AB58D60">
          <v:rect id="_x0000_i1540" style="width:0;height:1.5pt" o:hralign="center" o:hrstd="t" o:hr="t" fillcolor="#a0a0a0" stroked="f"/>
        </w:pict>
      </w:r>
    </w:p>
    <w:p w14:paraId="52615B6A" w14:textId="77777777" w:rsidR="00C80522" w:rsidRPr="00C80522" w:rsidRDefault="00C80522" w:rsidP="00C80522">
      <w:pPr>
        <w:spacing w:before="100" w:beforeAutospacing="1" w:after="100" w:afterAutospacing="1" w:line="240" w:lineRule="auto"/>
        <w:outlineLvl w:val="1"/>
        <w:rPr>
          <w:rFonts w:ascii="Times New Roman" w:eastAsia="Times New Roman" w:hAnsi="Times New Roman" w:cs="Times New Roman"/>
          <w:b/>
          <w:bCs/>
          <w:sz w:val="36"/>
          <w:szCs w:val="36"/>
        </w:rPr>
      </w:pPr>
      <w:r w:rsidRPr="00C80522">
        <w:rPr>
          <w:rFonts w:ascii="Times New Roman" w:eastAsia="Times New Roman" w:hAnsi="Times New Roman" w:cs="Times New Roman"/>
          <w:b/>
          <w:bCs/>
          <w:sz w:val="36"/>
          <w:szCs w:val="36"/>
        </w:rPr>
        <w:t>Confidence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889"/>
      </w:tblGrid>
      <w:tr w:rsidR="00C80522" w:rsidRPr="00C80522" w14:paraId="38497418" w14:textId="77777777" w:rsidTr="00C80522">
        <w:trPr>
          <w:tblHeader/>
          <w:tblCellSpacing w:w="15" w:type="dxa"/>
        </w:trPr>
        <w:tc>
          <w:tcPr>
            <w:tcW w:w="0" w:type="auto"/>
            <w:vAlign w:val="center"/>
            <w:hideMark/>
          </w:tcPr>
          <w:p w14:paraId="7BFCC234" w14:textId="77777777" w:rsidR="00C80522" w:rsidRPr="00C80522" w:rsidRDefault="00C80522" w:rsidP="00C80522">
            <w:pPr>
              <w:spacing w:after="0" w:line="240" w:lineRule="auto"/>
              <w:jc w:val="center"/>
              <w:rPr>
                <w:rFonts w:ascii="Times New Roman" w:eastAsia="Times New Roman" w:hAnsi="Times New Roman" w:cs="Times New Roman"/>
                <w:b/>
                <w:bCs/>
                <w:sz w:val="24"/>
                <w:szCs w:val="24"/>
              </w:rPr>
            </w:pPr>
            <w:r w:rsidRPr="00C80522">
              <w:rPr>
                <w:rFonts w:ascii="Times New Roman" w:eastAsia="Times New Roman" w:hAnsi="Times New Roman" w:cs="Times New Roman"/>
                <w:b/>
                <w:bCs/>
                <w:sz w:val="24"/>
                <w:szCs w:val="24"/>
              </w:rPr>
              <w:t>Confidence</w:t>
            </w:r>
          </w:p>
        </w:tc>
        <w:tc>
          <w:tcPr>
            <w:tcW w:w="0" w:type="auto"/>
            <w:vAlign w:val="center"/>
            <w:hideMark/>
          </w:tcPr>
          <w:p w14:paraId="2AB336C9" w14:textId="77777777" w:rsidR="00C80522" w:rsidRPr="00C80522" w:rsidRDefault="00C80522" w:rsidP="00C80522">
            <w:pPr>
              <w:spacing w:after="0" w:line="240" w:lineRule="auto"/>
              <w:jc w:val="center"/>
              <w:rPr>
                <w:rFonts w:ascii="Times New Roman" w:eastAsia="Times New Roman" w:hAnsi="Times New Roman" w:cs="Times New Roman"/>
                <w:b/>
                <w:bCs/>
                <w:sz w:val="24"/>
                <w:szCs w:val="24"/>
              </w:rPr>
            </w:pPr>
            <w:r w:rsidRPr="00C80522">
              <w:rPr>
                <w:rFonts w:ascii="Times New Roman" w:eastAsia="Times New Roman" w:hAnsi="Times New Roman" w:cs="Times New Roman"/>
                <w:b/>
                <w:bCs/>
                <w:sz w:val="24"/>
                <w:szCs w:val="24"/>
              </w:rPr>
              <w:t>Status</w:t>
            </w:r>
          </w:p>
        </w:tc>
      </w:tr>
      <w:tr w:rsidR="00C80522" w:rsidRPr="00C80522" w14:paraId="1A7BAFE4" w14:textId="77777777" w:rsidTr="00C80522">
        <w:trPr>
          <w:tblCellSpacing w:w="15" w:type="dxa"/>
        </w:trPr>
        <w:tc>
          <w:tcPr>
            <w:tcW w:w="0" w:type="auto"/>
            <w:vAlign w:val="center"/>
            <w:hideMark/>
          </w:tcPr>
          <w:p w14:paraId="74F78399"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&gt;80%</w:t>
            </w:r>
          </w:p>
        </w:tc>
        <w:tc>
          <w:tcPr>
            <w:tcW w:w="0" w:type="auto"/>
            <w:vAlign w:val="center"/>
            <w:hideMark/>
          </w:tcPr>
          <w:p w14:paraId="56807E57"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High</w:t>
            </w:r>
          </w:p>
        </w:tc>
      </w:tr>
      <w:tr w:rsidR="00C80522" w:rsidRPr="00C80522" w14:paraId="13918C45" w14:textId="77777777" w:rsidTr="00C80522">
        <w:trPr>
          <w:tblCellSpacing w:w="15" w:type="dxa"/>
        </w:trPr>
        <w:tc>
          <w:tcPr>
            <w:tcW w:w="0" w:type="auto"/>
            <w:vAlign w:val="center"/>
            <w:hideMark/>
          </w:tcPr>
          <w:p w14:paraId="161780F7"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60–80%</w:t>
            </w:r>
          </w:p>
        </w:tc>
        <w:tc>
          <w:tcPr>
            <w:tcW w:w="0" w:type="auto"/>
            <w:vAlign w:val="center"/>
            <w:hideMark/>
          </w:tcPr>
          <w:p w14:paraId="1EBB53FB"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Medium</w:t>
            </w:r>
          </w:p>
        </w:tc>
      </w:tr>
      <w:tr w:rsidR="00C80522" w:rsidRPr="00C80522" w14:paraId="74C5C1A9" w14:textId="77777777" w:rsidTr="00C80522">
        <w:trPr>
          <w:tblCellSpacing w:w="15" w:type="dxa"/>
        </w:trPr>
        <w:tc>
          <w:tcPr>
            <w:tcW w:w="0" w:type="auto"/>
            <w:vAlign w:val="center"/>
            <w:hideMark/>
          </w:tcPr>
          <w:p w14:paraId="51BEDC80"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&lt;60%</w:t>
            </w:r>
          </w:p>
        </w:tc>
        <w:tc>
          <w:tcPr>
            <w:tcW w:w="0" w:type="auto"/>
            <w:vAlign w:val="center"/>
            <w:hideMark/>
          </w:tcPr>
          <w:p w14:paraId="221E0580"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Low</w:t>
            </w:r>
          </w:p>
        </w:tc>
      </w:tr>
    </w:tbl>
    <w:p w14:paraId="61A35924"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11FD6588">
          <v:rect id="_x0000_i1541" style="width:0;height:1.5pt" o:hralign="center" o:hrstd="t" o:hr="t" fillcolor="#a0a0a0" stroked="f"/>
        </w:pict>
      </w:r>
    </w:p>
    <w:p w14:paraId="529FB7E2"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3. Option Chain Settings</w:t>
      </w:r>
    </w:p>
    <w:p w14:paraId="545E31F7"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Default Expiry</w:t>
      </w:r>
    </w:p>
    <w:p w14:paraId="3CAFBAE8" w14:textId="77777777" w:rsidR="00C80522" w:rsidRPr="00C80522" w:rsidRDefault="00C80522" w:rsidP="00C80522">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Weekly Expiry (Nearest) </w:t>
      </w:r>
    </w:p>
    <w:p w14:paraId="3CA21885"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lastRenderedPageBreak/>
        <w:t>Automatic Switch</w:t>
      </w:r>
    </w:p>
    <w:p w14:paraId="31936FAC" w14:textId="77777777" w:rsidR="00C80522" w:rsidRPr="00C80522" w:rsidRDefault="00C80522" w:rsidP="00C80522">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Switch to Monthly Expiry after weekly expiry. </w:t>
      </w:r>
    </w:p>
    <w:p w14:paraId="002FECA9"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ATM Selection</w:t>
      </w:r>
    </w:p>
    <w:p w14:paraId="4996B455"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Automatically identify the nearest At-the-Money strike based on the current spot price.</w:t>
      </w:r>
    </w:p>
    <w:p w14:paraId="35910FC6"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412CDB16">
          <v:rect id="_x0000_i1542" style="width:0;height:1.5pt" o:hralign="center" o:hrstd="t" o:hr="t" fillcolor="#a0a0a0" stroked="f"/>
        </w:pict>
      </w:r>
    </w:p>
    <w:p w14:paraId="19170090"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4. Update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2815"/>
      </w:tblGrid>
      <w:tr w:rsidR="00C80522" w:rsidRPr="00C80522" w14:paraId="63599489" w14:textId="77777777" w:rsidTr="00C80522">
        <w:trPr>
          <w:tblHeader/>
          <w:tblCellSpacing w:w="15" w:type="dxa"/>
        </w:trPr>
        <w:tc>
          <w:tcPr>
            <w:tcW w:w="0" w:type="auto"/>
            <w:vAlign w:val="center"/>
            <w:hideMark/>
          </w:tcPr>
          <w:p w14:paraId="227D61CA" w14:textId="77777777" w:rsidR="00C80522" w:rsidRPr="00C80522" w:rsidRDefault="00C80522" w:rsidP="00C80522">
            <w:pPr>
              <w:spacing w:after="0" w:line="240" w:lineRule="auto"/>
              <w:jc w:val="center"/>
              <w:rPr>
                <w:rFonts w:ascii="Times New Roman" w:eastAsia="Times New Roman" w:hAnsi="Times New Roman" w:cs="Times New Roman"/>
                <w:b/>
                <w:bCs/>
                <w:sz w:val="24"/>
                <w:szCs w:val="24"/>
              </w:rPr>
            </w:pPr>
            <w:r w:rsidRPr="00C80522">
              <w:rPr>
                <w:rFonts w:ascii="Times New Roman" w:eastAsia="Times New Roman" w:hAnsi="Times New Roman" w:cs="Times New Roman"/>
                <w:b/>
                <w:bCs/>
                <w:sz w:val="24"/>
                <w:szCs w:val="24"/>
              </w:rPr>
              <w:t>Component</w:t>
            </w:r>
          </w:p>
        </w:tc>
        <w:tc>
          <w:tcPr>
            <w:tcW w:w="0" w:type="auto"/>
            <w:vAlign w:val="center"/>
            <w:hideMark/>
          </w:tcPr>
          <w:p w14:paraId="3F1D552E" w14:textId="77777777" w:rsidR="00C80522" w:rsidRPr="00C80522" w:rsidRDefault="00C80522" w:rsidP="00C80522">
            <w:pPr>
              <w:spacing w:after="0" w:line="240" w:lineRule="auto"/>
              <w:jc w:val="center"/>
              <w:rPr>
                <w:rFonts w:ascii="Times New Roman" w:eastAsia="Times New Roman" w:hAnsi="Times New Roman" w:cs="Times New Roman"/>
                <w:b/>
                <w:bCs/>
                <w:sz w:val="24"/>
                <w:szCs w:val="24"/>
              </w:rPr>
            </w:pPr>
            <w:r w:rsidRPr="00C80522">
              <w:rPr>
                <w:rFonts w:ascii="Times New Roman" w:eastAsia="Times New Roman" w:hAnsi="Times New Roman" w:cs="Times New Roman"/>
                <w:b/>
                <w:bCs/>
                <w:sz w:val="24"/>
                <w:szCs w:val="24"/>
              </w:rPr>
              <w:t>Update Frequency</w:t>
            </w:r>
          </w:p>
        </w:tc>
      </w:tr>
      <w:tr w:rsidR="00C80522" w:rsidRPr="00C80522" w14:paraId="03F873B4" w14:textId="77777777" w:rsidTr="00C80522">
        <w:trPr>
          <w:tblCellSpacing w:w="15" w:type="dxa"/>
        </w:trPr>
        <w:tc>
          <w:tcPr>
            <w:tcW w:w="0" w:type="auto"/>
            <w:vAlign w:val="center"/>
            <w:hideMark/>
          </w:tcPr>
          <w:p w14:paraId="7EA428E7"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Open Interest</w:t>
            </w:r>
          </w:p>
        </w:tc>
        <w:tc>
          <w:tcPr>
            <w:tcW w:w="0" w:type="auto"/>
            <w:vAlign w:val="center"/>
            <w:hideMark/>
          </w:tcPr>
          <w:p w14:paraId="7AC21DA6"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Every Option Chain Refresh</w:t>
            </w:r>
          </w:p>
        </w:tc>
      </w:tr>
      <w:tr w:rsidR="00C80522" w:rsidRPr="00C80522" w14:paraId="396BE0C2" w14:textId="77777777" w:rsidTr="00C80522">
        <w:trPr>
          <w:tblCellSpacing w:w="15" w:type="dxa"/>
        </w:trPr>
        <w:tc>
          <w:tcPr>
            <w:tcW w:w="0" w:type="auto"/>
            <w:vAlign w:val="center"/>
            <w:hideMark/>
          </w:tcPr>
          <w:p w14:paraId="6D7B6062"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PCR</w:t>
            </w:r>
          </w:p>
        </w:tc>
        <w:tc>
          <w:tcPr>
            <w:tcW w:w="0" w:type="auto"/>
            <w:vAlign w:val="center"/>
            <w:hideMark/>
          </w:tcPr>
          <w:p w14:paraId="312D7EF2"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Every Option Chain Refresh</w:t>
            </w:r>
          </w:p>
        </w:tc>
      </w:tr>
      <w:tr w:rsidR="00C80522" w:rsidRPr="00C80522" w14:paraId="7F5DEE55" w14:textId="77777777" w:rsidTr="00C80522">
        <w:trPr>
          <w:tblCellSpacing w:w="15" w:type="dxa"/>
        </w:trPr>
        <w:tc>
          <w:tcPr>
            <w:tcW w:w="0" w:type="auto"/>
            <w:vAlign w:val="center"/>
            <w:hideMark/>
          </w:tcPr>
          <w:p w14:paraId="7A9A39F4"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Implied Volatility</w:t>
            </w:r>
          </w:p>
        </w:tc>
        <w:tc>
          <w:tcPr>
            <w:tcW w:w="0" w:type="auto"/>
            <w:vAlign w:val="center"/>
            <w:hideMark/>
          </w:tcPr>
          <w:p w14:paraId="09AE50C9"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Every Option Chain Refresh</w:t>
            </w:r>
          </w:p>
        </w:tc>
      </w:tr>
      <w:tr w:rsidR="00C80522" w:rsidRPr="00C80522" w14:paraId="57BC601E" w14:textId="77777777" w:rsidTr="00C80522">
        <w:trPr>
          <w:tblCellSpacing w:w="15" w:type="dxa"/>
        </w:trPr>
        <w:tc>
          <w:tcPr>
            <w:tcW w:w="0" w:type="auto"/>
            <w:vAlign w:val="center"/>
            <w:hideMark/>
          </w:tcPr>
          <w:p w14:paraId="518D1F60"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Greeks</w:t>
            </w:r>
          </w:p>
        </w:tc>
        <w:tc>
          <w:tcPr>
            <w:tcW w:w="0" w:type="auto"/>
            <w:vAlign w:val="center"/>
            <w:hideMark/>
          </w:tcPr>
          <w:p w14:paraId="2DF98051"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Every Option Chain Refresh</w:t>
            </w:r>
          </w:p>
        </w:tc>
      </w:tr>
      <w:tr w:rsidR="00C80522" w:rsidRPr="00C80522" w14:paraId="3ACEEF0E" w14:textId="77777777" w:rsidTr="00C80522">
        <w:trPr>
          <w:tblCellSpacing w:w="15" w:type="dxa"/>
        </w:trPr>
        <w:tc>
          <w:tcPr>
            <w:tcW w:w="0" w:type="auto"/>
            <w:vAlign w:val="center"/>
            <w:hideMark/>
          </w:tcPr>
          <w:p w14:paraId="70C03DAE"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Max Pain</w:t>
            </w:r>
          </w:p>
        </w:tc>
        <w:tc>
          <w:tcPr>
            <w:tcW w:w="0" w:type="auto"/>
            <w:vAlign w:val="center"/>
            <w:hideMark/>
          </w:tcPr>
          <w:p w14:paraId="1A0B33CD"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Every Option Chain Refresh</w:t>
            </w:r>
          </w:p>
        </w:tc>
      </w:tr>
      <w:tr w:rsidR="00C80522" w:rsidRPr="00C80522" w14:paraId="20CE87CE" w14:textId="77777777" w:rsidTr="00C80522">
        <w:trPr>
          <w:tblCellSpacing w:w="15" w:type="dxa"/>
        </w:trPr>
        <w:tc>
          <w:tcPr>
            <w:tcW w:w="0" w:type="auto"/>
            <w:vAlign w:val="center"/>
            <w:hideMark/>
          </w:tcPr>
          <w:p w14:paraId="2FB5ACAD"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Options Score</w:t>
            </w:r>
          </w:p>
        </w:tc>
        <w:tc>
          <w:tcPr>
            <w:tcW w:w="0" w:type="auto"/>
            <w:vAlign w:val="center"/>
            <w:hideMark/>
          </w:tcPr>
          <w:p w14:paraId="67AE325A"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On Indicator Update</w:t>
            </w:r>
          </w:p>
        </w:tc>
      </w:tr>
      <w:tr w:rsidR="00C80522" w:rsidRPr="00C80522" w14:paraId="6B7629F1" w14:textId="77777777" w:rsidTr="00C80522">
        <w:trPr>
          <w:tblCellSpacing w:w="15" w:type="dxa"/>
        </w:trPr>
        <w:tc>
          <w:tcPr>
            <w:tcW w:w="0" w:type="auto"/>
            <w:vAlign w:val="center"/>
            <w:hideMark/>
          </w:tcPr>
          <w:p w14:paraId="2E3CACE6"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Dashboard Card</w:t>
            </w:r>
          </w:p>
        </w:tc>
        <w:tc>
          <w:tcPr>
            <w:tcW w:w="0" w:type="auto"/>
            <w:vAlign w:val="center"/>
            <w:hideMark/>
          </w:tcPr>
          <w:p w14:paraId="68C1BCD5"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On Score Update</w:t>
            </w:r>
          </w:p>
        </w:tc>
      </w:tr>
      <w:tr w:rsidR="00C80522" w:rsidRPr="00C80522" w14:paraId="3E76B49B" w14:textId="77777777" w:rsidTr="00C80522">
        <w:trPr>
          <w:tblCellSpacing w:w="15" w:type="dxa"/>
        </w:trPr>
        <w:tc>
          <w:tcPr>
            <w:tcW w:w="0" w:type="auto"/>
            <w:vAlign w:val="center"/>
            <w:hideMark/>
          </w:tcPr>
          <w:p w14:paraId="2F33F857"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AI Summary</w:t>
            </w:r>
          </w:p>
        </w:tc>
        <w:tc>
          <w:tcPr>
            <w:tcW w:w="0" w:type="auto"/>
            <w:vAlign w:val="center"/>
            <w:hideMark/>
          </w:tcPr>
          <w:p w14:paraId="77CAE9C2"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On Score Update</w:t>
            </w:r>
          </w:p>
        </w:tc>
      </w:tr>
    </w:tbl>
    <w:p w14:paraId="6AFB8555"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70DDBC2C">
          <v:rect id="_x0000_i1543" style="width:0;height:1.5pt" o:hralign="center" o:hrstd="t" o:hr="t" fillcolor="#a0a0a0" stroked="f"/>
        </w:pict>
      </w:r>
    </w:p>
    <w:p w14:paraId="4E3704B7"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5. Manual Mode</w:t>
      </w:r>
    </w:p>
    <w:p w14:paraId="2FBCBD9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Support manual input for:</w:t>
      </w:r>
    </w:p>
    <w:p w14:paraId="76C327C4" w14:textId="77777777" w:rsidR="00C80522" w:rsidRPr="00C80522" w:rsidRDefault="00C80522" w:rsidP="00C80522">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Call Open Interest </w:t>
      </w:r>
    </w:p>
    <w:p w14:paraId="37D99472" w14:textId="77777777" w:rsidR="00C80522" w:rsidRPr="00C80522" w:rsidRDefault="00C80522" w:rsidP="00C80522">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Put Open Interest </w:t>
      </w:r>
    </w:p>
    <w:p w14:paraId="3120B833" w14:textId="77777777" w:rsidR="00C80522" w:rsidRPr="00C80522" w:rsidRDefault="00C80522" w:rsidP="00C80522">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PCR </w:t>
      </w:r>
    </w:p>
    <w:p w14:paraId="4F474DC0" w14:textId="77777777" w:rsidR="00C80522" w:rsidRPr="00C80522" w:rsidRDefault="00C80522" w:rsidP="00C80522">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ATM IV </w:t>
      </w:r>
    </w:p>
    <w:p w14:paraId="7D7E94B0" w14:textId="77777777" w:rsidR="00C80522" w:rsidRPr="00C80522" w:rsidRDefault="00C80522" w:rsidP="00C80522">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IV Rank </w:t>
      </w:r>
    </w:p>
    <w:p w14:paraId="7C1B3140" w14:textId="77777777" w:rsidR="00C80522" w:rsidRPr="00C80522" w:rsidRDefault="00C80522" w:rsidP="00C80522">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IV Percentile </w:t>
      </w:r>
    </w:p>
    <w:p w14:paraId="3A3D5445" w14:textId="77777777" w:rsidR="00C80522" w:rsidRPr="00C80522" w:rsidRDefault="00C80522" w:rsidP="00C80522">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Delta </w:t>
      </w:r>
    </w:p>
    <w:p w14:paraId="5DD6A3D2" w14:textId="77777777" w:rsidR="00C80522" w:rsidRPr="00C80522" w:rsidRDefault="00C80522" w:rsidP="00C80522">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Gamma </w:t>
      </w:r>
    </w:p>
    <w:p w14:paraId="0E579771" w14:textId="77777777" w:rsidR="00C80522" w:rsidRPr="00C80522" w:rsidRDefault="00C80522" w:rsidP="00C80522">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Theta </w:t>
      </w:r>
    </w:p>
    <w:p w14:paraId="51598FF5" w14:textId="77777777" w:rsidR="00C80522" w:rsidRPr="00C80522" w:rsidRDefault="00C80522" w:rsidP="00C80522">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Vega </w:t>
      </w:r>
    </w:p>
    <w:p w14:paraId="73F495E6" w14:textId="77777777" w:rsidR="00C80522" w:rsidRPr="00C80522" w:rsidRDefault="00C80522" w:rsidP="00C80522">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Max Pain </w:t>
      </w:r>
    </w:p>
    <w:p w14:paraId="092787F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Manual values should:</w:t>
      </w:r>
    </w:p>
    <w:p w14:paraId="4C983931" w14:textId="77777777" w:rsidR="00C80522" w:rsidRPr="00C80522" w:rsidRDefault="00C80522" w:rsidP="00C80522">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Override automatic values. </w:t>
      </w:r>
    </w:p>
    <w:p w14:paraId="06D6EF8F" w14:textId="77777777" w:rsidR="00C80522" w:rsidRPr="00C80522" w:rsidRDefault="00C80522" w:rsidP="00C80522">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lastRenderedPageBreak/>
        <w:t xml:space="preserve">Record update timestamp. </w:t>
      </w:r>
    </w:p>
    <w:p w14:paraId="7EB103DB" w14:textId="77777777" w:rsidR="00C80522" w:rsidRPr="00C80522" w:rsidRDefault="00C80522" w:rsidP="00C80522">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Record data source. </w:t>
      </w:r>
    </w:p>
    <w:p w14:paraId="67EDF0A0" w14:textId="77777777" w:rsidR="00C80522" w:rsidRPr="00C80522" w:rsidRDefault="00C80522" w:rsidP="00C80522">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Trigger Options Engine recalculation. </w:t>
      </w:r>
    </w:p>
    <w:p w14:paraId="2E3524EF"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0588D461">
          <v:rect id="_x0000_i1544" style="width:0;height:1.5pt" o:hralign="center" o:hrstd="t" o:hr="t" fillcolor="#a0a0a0" stroked="f"/>
        </w:pict>
      </w:r>
    </w:p>
    <w:p w14:paraId="47D6B380"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6. Future Auto Mode (V2)</w:t>
      </w:r>
    </w:p>
    <w:p w14:paraId="12B104B4"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Support automatic data retrieval through:</w:t>
      </w:r>
    </w:p>
    <w:p w14:paraId="2C0E20A5" w14:textId="77777777" w:rsidR="00C80522" w:rsidRPr="00C80522" w:rsidRDefault="00C80522" w:rsidP="00C80522">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NSE Option Chain API </w:t>
      </w:r>
    </w:p>
    <w:p w14:paraId="350716B6" w14:textId="77777777" w:rsidR="00C80522" w:rsidRPr="00C80522" w:rsidRDefault="00C80522" w:rsidP="00C80522">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Upstox API </w:t>
      </w:r>
    </w:p>
    <w:p w14:paraId="6BFF0381" w14:textId="77777777" w:rsidR="00C80522" w:rsidRPr="00C80522" w:rsidRDefault="00C80522" w:rsidP="00C80522">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Exchange Greeks </w:t>
      </w:r>
    </w:p>
    <w:p w14:paraId="31365F54" w14:textId="77777777" w:rsidR="00C80522" w:rsidRPr="00C80522" w:rsidRDefault="00C80522" w:rsidP="00C80522">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Volatility Data Providers </w:t>
      </w:r>
    </w:p>
    <w:p w14:paraId="0DF3EFE9"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Manual override should remain available.</w:t>
      </w:r>
    </w:p>
    <w:p w14:paraId="624781AD"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6D485265">
          <v:rect id="_x0000_i1545" style="width:0;height:1.5pt" o:hralign="center" o:hrstd="t" o:hr="t" fillcolor="#a0a0a0" stroked="f"/>
        </w:pict>
      </w:r>
    </w:p>
    <w:p w14:paraId="6C46C75A"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7. Score Configuration</w:t>
      </w:r>
    </w:p>
    <w:p w14:paraId="725AAB0C"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Support configurable:</w:t>
      </w:r>
    </w:p>
    <w:p w14:paraId="1B60E62B" w14:textId="77777777" w:rsidR="00C80522" w:rsidRPr="00C80522" w:rsidRDefault="00C80522" w:rsidP="00C80522">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Category weights </w:t>
      </w:r>
    </w:p>
    <w:p w14:paraId="6F6ACE5E" w14:textId="77777777" w:rsidR="00C80522" w:rsidRPr="00C80522" w:rsidRDefault="00C80522" w:rsidP="00C80522">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Indicator weights </w:t>
      </w:r>
    </w:p>
    <w:p w14:paraId="6F7BE8AD" w14:textId="77777777" w:rsidR="00C80522" w:rsidRPr="00C80522" w:rsidRDefault="00C80522" w:rsidP="00C80522">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Bias thresholds </w:t>
      </w:r>
    </w:p>
    <w:p w14:paraId="7F9A30DA" w14:textId="77777777" w:rsidR="00C80522" w:rsidRPr="00C80522" w:rsidRDefault="00C80522" w:rsidP="00C80522">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Confidence thresholds </w:t>
      </w:r>
    </w:p>
    <w:p w14:paraId="59510CB6"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Changes should immediately recalculate the Options Score.</w:t>
      </w:r>
    </w:p>
    <w:p w14:paraId="15618327"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0A8DDFA3">
          <v:rect id="_x0000_i1546" style="width:0;height:1.5pt" o:hralign="center" o:hrstd="t" o:hr="t" fillcolor="#a0a0a0" stroked="f"/>
        </w:pict>
      </w:r>
    </w:p>
    <w:p w14:paraId="58F12B42"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8. Dashboard Configuration</w:t>
      </w:r>
    </w:p>
    <w:p w14:paraId="371576B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Allow enabling or disabling:</w:t>
      </w:r>
    </w:p>
    <w:p w14:paraId="4D7922DA" w14:textId="77777777" w:rsidR="00C80522" w:rsidRPr="00C80522" w:rsidRDefault="00C80522" w:rsidP="00C80522">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AI Summary </w:t>
      </w:r>
    </w:p>
    <w:p w14:paraId="3B3AD824" w14:textId="77777777" w:rsidR="00C80522" w:rsidRPr="00C80522" w:rsidRDefault="00C80522" w:rsidP="00C80522">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Trend Chart </w:t>
      </w:r>
    </w:p>
    <w:p w14:paraId="5B82B9D7" w14:textId="77777777" w:rsidR="00C80522" w:rsidRPr="00C80522" w:rsidRDefault="00C80522" w:rsidP="00C80522">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Category Breakdown </w:t>
      </w:r>
    </w:p>
    <w:p w14:paraId="41204200" w14:textId="77777777" w:rsidR="00C80522" w:rsidRPr="00C80522" w:rsidRDefault="00C80522" w:rsidP="00C80522">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Confidence Display </w:t>
      </w:r>
    </w:p>
    <w:p w14:paraId="0D90CC20" w14:textId="77777777" w:rsidR="00C80522" w:rsidRPr="00C80522" w:rsidRDefault="00C80522" w:rsidP="00C80522">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Supporting Indicators </w:t>
      </w:r>
    </w:p>
    <w:p w14:paraId="06F39E1A" w14:textId="77777777" w:rsidR="00C80522" w:rsidRPr="00C80522" w:rsidRDefault="00C80522" w:rsidP="00C80522">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Metadata </w:t>
      </w:r>
    </w:p>
    <w:p w14:paraId="4B0500F2"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lastRenderedPageBreak/>
        <w:pict w14:anchorId="7FC915E6">
          <v:rect id="_x0000_i1547" style="width:0;height:1.5pt" o:hralign="center" o:hrstd="t" o:hr="t" fillcolor="#a0a0a0" stroked="f"/>
        </w:pict>
      </w:r>
    </w:p>
    <w:p w14:paraId="1A0211EB"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9. AI Configuration</w:t>
      </w:r>
    </w:p>
    <w:p w14:paraId="5C761B38"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Allow configuration of:</w:t>
      </w:r>
    </w:p>
    <w:p w14:paraId="39FF0BAF" w14:textId="77777777" w:rsidR="00C80522" w:rsidRPr="00C80522" w:rsidRDefault="00C80522" w:rsidP="00C80522">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Maximum summary length </w:t>
      </w:r>
    </w:p>
    <w:p w14:paraId="08701856" w14:textId="77777777" w:rsidR="00C80522" w:rsidRPr="00C80522" w:rsidRDefault="00C80522" w:rsidP="00C80522">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Confidence disclaimer threshold </w:t>
      </w:r>
    </w:p>
    <w:p w14:paraId="4F6253F6" w14:textId="77777777" w:rsidR="00C80522" w:rsidRPr="00C80522" w:rsidRDefault="00C80522" w:rsidP="00C80522">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Summary refresh behavior </w:t>
      </w:r>
    </w:p>
    <w:p w14:paraId="0A3BF177"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AI configuration must not affect engine calculations.</w:t>
      </w:r>
    </w:p>
    <w:p w14:paraId="38AB27B1"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605A26C4">
          <v:rect id="_x0000_i1548" style="width:0;height:1.5pt" o:hralign="center" o:hrstd="t" o:hr="t" fillcolor="#a0a0a0" stroked="f"/>
        </w:pict>
      </w:r>
    </w:p>
    <w:p w14:paraId="191E7364"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10. Storage Configuration</w:t>
      </w:r>
    </w:p>
    <w:p w14:paraId="403D7EBF"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Persist:</w:t>
      </w:r>
    </w:p>
    <w:p w14:paraId="123440CD" w14:textId="77777777" w:rsidR="00C80522" w:rsidRPr="00C80522" w:rsidRDefault="00C80522" w:rsidP="00C80522">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Category weights </w:t>
      </w:r>
    </w:p>
    <w:p w14:paraId="79A6C306" w14:textId="77777777" w:rsidR="00C80522" w:rsidRPr="00C80522" w:rsidRDefault="00C80522" w:rsidP="00C80522">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Indicator weights </w:t>
      </w:r>
    </w:p>
    <w:p w14:paraId="0D94B31F" w14:textId="77777777" w:rsidR="00C80522" w:rsidRPr="00C80522" w:rsidRDefault="00C80522" w:rsidP="00C80522">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Manual values </w:t>
      </w:r>
    </w:p>
    <w:p w14:paraId="1CA85C25" w14:textId="77777777" w:rsidR="00C80522" w:rsidRPr="00C80522" w:rsidRDefault="00C80522" w:rsidP="00C80522">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Configuration settings </w:t>
      </w:r>
    </w:p>
    <w:p w14:paraId="01E3AD8B" w14:textId="77777777" w:rsidR="00C80522" w:rsidRPr="00C80522" w:rsidRDefault="00C80522" w:rsidP="00C80522">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Historical scores </w:t>
      </w:r>
    </w:p>
    <w:p w14:paraId="16856685" w14:textId="77777777" w:rsidR="00C80522" w:rsidRPr="00C80522" w:rsidRDefault="00C80522" w:rsidP="00C80522">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Historical IV data </w:t>
      </w:r>
    </w:p>
    <w:p w14:paraId="16BAB890" w14:textId="77777777" w:rsidR="00C80522" w:rsidRPr="00C80522" w:rsidRDefault="00C80522" w:rsidP="00C80522">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Historical OI data </w:t>
      </w:r>
    </w:p>
    <w:p w14:paraId="1447384B" w14:textId="77777777" w:rsidR="00C80522" w:rsidRPr="00C80522" w:rsidRDefault="00C80522" w:rsidP="00C80522">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Last update timestamps </w:t>
      </w:r>
    </w:p>
    <w:p w14:paraId="0B474FC5"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Storage Location:</w:t>
      </w:r>
    </w:p>
    <w:p w14:paraId="49CBE6B9"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Local Electron Database</w:t>
      </w:r>
    </w:p>
    <w:p w14:paraId="2E5F1CDA"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7D8E241C">
          <v:rect id="_x0000_i1549" style="width:0;height:1.5pt" o:hralign="center" o:hrstd="t" o:hr="t" fillcolor="#a0a0a0" stroked="f"/>
        </w:pict>
      </w:r>
    </w:p>
    <w:p w14:paraId="11E2A247"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11. Validation Rules</w:t>
      </w:r>
    </w:p>
    <w:p w14:paraId="3E78316B" w14:textId="77777777" w:rsidR="00C80522" w:rsidRPr="00C80522" w:rsidRDefault="00C80522" w:rsidP="00C80522">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Total category weights must equal </w:t>
      </w:r>
      <w:r w:rsidRPr="00C80522">
        <w:rPr>
          <w:rFonts w:ascii="Times New Roman" w:eastAsia="Times New Roman" w:hAnsi="Times New Roman" w:cs="Times New Roman"/>
          <w:b/>
          <w:bCs/>
          <w:sz w:val="24"/>
          <w:szCs w:val="24"/>
        </w:rPr>
        <w:t>100%</w:t>
      </w:r>
      <w:r w:rsidRPr="00C80522">
        <w:rPr>
          <w:rFonts w:ascii="Times New Roman" w:eastAsia="Times New Roman" w:hAnsi="Times New Roman" w:cs="Times New Roman"/>
          <w:sz w:val="24"/>
          <w:szCs w:val="24"/>
        </w:rPr>
        <w:t xml:space="preserve">. </w:t>
      </w:r>
    </w:p>
    <w:p w14:paraId="240CB57B" w14:textId="77777777" w:rsidR="00C80522" w:rsidRPr="00C80522" w:rsidRDefault="00C80522" w:rsidP="00C80522">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Indicator weights must equal their category weight. </w:t>
      </w:r>
    </w:p>
    <w:p w14:paraId="169B00D5" w14:textId="77777777" w:rsidR="00C80522" w:rsidRPr="00C80522" w:rsidRDefault="00C80522" w:rsidP="00C80522">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Score thresholds must not overlap. </w:t>
      </w:r>
    </w:p>
    <w:p w14:paraId="537BBA5A" w14:textId="77777777" w:rsidR="00C80522" w:rsidRPr="00C80522" w:rsidRDefault="00C80522" w:rsidP="00C80522">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Confidence values must remain between </w:t>
      </w:r>
      <w:r w:rsidRPr="00C80522">
        <w:rPr>
          <w:rFonts w:ascii="Times New Roman" w:eastAsia="Times New Roman" w:hAnsi="Times New Roman" w:cs="Times New Roman"/>
          <w:b/>
          <w:bCs/>
          <w:sz w:val="24"/>
          <w:szCs w:val="24"/>
        </w:rPr>
        <w:t>0% and 100%</w:t>
      </w:r>
      <w:r w:rsidRPr="00C80522">
        <w:rPr>
          <w:rFonts w:ascii="Times New Roman" w:eastAsia="Times New Roman" w:hAnsi="Times New Roman" w:cs="Times New Roman"/>
          <w:sz w:val="24"/>
          <w:szCs w:val="24"/>
        </w:rPr>
        <w:t xml:space="preserve">. </w:t>
      </w:r>
    </w:p>
    <w:p w14:paraId="4CA8F9C4" w14:textId="77777777" w:rsidR="00C80522" w:rsidRPr="00C80522" w:rsidRDefault="00C80522" w:rsidP="00C80522">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Reject invalid configurations before applying. </w:t>
      </w:r>
    </w:p>
    <w:p w14:paraId="0982C3B3"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510C507D">
          <v:rect id="_x0000_i1550" style="width:0;height:1.5pt" o:hralign="center" o:hrstd="t" o:hr="t" fillcolor="#a0a0a0" stroked="f"/>
        </w:pict>
      </w:r>
    </w:p>
    <w:p w14:paraId="789A684A"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lastRenderedPageBreak/>
        <w:t>12. Developer Notes</w:t>
      </w:r>
    </w:p>
    <w:p w14:paraId="569FDCE9"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Store:</w:t>
      </w:r>
    </w:p>
    <w:p w14:paraId="4DEAC490" w14:textId="77777777" w:rsidR="00C80522" w:rsidRPr="00C80522" w:rsidRDefault="00C80522" w:rsidP="00C80522">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Current configuration </w:t>
      </w:r>
    </w:p>
    <w:p w14:paraId="4283B40F" w14:textId="77777777" w:rsidR="00C80522" w:rsidRPr="00C80522" w:rsidRDefault="00C80522" w:rsidP="00C80522">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Previous configuration </w:t>
      </w:r>
    </w:p>
    <w:p w14:paraId="519F84EE" w14:textId="77777777" w:rsidR="00C80522" w:rsidRPr="00C80522" w:rsidRDefault="00C80522" w:rsidP="00C80522">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Configuration version </w:t>
      </w:r>
    </w:p>
    <w:p w14:paraId="6FBB845C" w14:textId="77777777" w:rsidR="00C80522" w:rsidRPr="00C80522" w:rsidRDefault="00C80522" w:rsidP="00C80522">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Last modified timestamp </w:t>
      </w:r>
    </w:p>
    <w:p w14:paraId="07D1BED4"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Support rollback for invalid configurations.</w:t>
      </w:r>
    </w:p>
    <w:p w14:paraId="149272C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Configuration changes should not modify historical Options data or previously calculated indicator values.</w:t>
      </w:r>
    </w:p>
    <w:p w14:paraId="514B0D9F"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6078B13C">
          <v:rect id="_x0000_i1551" style="width:0;height:1.5pt" o:hralign="center" o:hrstd="t" o:hr="t" fillcolor="#a0a0a0" stroked="f"/>
        </w:pict>
      </w:r>
    </w:p>
    <w:p w14:paraId="47565CDC"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 xml:space="preserve">13. Praxis Engine Integration </w:t>
      </w:r>
      <w:r w:rsidRPr="00C80522">
        <w:rPr>
          <w:rFonts w:ascii="Segoe UI Emoji" w:eastAsia="Times New Roman" w:hAnsi="Segoe UI Emoji" w:cs="Segoe UI Emoji"/>
          <w:b/>
          <w:bCs/>
          <w:kern w:val="36"/>
          <w:sz w:val="48"/>
          <w:szCs w:val="48"/>
        </w:rPr>
        <w:t>⭐</w:t>
      </w:r>
    </w:p>
    <w:p w14:paraId="5735446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Consumes</w:t>
      </w:r>
    </w:p>
    <w:p w14:paraId="318F0801" w14:textId="77777777" w:rsidR="00C80522" w:rsidRPr="00C80522" w:rsidRDefault="00C80522" w:rsidP="00C80522">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User Configuration </w:t>
      </w:r>
    </w:p>
    <w:p w14:paraId="5732D23F" w14:textId="77777777" w:rsidR="00C80522" w:rsidRPr="00C80522" w:rsidRDefault="00C80522" w:rsidP="00C80522">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Default Configuration </w:t>
      </w:r>
    </w:p>
    <w:p w14:paraId="53B8AA74"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Controls</w:t>
      </w:r>
    </w:p>
    <w:p w14:paraId="6E700FBC" w14:textId="77777777" w:rsidR="00C80522" w:rsidRPr="00C80522" w:rsidRDefault="00C80522" w:rsidP="00C80522">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Options Score Engine </w:t>
      </w:r>
    </w:p>
    <w:p w14:paraId="5C189934" w14:textId="77777777" w:rsidR="00C80522" w:rsidRPr="00C80522" w:rsidRDefault="00C80522" w:rsidP="00C80522">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Dashboard Card </w:t>
      </w:r>
    </w:p>
    <w:p w14:paraId="36BA4E1C" w14:textId="77777777" w:rsidR="00C80522" w:rsidRPr="00C80522" w:rsidRDefault="00C80522" w:rsidP="00C80522">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AI Engine </w:t>
      </w:r>
    </w:p>
    <w:p w14:paraId="2453696E"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b/>
          <w:bCs/>
          <w:sz w:val="24"/>
          <w:szCs w:val="24"/>
        </w:rPr>
        <w:t>Outputs</w:t>
      </w:r>
    </w:p>
    <w:p w14:paraId="2F0071F6" w14:textId="77777777" w:rsidR="00C80522" w:rsidRPr="00C80522" w:rsidRDefault="00C80522" w:rsidP="00C80522">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Updated Engine Configuration </w:t>
      </w:r>
    </w:p>
    <w:p w14:paraId="3F20AB68" w14:textId="77777777" w:rsidR="00C80522" w:rsidRPr="00C80522" w:rsidRDefault="00C80522" w:rsidP="00C80522">
      <w:pPr>
        <w:spacing w:after="0"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pict w14:anchorId="1134453C">
          <v:rect id="_x0000_i1552" style="width:0;height:1.5pt" o:hralign="center" o:hrstd="t" o:hr="t" fillcolor="#a0a0a0" stroked="f"/>
        </w:pict>
      </w:r>
    </w:p>
    <w:p w14:paraId="635C81BB" w14:textId="77777777" w:rsidR="00C80522" w:rsidRPr="00C80522" w:rsidRDefault="00C80522" w:rsidP="00C80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0522">
        <w:rPr>
          <w:rFonts w:ascii="Times New Roman" w:eastAsia="Times New Roman" w:hAnsi="Times New Roman" w:cs="Times New Roman"/>
          <w:b/>
          <w:bCs/>
          <w:kern w:val="36"/>
          <w:sz w:val="48"/>
          <w:szCs w:val="48"/>
        </w:rPr>
        <w:t>14. Praxis Recommendation</w:t>
      </w:r>
    </w:p>
    <w:p w14:paraId="6EE9D1AD"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The Options Configuration module should act as the </w:t>
      </w:r>
      <w:r w:rsidRPr="00C80522">
        <w:rPr>
          <w:rFonts w:ascii="Times New Roman" w:eastAsia="Times New Roman" w:hAnsi="Times New Roman" w:cs="Times New Roman"/>
          <w:b/>
          <w:bCs/>
          <w:sz w:val="24"/>
          <w:szCs w:val="24"/>
        </w:rPr>
        <w:t>central configuration layer</w:t>
      </w:r>
      <w:r w:rsidRPr="00C80522">
        <w:rPr>
          <w:rFonts w:ascii="Times New Roman" w:eastAsia="Times New Roman" w:hAnsi="Times New Roman" w:cs="Times New Roman"/>
          <w:sz w:val="24"/>
          <w:szCs w:val="24"/>
        </w:rPr>
        <w:t xml:space="preserve"> for the Options system.</w:t>
      </w:r>
    </w:p>
    <w:p w14:paraId="1B1DC586"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Configuration Flow</w:t>
      </w:r>
    </w:p>
    <w:p w14:paraId="602F59E7"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Segoe UI Emoji" w:eastAsia="Times New Roman" w:hAnsi="Segoe UI Emoji" w:cs="Segoe UI Emoji"/>
          <w:sz w:val="24"/>
          <w:szCs w:val="24"/>
        </w:rPr>
        <w:t>⭐⭐⭐⭐⭐</w:t>
      </w:r>
      <w:r w:rsidRPr="00C80522">
        <w:rPr>
          <w:rFonts w:ascii="Times New Roman" w:eastAsia="Times New Roman" w:hAnsi="Times New Roman" w:cs="Times New Roman"/>
          <w:sz w:val="24"/>
          <w:szCs w:val="24"/>
        </w:rPr>
        <w:t xml:space="preserve"> Configuration</w:t>
      </w:r>
    </w:p>
    <w:p w14:paraId="1398E3EA"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Cambria Math" w:eastAsia="Times New Roman" w:hAnsi="Cambria Math" w:cs="Cambria Math"/>
          <w:sz w:val="24"/>
          <w:szCs w:val="24"/>
        </w:rPr>
        <w:lastRenderedPageBreak/>
        <w:t>⬇</w:t>
      </w:r>
    </w:p>
    <w:p w14:paraId="6B6C382F"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Options Score Engine</w:t>
      </w:r>
    </w:p>
    <w:p w14:paraId="31B45B69"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Cambria Math" w:eastAsia="Times New Roman" w:hAnsi="Cambria Math" w:cs="Cambria Math"/>
          <w:sz w:val="24"/>
          <w:szCs w:val="24"/>
        </w:rPr>
        <w:t>⬇</w:t>
      </w:r>
    </w:p>
    <w:p w14:paraId="6F239A31"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Dashboard</w:t>
      </w:r>
    </w:p>
    <w:p w14:paraId="43DF3BD7"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Cambria Math" w:eastAsia="Times New Roman" w:hAnsi="Cambria Math" w:cs="Cambria Math"/>
          <w:sz w:val="24"/>
          <w:szCs w:val="24"/>
        </w:rPr>
        <w:t>⬇</w:t>
      </w:r>
    </w:p>
    <w:p w14:paraId="660792A0" w14:textId="77777777" w:rsidR="00C80522" w:rsidRPr="00C80522" w:rsidRDefault="00C80522" w:rsidP="00C80522">
      <w:p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AI Engine</w:t>
      </w:r>
    </w:p>
    <w:p w14:paraId="4B90F711" w14:textId="77777777" w:rsidR="00C80522" w:rsidRPr="00C80522" w:rsidRDefault="00C80522" w:rsidP="00C80522">
      <w:pPr>
        <w:spacing w:before="100" w:beforeAutospacing="1" w:after="100" w:afterAutospacing="1" w:line="240" w:lineRule="auto"/>
        <w:outlineLvl w:val="2"/>
        <w:rPr>
          <w:rFonts w:ascii="Times New Roman" w:eastAsia="Times New Roman" w:hAnsi="Times New Roman" w:cs="Times New Roman"/>
          <w:b/>
          <w:bCs/>
          <w:sz w:val="27"/>
          <w:szCs w:val="27"/>
        </w:rPr>
      </w:pPr>
      <w:r w:rsidRPr="00C80522">
        <w:rPr>
          <w:rFonts w:ascii="Times New Roman" w:eastAsia="Times New Roman" w:hAnsi="Times New Roman" w:cs="Times New Roman"/>
          <w:b/>
          <w:bCs/>
          <w:sz w:val="27"/>
          <w:szCs w:val="27"/>
        </w:rPr>
        <w:t>Configuration Rules</w:t>
      </w:r>
    </w:p>
    <w:p w14:paraId="13631315" w14:textId="77777777" w:rsidR="00C80522" w:rsidRPr="00C80522" w:rsidRDefault="00C80522" w:rsidP="00C80522">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Keep default settings aligned with industry-standard options analytics. </w:t>
      </w:r>
    </w:p>
    <w:p w14:paraId="5ADFC02E" w14:textId="77777777" w:rsidR="00C80522" w:rsidRPr="00C80522" w:rsidRDefault="00C80522" w:rsidP="00C80522">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Allow customization without modifying calculation formulas. </w:t>
      </w:r>
    </w:p>
    <w:p w14:paraId="54DC7D5A" w14:textId="77777777" w:rsidR="00C80522" w:rsidRPr="00C80522" w:rsidRDefault="00C80522" w:rsidP="00C80522">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Validate every configuration before applying. </w:t>
      </w:r>
    </w:p>
    <w:p w14:paraId="29C1BAF7" w14:textId="77777777" w:rsidR="00C80522" w:rsidRPr="00C80522" w:rsidRDefault="00C80522" w:rsidP="00C80522">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 xml:space="preserve">Preserve previous settings to support rollback. </w:t>
      </w:r>
    </w:p>
    <w:p w14:paraId="082E6455" w14:textId="77777777" w:rsidR="00C80522" w:rsidRPr="00C80522" w:rsidRDefault="00C80522" w:rsidP="00C80522">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C80522">
        <w:rPr>
          <w:rFonts w:ascii="Times New Roman" w:eastAsia="Times New Roman" w:hAnsi="Times New Roman" w:cs="Times New Roman"/>
          <w:sz w:val="24"/>
          <w:szCs w:val="24"/>
        </w:rPr>
        <w:t>Automatically normalize weights if optional indicators are disabled.</w:t>
      </w:r>
    </w:p>
    <w:p w14:paraId="17EC86A3" w14:textId="174AA467" w:rsidR="00DB767F" w:rsidRDefault="00DB767F"/>
    <w:p w14:paraId="2591BFBD" w14:textId="6375719A" w:rsidR="00A5115D" w:rsidRDefault="00A5115D"/>
    <w:p w14:paraId="2B9406C6" w14:textId="68D4ADFF" w:rsidR="00A5115D" w:rsidRDefault="00A5115D"/>
    <w:p w14:paraId="42240832" w14:textId="7B5B49F7" w:rsidR="00A5115D" w:rsidRDefault="00A5115D"/>
    <w:p w14:paraId="783186D5" w14:textId="1F0E8E32" w:rsidR="00A5115D" w:rsidRDefault="00A5115D"/>
    <w:p w14:paraId="0C71CE89" w14:textId="050D245B" w:rsidR="00A5115D" w:rsidRDefault="00A5115D"/>
    <w:p w14:paraId="64386E94" w14:textId="63F71475" w:rsidR="00A5115D" w:rsidRDefault="00A5115D"/>
    <w:p w14:paraId="18D8AD8A" w14:textId="4B86433A" w:rsidR="00A5115D" w:rsidRDefault="00A5115D"/>
    <w:p w14:paraId="78CDD578" w14:textId="0B834ECA" w:rsidR="00A5115D" w:rsidRDefault="00A5115D"/>
    <w:p w14:paraId="477247F7" w14:textId="063FAB7F" w:rsidR="00A5115D" w:rsidRDefault="00A5115D"/>
    <w:p w14:paraId="53A2D5AB" w14:textId="28EBD33F" w:rsidR="00A5115D" w:rsidRDefault="00A5115D"/>
    <w:p w14:paraId="7A13CE5B" w14:textId="64E07B48" w:rsidR="00A5115D" w:rsidRDefault="00A5115D"/>
    <w:p w14:paraId="12E66DAC" w14:textId="2D0A2445" w:rsidR="00A5115D" w:rsidRDefault="00A5115D"/>
    <w:p w14:paraId="791E3B29" w14:textId="17D09AC5" w:rsidR="00A5115D" w:rsidRDefault="00A5115D"/>
    <w:p w14:paraId="38CE293F" w14:textId="581119C5" w:rsidR="00A5115D" w:rsidRDefault="00A5115D"/>
    <w:p w14:paraId="23168A23" w14:textId="32BE25F3" w:rsidR="00A5115D" w:rsidRDefault="00A5115D"/>
    <w:p w14:paraId="376DA2D2" w14:textId="6D4E981F" w:rsidR="00A5115D" w:rsidRPr="00A5115D" w:rsidRDefault="00A5115D" w:rsidP="00A511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115D">
        <w:rPr>
          <w:rFonts w:ascii="Times New Roman" w:eastAsia="Times New Roman" w:hAnsi="Times New Roman" w:cs="Times New Roman"/>
          <w:b/>
          <w:bCs/>
          <w:kern w:val="36"/>
          <w:sz w:val="48"/>
          <w:szCs w:val="48"/>
        </w:rPr>
        <w:lastRenderedPageBreak/>
        <w:t xml:space="preserve">Options Engine Weight Configuration </w:t>
      </w:r>
    </w:p>
    <w:p w14:paraId="040C1D39" w14:textId="77777777" w:rsidR="00A5115D" w:rsidRP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This document defines the contribution of each Options indicator to the overall Options Score and how much each indicator can influence the Decision Engine's confidence.</w:t>
      </w:r>
    </w:p>
    <w:p w14:paraId="5FC9B965"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pict w14:anchorId="25FB2560">
          <v:rect id="_x0000_i1569" style="width:0;height:1.5pt" o:hralign="center" o:hrstd="t" o:hr="t" fillcolor="#a0a0a0" stroked="f"/>
        </w:pict>
      </w:r>
    </w:p>
    <w:p w14:paraId="58DA3F8A" w14:textId="77777777" w:rsidR="00A5115D" w:rsidRPr="00A5115D" w:rsidRDefault="00A5115D" w:rsidP="00A5115D">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A5115D">
        <w:rPr>
          <w:rFonts w:ascii="Times New Roman" w:eastAsia="Times New Roman" w:hAnsi="Times New Roman" w:cs="Times New Roman"/>
          <w:b/>
          <w:bCs/>
          <w:color w:val="FF0000"/>
          <w:sz w:val="36"/>
          <w:szCs w:val="36"/>
        </w:rPr>
        <w:t>Open Interest Indicators (Module Weight: 30%)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1"/>
        <w:gridCol w:w="1587"/>
        <w:gridCol w:w="2202"/>
      </w:tblGrid>
      <w:tr w:rsidR="00A5115D" w:rsidRPr="00A5115D" w14:paraId="00E1C8BC" w14:textId="77777777" w:rsidTr="00A5115D">
        <w:trPr>
          <w:tblHeader/>
          <w:tblCellSpacing w:w="15" w:type="dxa"/>
        </w:trPr>
        <w:tc>
          <w:tcPr>
            <w:tcW w:w="0" w:type="auto"/>
            <w:vAlign w:val="center"/>
            <w:hideMark/>
          </w:tcPr>
          <w:p w14:paraId="47C487E5" w14:textId="77777777" w:rsidR="00A5115D" w:rsidRPr="00A5115D" w:rsidRDefault="00A5115D" w:rsidP="00A5115D">
            <w:pPr>
              <w:spacing w:after="0" w:line="240" w:lineRule="auto"/>
              <w:jc w:val="center"/>
              <w:rPr>
                <w:rFonts w:ascii="Times New Roman" w:eastAsia="Times New Roman" w:hAnsi="Times New Roman" w:cs="Times New Roman"/>
                <w:b/>
                <w:bCs/>
                <w:sz w:val="24"/>
                <w:szCs w:val="24"/>
              </w:rPr>
            </w:pPr>
            <w:r w:rsidRPr="00A5115D">
              <w:rPr>
                <w:rFonts w:ascii="Times New Roman" w:eastAsia="Times New Roman" w:hAnsi="Times New Roman" w:cs="Times New Roman"/>
                <w:b/>
                <w:bCs/>
                <w:sz w:val="24"/>
                <w:szCs w:val="24"/>
              </w:rPr>
              <w:t>Indicator</w:t>
            </w:r>
          </w:p>
        </w:tc>
        <w:tc>
          <w:tcPr>
            <w:tcW w:w="0" w:type="auto"/>
            <w:vAlign w:val="center"/>
            <w:hideMark/>
          </w:tcPr>
          <w:p w14:paraId="599E3235" w14:textId="77777777" w:rsidR="00A5115D" w:rsidRPr="00A5115D" w:rsidRDefault="00A5115D" w:rsidP="00A5115D">
            <w:pPr>
              <w:spacing w:after="0" w:line="240" w:lineRule="auto"/>
              <w:jc w:val="center"/>
              <w:rPr>
                <w:rFonts w:ascii="Times New Roman" w:eastAsia="Times New Roman" w:hAnsi="Times New Roman" w:cs="Times New Roman"/>
                <w:b/>
                <w:bCs/>
                <w:sz w:val="24"/>
                <w:szCs w:val="24"/>
              </w:rPr>
            </w:pPr>
            <w:r w:rsidRPr="00A5115D">
              <w:rPr>
                <w:rFonts w:ascii="Times New Roman" w:eastAsia="Times New Roman" w:hAnsi="Times New Roman" w:cs="Times New Roman"/>
                <w:b/>
                <w:bCs/>
                <w:sz w:val="24"/>
                <w:szCs w:val="24"/>
              </w:rPr>
              <w:t>Engine Weight</w:t>
            </w:r>
          </w:p>
        </w:tc>
        <w:tc>
          <w:tcPr>
            <w:tcW w:w="0" w:type="auto"/>
            <w:vAlign w:val="center"/>
            <w:hideMark/>
          </w:tcPr>
          <w:p w14:paraId="24F9092D" w14:textId="77777777" w:rsidR="00A5115D" w:rsidRPr="00A5115D" w:rsidRDefault="00A5115D" w:rsidP="00A5115D">
            <w:pPr>
              <w:spacing w:after="0" w:line="240" w:lineRule="auto"/>
              <w:jc w:val="center"/>
              <w:rPr>
                <w:rFonts w:ascii="Times New Roman" w:eastAsia="Times New Roman" w:hAnsi="Times New Roman" w:cs="Times New Roman"/>
                <w:b/>
                <w:bCs/>
                <w:sz w:val="24"/>
                <w:szCs w:val="24"/>
              </w:rPr>
            </w:pPr>
            <w:r w:rsidRPr="00A5115D">
              <w:rPr>
                <w:rFonts w:ascii="Times New Roman" w:eastAsia="Times New Roman" w:hAnsi="Times New Roman" w:cs="Times New Roman"/>
                <w:b/>
                <w:bCs/>
                <w:sz w:val="24"/>
                <w:szCs w:val="24"/>
              </w:rPr>
              <w:t>Confidence Modifier</w:t>
            </w:r>
          </w:p>
        </w:tc>
      </w:tr>
      <w:tr w:rsidR="00A5115D" w:rsidRPr="00A5115D" w14:paraId="66ED333B" w14:textId="77777777" w:rsidTr="00A5115D">
        <w:trPr>
          <w:tblCellSpacing w:w="15" w:type="dxa"/>
        </w:trPr>
        <w:tc>
          <w:tcPr>
            <w:tcW w:w="0" w:type="auto"/>
            <w:vAlign w:val="center"/>
            <w:hideMark/>
          </w:tcPr>
          <w:p w14:paraId="70DE8F6A"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Total Call Open Interest</w:t>
            </w:r>
          </w:p>
        </w:tc>
        <w:tc>
          <w:tcPr>
            <w:tcW w:w="0" w:type="auto"/>
            <w:vAlign w:val="center"/>
            <w:hideMark/>
          </w:tcPr>
          <w:p w14:paraId="2530BB6A"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8.0%</w:t>
            </w:r>
          </w:p>
        </w:tc>
        <w:tc>
          <w:tcPr>
            <w:tcW w:w="0" w:type="auto"/>
            <w:vAlign w:val="center"/>
            <w:hideMark/>
          </w:tcPr>
          <w:p w14:paraId="599291B8"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±7%</w:t>
            </w:r>
          </w:p>
        </w:tc>
      </w:tr>
      <w:tr w:rsidR="00A5115D" w:rsidRPr="00A5115D" w14:paraId="56DA9065" w14:textId="77777777" w:rsidTr="00A5115D">
        <w:trPr>
          <w:tblCellSpacing w:w="15" w:type="dxa"/>
        </w:trPr>
        <w:tc>
          <w:tcPr>
            <w:tcW w:w="0" w:type="auto"/>
            <w:vAlign w:val="center"/>
            <w:hideMark/>
          </w:tcPr>
          <w:p w14:paraId="34D35426"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Total Put Open Interest</w:t>
            </w:r>
          </w:p>
        </w:tc>
        <w:tc>
          <w:tcPr>
            <w:tcW w:w="0" w:type="auto"/>
            <w:vAlign w:val="center"/>
            <w:hideMark/>
          </w:tcPr>
          <w:p w14:paraId="2A4FF6FE"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8.0%</w:t>
            </w:r>
          </w:p>
        </w:tc>
        <w:tc>
          <w:tcPr>
            <w:tcW w:w="0" w:type="auto"/>
            <w:vAlign w:val="center"/>
            <w:hideMark/>
          </w:tcPr>
          <w:p w14:paraId="58C34929"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±7%</w:t>
            </w:r>
          </w:p>
        </w:tc>
      </w:tr>
      <w:tr w:rsidR="00A5115D" w:rsidRPr="00A5115D" w14:paraId="4968AC8B" w14:textId="77777777" w:rsidTr="00A5115D">
        <w:trPr>
          <w:tblCellSpacing w:w="15" w:type="dxa"/>
        </w:trPr>
        <w:tc>
          <w:tcPr>
            <w:tcW w:w="0" w:type="auto"/>
            <w:vAlign w:val="center"/>
            <w:hideMark/>
          </w:tcPr>
          <w:p w14:paraId="19E25F1E"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Open Interest Change</w:t>
            </w:r>
          </w:p>
        </w:tc>
        <w:tc>
          <w:tcPr>
            <w:tcW w:w="0" w:type="auto"/>
            <w:vAlign w:val="center"/>
            <w:hideMark/>
          </w:tcPr>
          <w:p w14:paraId="1C67AF02"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14.0%</w:t>
            </w:r>
          </w:p>
        </w:tc>
        <w:tc>
          <w:tcPr>
            <w:tcW w:w="0" w:type="auto"/>
            <w:vAlign w:val="center"/>
            <w:hideMark/>
          </w:tcPr>
          <w:p w14:paraId="50B1A08A"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±10%</w:t>
            </w:r>
          </w:p>
        </w:tc>
      </w:tr>
    </w:tbl>
    <w:p w14:paraId="4FB0253D" w14:textId="77777777" w:rsidR="00A5115D" w:rsidRP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b/>
          <w:bCs/>
          <w:sz w:val="24"/>
          <w:szCs w:val="24"/>
        </w:rPr>
        <w:t>Module Total: 30%</w:t>
      </w:r>
    </w:p>
    <w:p w14:paraId="33917FB6"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pict w14:anchorId="2ED58AB9">
          <v:rect id="_x0000_i1570" style="width:0;height:1.5pt" o:hralign="center" o:hrstd="t" o:hr="t" fillcolor="#a0a0a0" stroked="f"/>
        </w:pict>
      </w:r>
    </w:p>
    <w:p w14:paraId="6FDD27D4" w14:textId="77777777" w:rsidR="00A5115D" w:rsidRPr="00A5115D" w:rsidRDefault="00A5115D" w:rsidP="00A5115D">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A5115D">
        <w:rPr>
          <w:rFonts w:ascii="Times New Roman" w:eastAsia="Times New Roman" w:hAnsi="Times New Roman" w:cs="Times New Roman"/>
          <w:b/>
          <w:bCs/>
          <w:color w:val="FF0000"/>
          <w:sz w:val="36"/>
          <w:szCs w:val="36"/>
        </w:rPr>
        <w:t>Put-Call Ratio Indicators (Module Weight: 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1587"/>
        <w:gridCol w:w="2202"/>
      </w:tblGrid>
      <w:tr w:rsidR="00A5115D" w:rsidRPr="00A5115D" w14:paraId="6B980023" w14:textId="77777777" w:rsidTr="00A5115D">
        <w:trPr>
          <w:tblHeader/>
          <w:tblCellSpacing w:w="15" w:type="dxa"/>
        </w:trPr>
        <w:tc>
          <w:tcPr>
            <w:tcW w:w="0" w:type="auto"/>
            <w:vAlign w:val="center"/>
            <w:hideMark/>
          </w:tcPr>
          <w:p w14:paraId="124DF17F" w14:textId="77777777" w:rsidR="00A5115D" w:rsidRPr="00A5115D" w:rsidRDefault="00A5115D" w:rsidP="00A5115D">
            <w:pPr>
              <w:spacing w:after="0" w:line="240" w:lineRule="auto"/>
              <w:jc w:val="center"/>
              <w:rPr>
                <w:rFonts w:ascii="Times New Roman" w:eastAsia="Times New Roman" w:hAnsi="Times New Roman" w:cs="Times New Roman"/>
                <w:b/>
                <w:bCs/>
                <w:sz w:val="24"/>
                <w:szCs w:val="24"/>
              </w:rPr>
            </w:pPr>
            <w:r w:rsidRPr="00A5115D">
              <w:rPr>
                <w:rFonts w:ascii="Times New Roman" w:eastAsia="Times New Roman" w:hAnsi="Times New Roman" w:cs="Times New Roman"/>
                <w:b/>
                <w:bCs/>
                <w:sz w:val="24"/>
                <w:szCs w:val="24"/>
              </w:rPr>
              <w:t>Indicator</w:t>
            </w:r>
          </w:p>
        </w:tc>
        <w:tc>
          <w:tcPr>
            <w:tcW w:w="0" w:type="auto"/>
            <w:vAlign w:val="center"/>
            <w:hideMark/>
          </w:tcPr>
          <w:p w14:paraId="533643D1" w14:textId="77777777" w:rsidR="00A5115D" w:rsidRPr="00A5115D" w:rsidRDefault="00A5115D" w:rsidP="00A5115D">
            <w:pPr>
              <w:spacing w:after="0" w:line="240" w:lineRule="auto"/>
              <w:jc w:val="center"/>
              <w:rPr>
                <w:rFonts w:ascii="Times New Roman" w:eastAsia="Times New Roman" w:hAnsi="Times New Roman" w:cs="Times New Roman"/>
                <w:b/>
                <w:bCs/>
                <w:sz w:val="24"/>
                <w:szCs w:val="24"/>
              </w:rPr>
            </w:pPr>
            <w:r w:rsidRPr="00A5115D">
              <w:rPr>
                <w:rFonts w:ascii="Times New Roman" w:eastAsia="Times New Roman" w:hAnsi="Times New Roman" w:cs="Times New Roman"/>
                <w:b/>
                <w:bCs/>
                <w:sz w:val="24"/>
                <w:szCs w:val="24"/>
              </w:rPr>
              <w:t>Engine Weight</w:t>
            </w:r>
          </w:p>
        </w:tc>
        <w:tc>
          <w:tcPr>
            <w:tcW w:w="0" w:type="auto"/>
            <w:vAlign w:val="center"/>
            <w:hideMark/>
          </w:tcPr>
          <w:p w14:paraId="63D488FB" w14:textId="77777777" w:rsidR="00A5115D" w:rsidRPr="00A5115D" w:rsidRDefault="00A5115D" w:rsidP="00A5115D">
            <w:pPr>
              <w:spacing w:after="0" w:line="240" w:lineRule="auto"/>
              <w:jc w:val="center"/>
              <w:rPr>
                <w:rFonts w:ascii="Times New Roman" w:eastAsia="Times New Roman" w:hAnsi="Times New Roman" w:cs="Times New Roman"/>
                <w:b/>
                <w:bCs/>
                <w:sz w:val="24"/>
                <w:szCs w:val="24"/>
              </w:rPr>
            </w:pPr>
            <w:r w:rsidRPr="00A5115D">
              <w:rPr>
                <w:rFonts w:ascii="Times New Roman" w:eastAsia="Times New Roman" w:hAnsi="Times New Roman" w:cs="Times New Roman"/>
                <w:b/>
                <w:bCs/>
                <w:sz w:val="24"/>
                <w:szCs w:val="24"/>
              </w:rPr>
              <w:t>Confidence Modifier</w:t>
            </w:r>
          </w:p>
        </w:tc>
      </w:tr>
      <w:tr w:rsidR="00A5115D" w:rsidRPr="00A5115D" w14:paraId="7780A5B0" w14:textId="77777777" w:rsidTr="00A5115D">
        <w:trPr>
          <w:tblCellSpacing w:w="15" w:type="dxa"/>
        </w:trPr>
        <w:tc>
          <w:tcPr>
            <w:tcW w:w="0" w:type="auto"/>
            <w:vAlign w:val="center"/>
            <w:hideMark/>
          </w:tcPr>
          <w:p w14:paraId="414A41B1"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PCR (Open Interest)</w:t>
            </w:r>
          </w:p>
        </w:tc>
        <w:tc>
          <w:tcPr>
            <w:tcW w:w="0" w:type="auto"/>
            <w:vAlign w:val="center"/>
            <w:hideMark/>
          </w:tcPr>
          <w:p w14:paraId="58C6EA42"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13.0%</w:t>
            </w:r>
          </w:p>
        </w:tc>
        <w:tc>
          <w:tcPr>
            <w:tcW w:w="0" w:type="auto"/>
            <w:vAlign w:val="center"/>
            <w:hideMark/>
          </w:tcPr>
          <w:p w14:paraId="6215C057"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±10%</w:t>
            </w:r>
          </w:p>
        </w:tc>
      </w:tr>
      <w:tr w:rsidR="00A5115D" w:rsidRPr="00A5115D" w14:paraId="1035D9D7" w14:textId="77777777" w:rsidTr="00A5115D">
        <w:trPr>
          <w:tblCellSpacing w:w="15" w:type="dxa"/>
        </w:trPr>
        <w:tc>
          <w:tcPr>
            <w:tcW w:w="0" w:type="auto"/>
            <w:vAlign w:val="center"/>
            <w:hideMark/>
          </w:tcPr>
          <w:p w14:paraId="1D615A35"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PCR (Volume)</w:t>
            </w:r>
          </w:p>
        </w:tc>
        <w:tc>
          <w:tcPr>
            <w:tcW w:w="0" w:type="auto"/>
            <w:vAlign w:val="center"/>
            <w:hideMark/>
          </w:tcPr>
          <w:p w14:paraId="3ACE741A"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7.0%</w:t>
            </w:r>
          </w:p>
        </w:tc>
        <w:tc>
          <w:tcPr>
            <w:tcW w:w="0" w:type="auto"/>
            <w:vAlign w:val="center"/>
            <w:hideMark/>
          </w:tcPr>
          <w:p w14:paraId="1D48E2EA"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±5%</w:t>
            </w:r>
          </w:p>
        </w:tc>
      </w:tr>
    </w:tbl>
    <w:p w14:paraId="7CF2D4BC" w14:textId="77777777" w:rsidR="00A5115D" w:rsidRP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b/>
          <w:bCs/>
          <w:sz w:val="24"/>
          <w:szCs w:val="24"/>
        </w:rPr>
        <w:t>Module Total: 20%</w:t>
      </w:r>
    </w:p>
    <w:p w14:paraId="0AD82304"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pict w14:anchorId="5137B38C">
          <v:rect id="_x0000_i1571" style="width:0;height:1.5pt" o:hralign="center" o:hrstd="t" o:hr="t" fillcolor="#a0a0a0" stroked="f"/>
        </w:pict>
      </w:r>
    </w:p>
    <w:p w14:paraId="20C40787" w14:textId="77777777" w:rsidR="00A5115D" w:rsidRPr="00A5115D" w:rsidRDefault="00A5115D" w:rsidP="00A5115D">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A5115D">
        <w:rPr>
          <w:rFonts w:ascii="Times New Roman" w:eastAsia="Times New Roman" w:hAnsi="Times New Roman" w:cs="Times New Roman"/>
          <w:b/>
          <w:bCs/>
          <w:color w:val="FF0000"/>
          <w:sz w:val="36"/>
          <w:szCs w:val="36"/>
        </w:rPr>
        <w:t>Implied Volatility Indicators (Module Weight: 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5"/>
        <w:gridCol w:w="1587"/>
        <w:gridCol w:w="2202"/>
      </w:tblGrid>
      <w:tr w:rsidR="00A5115D" w:rsidRPr="00A5115D" w14:paraId="40D8A7B7" w14:textId="77777777" w:rsidTr="00A5115D">
        <w:trPr>
          <w:tblHeader/>
          <w:tblCellSpacing w:w="15" w:type="dxa"/>
        </w:trPr>
        <w:tc>
          <w:tcPr>
            <w:tcW w:w="0" w:type="auto"/>
            <w:vAlign w:val="center"/>
            <w:hideMark/>
          </w:tcPr>
          <w:p w14:paraId="1B618CED" w14:textId="77777777" w:rsidR="00A5115D" w:rsidRPr="00A5115D" w:rsidRDefault="00A5115D" w:rsidP="00A5115D">
            <w:pPr>
              <w:spacing w:after="0" w:line="240" w:lineRule="auto"/>
              <w:jc w:val="center"/>
              <w:rPr>
                <w:rFonts w:ascii="Times New Roman" w:eastAsia="Times New Roman" w:hAnsi="Times New Roman" w:cs="Times New Roman"/>
                <w:b/>
                <w:bCs/>
                <w:sz w:val="24"/>
                <w:szCs w:val="24"/>
              </w:rPr>
            </w:pPr>
            <w:r w:rsidRPr="00A5115D">
              <w:rPr>
                <w:rFonts w:ascii="Times New Roman" w:eastAsia="Times New Roman" w:hAnsi="Times New Roman" w:cs="Times New Roman"/>
                <w:b/>
                <w:bCs/>
                <w:sz w:val="24"/>
                <w:szCs w:val="24"/>
              </w:rPr>
              <w:t>Indicator</w:t>
            </w:r>
          </w:p>
        </w:tc>
        <w:tc>
          <w:tcPr>
            <w:tcW w:w="0" w:type="auto"/>
            <w:vAlign w:val="center"/>
            <w:hideMark/>
          </w:tcPr>
          <w:p w14:paraId="0868337F" w14:textId="77777777" w:rsidR="00A5115D" w:rsidRPr="00A5115D" w:rsidRDefault="00A5115D" w:rsidP="00A5115D">
            <w:pPr>
              <w:spacing w:after="0" w:line="240" w:lineRule="auto"/>
              <w:jc w:val="center"/>
              <w:rPr>
                <w:rFonts w:ascii="Times New Roman" w:eastAsia="Times New Roman" w:hAnsi="Times New Roman" w:cs="Times New Roman"/>
                <w:b/>
                <w:bCs/>
                <w:sz w:val="24"/>
                <w:szCs w:val="24"/>
              </w:rPr>
            </w:pPr>
            <w:r w:rsidRPr="00A5115D">
              <w:rPr>
                <w:rFonts w:ascii="Times New Roman" w:eastAsia="Times New Roman" w:hAnsi="Times New Roman" w:cs="Times New Roman"/>
                <w:b/>
                <w:bCs/>
                <w:sz w:val="24"/>
                <w:szCs w:val="24"/>
              </w:rPr>
              <w:t>Engine Weight</w:t>
            </w:r>
          </w:p>
        </w:tc>
        <w:tc>
          <w:tcPr>
            <w:tcW w:w="0" w:type="auto"/>
            <w:vAlign w:val="center"/>
            <w:hideMark/>
          </w:tcPr>
          <w:p w14:paraId="208C48FC" w14:textId="77777777" w:rsidR="00A5115D" w:rsidRPr="00A5115D" w:rsidRDefault="00A5115D" w:rsidP="00A5115D">
            <w:pPr>
              <w:spacing w:after="0" w:line="240" w:lineRule="auto"/>
              <w:jc w:val="center"/>
              <w:rPr>
                <w:rFonts w:ascii="Times New Roman" w:eastAsia="Times New Roman" w:hAnsi="Times New Roman" w:cs="Times New Roman"/>
                <w:b/>
                <w:bCs/>
                <w:sz w:val="24"/>
                <w:szCs w:val="24"/>
              </w:rPr>
            </w:pPr>
            <w:r w:rsidRPr="00A5115D">
              <w:rPr>
                <w:rFonts w:ascii="Times New Roman" w:eastAsia="Times New Roman" w:hAnsi="Times New Roman" w:cs="Times New Roman"/>
                <w:b/>
                <w:bCs/>
                <w:sz w:val="24"/>
                <w:szCs w:val="24"/>
              </w:rPr>
              <w:t>Confidence Modifier</w:t>
            </w:r>
          </w:p>
        </w:tc>
      </w:tr>
      <w:tr w:rsidR="00A5115D" w:rsidRPr="00A5115D" w14:paraId="2DCB2367" w14:textId="77777777" w:rsidTr="00A5115D">
        <w:trPr>
          <w:tblCellSpacing w:w="15" w:type="dxa"/>
        </w:trPr>
        <w:tc>
          <w:tcPr>
            <w:tcW w:w="0" w:type="auto"/>
            <w:vAlign w:val="center"/>
            <w:hideMark/>
          </w:tcPr>
          <w:p w14:paraId="52A6EBD9"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ATM Implied Volatility</w:t>
            </w:r>
          </w:p>
        </w:tc>
        <w:tc>
          <w:tcPr>
            <w:tcW w:w="0" w:type="auto"/>
            <w:vAlign w:val="center"/>
            <w:hideMark/>
          </w:tcPr>
          <w:p w14:paraId="68B2D1E6"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10.0%</w:t>
            </w:r>
          </w:p>
        </w:tc>
        <w:tc>
          <w:tcPr>
            <w:tcW w:w="0" w:type="auto"/>
            <w:vAlign w:val="center"/>
            <w:hideMark/>
          </w:tcPr>
          <w:p w14:paraId="2F2B5E3D"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±8%</w:t>
            </w:r>
          </w:p>
        </w:tc>
      </w:tr>
      <w:tr w:rsidR="00A5115D" w:rsidRPr="00A5115D" w14:paraId="09A1F7C0" w14:textId="77777777" w:rsidTr="00A5115D">
        <w:trPr>
          <w:tblCellSpacing w:w="15" w:type="dxa"/>
        </w:trPr>
        <w:tc>
          <w:tcPr>
            <w:tcW w:w="0" w:type="auto"/>
            <w:vAlign w:val="center"/>
            <w:hideMark/>
          </w:tcPr>
          <w:p w14:paraId="6519E6B4"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IV Rank</w:t>
            </w:r>
          </w:p>
        </w:tc>
        <w:tc>
          <w:tcPr>
            <w:tcW w:w="0" w:type="auto"/>
            <w:vAlign w:val="center"/>
            <w:hideMark/>
          </w:tcPr>
          <w:p w14:paraId="2DB481C0"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6.0%</w:t>
            </w:r>
          </w:p>
        </w:tc>
        <w:tc>
          <w:tcPr>
            <w:tcW w:w="0" w:type="auto"/>
            <w:vAlign w:val="center"/>
            <w:hideMark/>
          </w:tcPr>
          <w:p w14:paraId="00E26DFB"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±5%</w:t>
            </w:r>
          </w:p>
        </w:tc>
      </w:tr>
      <w:tr w:rsidR="00A5115D" w:rsidRPr="00A5115D" w14:paraId="017DB843" w14:textId="77777777" w:rsidTr="00A5115D">
        <w:trPr>
          <w:tblCellSpacing w:w="15" w:type="dxa"/>
        </w:trPr>
        <w:tc>
          <w:tcPr>
            <w:tcW w:w="0" w:type="auto"/>
            <w:vAlign w:val="center"/>
            <w:hideMark/>
          </w:tcPr>
          <w:p w14:paraId="25AA31C2"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IV Percentile</w:t>
            </w:r>
          </w:p>
        </w:tc>
        <w:tc>
          <w:tcPr>
            <w:tcW w:w="0" w:type="auto"/>
            <w:vAlign w:val="center"/>
            <w:hideMark/>
          </w:tcPr>
          <w:p w14:paraId="0D439684"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4.0%</w:t>
            </w:r>
          </w:p>
        </w:tc>
        <w:tc>
          <w:tcPr>
            <w:tcW w:w="0" w:type="auto"/>
            <w:vAlign w:val="center"/>
            <w:hideMark/>
          </w:tcPr>
          <w:p w14:paraId="74F1F62B"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±4%</w:t>
            </w:r>
          </w:p>
        </w:tc>
      </w:tr>
    </w:tbl>
    <w:p w14:paraId="4F129C1C" w14:textId="77777777" w:rsidR="00A5115D" w:rsidRP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b/>
          <w:bCs/>
          <w:sz w:val="24"/>
          <w:szCs w:val="24"/>
        </w:rPr>
        <w:t>Module Total: 20%</w:t>
      </w:r>
    </w:p>
    <w:p w14:paraId="17FBB9BD"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pict w14:anchorId="60EFE19E">
          <v:rect id="_x0000_i1572" style="width:0;height:1.5pt" o:hralign="center" o:hrstd="t" o:hr="t" fillcolor="#a0a0a0" stroked="f"/>
        </w:pict>
      </w:r>
    </w:p>
    <w:p w14:paraId="4E0A5CE4" w14:textId="77777777" w:rsidR="00A5115D" w:rsidRDefault="00A5115D" w:rsidP="00A5115D">
      <w:pPr>
        <w:spacing w:before="100" w:beforeAutospacing="1" w:after="100" w:afterAutospacing="1" w:line="240" w:lineRule="auto"/>
        <w:outlineLvl w:val="1"/>
        <w:rPr>
          <w:rFonts w:ascii="Times New Roman" w:eastAsia="Times New Roman" w:hAnsi="Times New Roman" w:cs="Times New Roman"/>
          <w:b/>
          <w:bCs/>
          <w:sz w:val="36"/>
          <w:szCs w:val="36"/>
        </w:rPr>
      </w:pPr>
    </w:p>
    <w:p w14:paraId="2F114541" w14:textId="7B2ED0BA" w:rsidR="00A5115D" w:rsidRPr="00A5115D" w:rsidRDefault="00A5115D" w:rsidP="00A5115D">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A5115D">
        <w:rPr>
          <w:rFonts w:ascii="Times New Roman" w:eastAsia="Times New Roman" w:hAnsi="Times New Roman" w:cs="Times New Roman"/>
          <w:b/>
          <w:bCs/>
          <w:color w:val="FF0000"/>
          <w:sz w:val="36"/>
          <w:szCs w:val="36"/>
        </w:rPr>
        <w:lastRenderedPageBreak/>
        <w:t>Greeks (Module Weight: 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587"/>
        <w:gridCol w:w="2202"/>
      </w:tblGrid>
      <w:tr w:rsidR="00A5115D" w:rsidRPr="00A5115D" w14:paraId="38E23E2A" w14:textId="77777777" w:rsidTr="00A5115D">
        <w:trPr>
          <w:tblHeader/>
          <w:tblCellSpacing w:w="15" w:type="dxa"/>
        </w:trPr>
        <w:tc>
          <w:tcPr>
            <w:tcW w:w="0" w:type="auto"/>
            <w:vAlign w:val="center"/>
            <w:hideMark/>
          </w:tcPr>
          <w:p w14:paraId="449A8DEE" w14:textId="77777777" w:rsidR="00A5115D" w:rsidRPr="00A5115D" w:rsidRDefault="00A5115D" w:rsidP="00A5115D">
            <w:pPr>
              <w:spacing w:after="0" w:line="240" w:lineRule="auto"/>
              <w:jc w:val="center"/>
              <w:rPr>
                <w:rFonts w:ascii="Times New Roman" w:eastAsia="Times New Roman" w:hAnsi="Times New Roman" w:cs="Times New Roman"/>
                <w:b/>
                <w:bCs/>
                <w:sz w:val="24"/>
                <w:szCs w:val="24"/>
              </w:rPr>
            </w:pPr>
            <w:r w:rsidRPr="00A5115D">
              <w:rPr>
                <w:rFonts w:ascii="Times New Roman" w:eastAsia="Times New Roman" w:hAnsi="Times New Roman" w:cs="Times New Roman"/>
                <w:b/>
                <w:bCs/>
                <w:sz w:val="24"/>
                <w:szCs w:val="24"/>
              </w:rPr>
              <w:t>Indicator</w:t>
            </w:r>
          </w:p>
        </w:tc>
        <w:tc>
          <w:tcPr>
            <w:tcW w:w="0" w:type="auto"/>
            <w:vAlign w:val="center"/>
            <w:hideMark/>
          </w:tcPr>
          <w:p w14:paraId="7843A997" w14:textId="77777777" w:rsidR="00A5115D" w:rsidRPr="00A5115D" w:rsidRDefault="00A5115D" w:rsidP="00A5115D">
            <w:pPr>
              <w:spacing w:after="0" w:line="240" w:lineRule="auto"/>
              <w:jc w:val="center"/>
              <w:rPr>
                <w:rFonts w:ascii="Times New Roman" w:eastAsia="Times New Roman" w:hAnsi="Times New Roman" w:cs="Times New Roman"/>
                <w:b/>
                <w:bCs/>
                <w:sz w:val="24"/>
                <w:szCs w:val="24"/>
              </w:rPr>
            </w:pPr>
            <w:r w:rsidRPr="00A5115D">
              <w:rPr>
                <w:rFonts w:ascii="Times New Roman" w:eastAsia="Times New Roman" w:hAnsi="Times New Roman" w:cs="Times New Roman"/>
                <w:b/>
                <w:bCs/>
                <w:sz w:val="24"/>
                <w:szCs w:val="24"/>
              </w:rPr>
              <w:t>Engine Weight</w:t>
            </w:r>
          </w:p>
        </w:tc>
        <w:tc>
          <w:tcPr>
            <w:tcW w:w="0" w:type="auto"/>
            <w:vAlign w:val="center"/>
            <w:hideMark/>
          </w:tcPr>
          <w:p w14:paraId="56CE06A8" w14:textId="77777777" w:rsidR="00A5115D" w:rsidRPr="00A5115D" w:rsidRDefault="00A5115D" w:rsidP="00A5115D">
            <w:pPr>
              <w:spacing w:after="0" w:line="240" w:lineRule="auto"/>
              <w:jc w:val="center"/>
              <w:rPr>
                <w:rFonts w:ascii="Times New Roman" w:eastAsia="Times New Roman" w:hAnsi="Times New Roman" w:cs="Times New Roman"/>
                <w:b/>
                <w:bCs/>
                <w:sz w:val="24"/>
                <w:szCs w:val="24"/>
              </w:rPr>
            </w:pPr>
            <w:r w:rsidRPr="00A5115D">
              <w:rPr>
                <w:rFonts w:ascii="Times New Roman" w:eastAsia="Times New Roman" w:hAnsi="Times New Roman" w:cs="Times New Roman"/>
                <w:b/>
                <w:bCs/>
                <w:sz w:val="24"/>
                <w:szCs w:val="24"/>
              </w:rPr>
              <w:t>Confidence Modifier</w:t>
            </w:r>
          </w:p>
        </w:tc>
      </w:tr>
      <w:tr w:rsidR="00A5115D" w:rsidRPr="00A5115D" w14:paraId="3D8F8383" w14:textId="77777777" w:rsidTr="00A5115D">
        <w:trPr>
          <w:tblCellSpacing w:w="15" w:type="dxa"/>
        </w:trPr>
        <w:tc>
          <w:tcPr>
            <w:tcW w:w="0" w:type="auto"/>
            <w:vAlign w:val="center"/>
            <w:hideMark/>
          </w:tcPr>
          <w:p w14:paraId="5A7790A5"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Delta</w:t>
            </w:r>
          </w:p>
        </w:tc>
        <w:tc>
          <w:tcPr>
            <w:tcW w:w="0" w:type="auto"/>
            <w:vAlign w:val="center"/>
            <w:hideMark/>
          </w:tcPr>
          <w:p w14:paraId="37F4FD68"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8.0%</w:t>
            </w:r>
          </w:p>
        </w:tc>
        <w:tc>
          <w:tcPr>
            <w:tcW w:w="0" w:type="auto"/>
            <w:vAlign w:val="center"/>
            <w:hideMark/>
          </w:tcPr>
          <w:p w14:paraId="4CAA5519"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±8%</w:t>
            </w:r>
          </w:p>
        </w:tc>
      </w:tr>
      <w:tr w:rsidR="00A5115D" w:rsidRPr="00A5115D" w14:paraId="40707B9A" w14:textId="77777777" w:rsidTr="00A5115D">
        <w:trPr>
          <w:tblCellSpacing w:w="15" w:type="dxa"/>
        </w:trPr>
        <w:tc>
          <w:tcPr>
            <w:tcW w:w="0" w:type="auto"/>
            <w:vAlign w:val="center"/>
            <w:hideMark/>
          </w:tcPr>
          <w:p w14:paraId="45B513DA"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Gamma</w:t>
            </w:r>
          </w:p>
        </w:tc>
        <w:tc>
          <w:tcPr>
            <w:tcW w:w="0" w:type="auto"/>
            <w:vAlign w:val="center"/>
            <w:hideMark/>
          </w:tcPr>
          <w:p w14:paraId="4EC7752D"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4.0%</w:t>
            </w:r>
          </w:p>
        </w:tc>
        <w:tc>
          <w:tcPr>
            <w:tcW w:w="0" w:type="auto"/>
            <w:vAlign w:val="center"/>
            <w:hideMark/>
          </w:tcPr>
          <w:p w14:paraId="54E7172A"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±5%</w:t>
            </w:r>
          </w:p>
        </w:tc>
      </w:tr>
      <w:tr w:rsidR="00A5115D" w:rsidRPr="00A5115D" w14:paraId="59A477F8" w14:textId="77777777" w:rsidTr="00A5115D">
        <w:trPr>
          <w:tblCellSpacing w:w="15" w:type="dxa"/>
        </w:trPr>
        <w:tc>
          <w:tcPr>
            <w:tcW w:w="0" w:type="auto"/>
            <w:vAlign w:val="center"/>
            <w:hideMark/>
          </w:tcPr>
          <w:p w14:paraId="36429884"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Theta</w:t>
            </w:r>
          </w:p>
        </w:tc>
        <w:tc>
          <w:tcPr>
            <w:tcW w:w="0" w:type="auto"/>
            <w:vAlign w:val="center"/>
            <w:hideMark/>
          </w:tcPr>
          <w:p w14:paraId="33E1C410"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4.0%</w:t>
            </w:r>
          </w:p>
        </w:tc>
        <w:tc>
          <w:tcPr>
            <w:tcW w:w="0" w:type="auto"/>
            <w:vAlign w:val="center"/>
            <w:hideMark/>
          </w:tcPr>
          <w:p w14:paraId="772B77EB"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±5%</w:t>
            </w:r>
          </w:p>
        </w:tc>
      </w:tr>
      <w:tr w:rsidR="00A5115D" w:rsidRPr="00A5115D" w14:paraId="3E17E08E" w14:textId="77777777" w:rsidTr="00A5115D">
        <w:trPr>
          <w:tblCellSpacing w:w="15" w:type="dxa"/>
        </w:trPr>
        <w:tc>
          <w:tcPr>
            <w:tcW w:w="0" w:type="auto"/>
            <w:vAlign w:val="center"/>
            <w:hideMark/>
          </w:tcPr>
          <w:p w14:paraId="159B39D7"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Vega</w:t>
            </w:r>
          </w:p>
        </w:tc>
        <w:tc>
          <w:tcPr>
            <w:tcW w:w="0" w:type="auto"/>
            <w:vAlign w:val="center"/>
            <w:hideMark/>
          </w:tcPr>
          <w:p w14:paraId="7F06B149"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4.0%</w:t>
            </w:r>
          </w:p>
        </w:tc>
        <w:tc>
          <w:tcPr>
            <w:tcW w:w="0" w:type="auto"/>
            <w:vAlign w:val="center"/>
            <w:hideMark/>
          </w:tcPr>
          <w:p w14:paraId="3ECC48F6"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±5%</w:t>
            </w:r>
          </w:p>
        </w:tc>
      </w:tr>
    </w:tbl>
    <w:p w14:paraId="350E8399" w14:textId="77777777" w:rsidR="00A5115D" w:rsidRP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b/>
          <w:bCs/>
          <w:sz w:val="24"/>
          <w:szCs w:val="24"/>
        </w:rPr>
        <w:t>Module Total: 20%</w:t>
      </w:r>
    </w:p>
    <w:p w14:paraId="08DB6086"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pict w14:anchorId="6DAF497B">
          <v:rect id="_x0000_i1573" style="width:0;height:1.5pt" o:hralign="center" o:hrstd="t" o:hr="t" fillcolor="#a0a0a0" stroked="f"/>
        </w:pict>
      </w:r>
    </w:p>
    <w:p w14:paraId="6312A349" w14:textId="77777777" w:rsidR="00A5115D" w:rsidRPr="00A5115D" w:rsidRDefault="00A5115D" w:rsidP="00A5115D">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A5115D">
        <w:rPr>
          <w:rFonts w:ascii="Times New Roman" w:eastAsia="Times New Roman" w:hAnsi="Times New Roman" w:cs="Times New Roman"/>
          <w:b/>
          <w:bCs/>
          <w:color w:val="FF0000"/>
          <w:sz w:val="36"/>
          <w:szCs w:val="36"/>
        </w:rPr>
        <w:t>Market Positioning (Module Weight: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587"/>
        <w:gridCol w:w="2202"/>
      </w:tblGrid>
      <w:tr w:rsidR="00A5115D" w:rsidRPr="00A5115D" w14:paraId="2E61005F" w14:textId="77777777" w:rsidTr="00A5115D">
        <w:trPr>
          <w:tblHeader/>
          <w:tblCellSpacing w:w="15" w:type="dxa"/>
        </w:trPr>
        <w:tc>
          <w:tcPr>
            <w:tcW w:w="0" w:type="auto"/>
            <w:vAlign w:val="center"/>
            <w:hideMark/>
          </w:tcPr>
          <w:p w14:paraId="5D0F009C" w14:textId="77777777" w:rsidR="00A5115D" w:rsidRPr="00A5115D" w:rsidRDefault="00A5115D" w:rsidP="00A5115D">
            <w:pPr>
              <w:spacing w:after="0" w:line="240" w:lineRule="auto"/>
              <w:jc w:val="center"/>
              <w:rPr>
                <w:rFonts w:ascii="Times New Roman" w:eastAsia="Times New Roman" w:hAnsi="Times New Roman" w:cs="Times New Roman"/>
                <w:b/>
                <w:bCs/>
                <w:sz w:val="24"/>
                <w:szCs w:val="24"/>
              </w:rPr>
            </w:pPr>
            <w:r w:rsidRPr="00A5115D">
              <w:rPr>
                <w:rFonts w:ascii="Times New Roman" w:eastAsia="Times New Roman" w:hAnsi="Times New Roman" w:cs="Times New Roman"/>
                <w:b/>
                <w:bCs/>
                <w:sz w:val="24"/>
                <w:szCs w:val="24"/>
              </w:rPr>
              <w:t>Indicator</w:t>
            </w:r>
          </w:p>
        </w:tc>
        <w:tc>
          <w:tcPr>
            <w:tcW w:w="0" w:type="auto"/>
            <w:vAlign w:val="center"/>
            <w:hideMark/>
          </w:tcPr>
          <w:p w14:paraId="23973964" w14:textId="77777777" w:rsidR="00A5115D" w:rsidRPr="00A5115D" w:rsidRDefault="00A5115D" w:rsidP="00A5115D">
            <w:pPr>
              <w:spacing w:after="0" w:line="240" w:lineRule="auto"/>
              <w:jc w:val="center"/>
              <w:rPr>
                <w:rFonts w:ascii="Times New Roman" w:eastAsia="Times New Roman" w:hAnsi="Times New Roman" w:cs="Times New Roman"/>
                <w:b/>
                <w:bCs/>
                <w:sz w:val="24"/>
                <w:szCs w:val="24"/>
              </w:rPr>
            </w:pPr>
            <w:r w:rsidRPr="00A5115D">
              <w:rPr>
                <w:rFonts w:ascii="Times New Roman" w:eastAsia="Times New Roman" w:hAnsi="Times New Roman" w:cs="Times New Roman"/>
                <w:b/>
                <w:bCs/>
                <w:sz w:val="24"/>
                <w:szCs w:val="24"/>
              </w:rPr>
              <w:t>Engine Weight</w:t>
            </w:r>
          </w:p>
        </w:tc>
        <w:tc>
          <w:tcPr>
            <w:tcW w:w="0" w:type="auto"/>
            <w:vAlign w:val="center"/>
            <w:hideMark/>
          </w:tcPr>
          <w:p w14:paraId="7B816733" w14:textId="77777777" w:rsidR="00A5115D" w:rsidRPr="00A5115D" w:rsidRDefault="00A5115D" w:rsidP="00A5115D">
            <w:pPr>
              <w:spacing w:after="0" w:line="240" w:lineRule="auto"/>
              <w:jc w:val="center"/>
              <w:rPr>
                <w:rFonts w:ascii="Times New Roman" w:eastAsia="Times New Roman" w:hAnsi="Times New Roman" w:cs="Times New Roman"/>
                <w:b/>
                <w:bCs/>
                <w:sz w:val="24"/>
                <w:szCs w:val="24"/>
              </w:rPr>
            </w:pPr>
            <w:r w:rsidRPr="00A5115D">
              <w:rPr>
                <w:rFonts w:ascii="Times New Roman" w:eastAsia="Times New Roman" w:hAnsi="Times New Roman" w:cs="Times New Roman"/>
                <w:b/>
                <w:bCs/>
                <w:sz w:val="24"/>
                <w:szCs w:val="24"/>
              </w:rPr>
              <w:t>Confidence Modifier</w:t>
            </w:r>
          </w:p>
        </w:tc>
      </w:tr>
      <w:tr w:rsidR="00A5115D" w:rsidRPr="00A5115D" w14:paraId="1F928D34" w14:textId="77777777" w:rsidTr="00A5115D">
        <w:trPr>
          <w:tblCellSpacing w:w="15" w:type="dxa"/>
        </w:trPr>
        <w:tc>
          <w:tcPr>
            <w:tcW w:w="0" w:type="auto"/>
            <w:vAlign w:val="center"/>
            <w:hideMark/>
          </w:tcPr>
          <w:p w14:paraId="5A580544"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Max Pain</w:t>
            </w:r>
          </w:p>
        </w:tc>
        <w:tc>
          <w:tcPr>
            <w:tcW w:w="0" w:type="auto"/>
            <w:vAlign w:val="center"/>
            <w:hideMark/>
          </w:tcPr>
          <w:p w14:paraId="7DCEE9DA"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10.0%</w:t>
            </w:r>
          </w:p>
        </w:tc>
        <w:tc>
          <w:tcPr>
            <w:tcW w:w="0" w:type="auto"/>
            <w:vAlign w:val="center"/>
            <w:hideMark/>
          </w:tcPr>
          <w:p w14:paraId="05EE3C78"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±8%</w:t>
            </w:r>
          </w:p>
        </w:tc>
      </w:tr>
    </w:tbl>
    <w:p w14:paraId="543FD3EA" w14:textId="77777777" w:rsidR="00A5115D" w:rsidRP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b/>
          <w:bCs/>
          <w:sz w:val="24"/>
          <w:szCs w:val="24"/>
        </w:rPr>
        <w:t>Module Total: 10%</w:t>
      </w:r>
    </w:p>
    <w:p w14:paraId="2FB1918C"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pict w14:anchorId="78A2E0C7">
          <v:rect id="_x0000_i1574" style="width:0;height:1.5pt" o:hralign="center" o:hrstd="t" o:hr="t" fillcolor="#a0a0a0" stroked="f"/>
        </w:pict>
      </w:r>
    </w:p>
    <w:p w14:paraId="4A298405" w14:textId="77777777" w:rsidR="00A5115D" w:rsidRPr="00A5115D" w:rsidRDefault="00A5115D" w:rsidP="00A511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115D">
        <w:rPr>
          <w:rFonts w:ascii="Times New Roman" w:eastAsia="Times New Roman" w:hAnsi="Times New Roman" w:cs="Times New Roman"/>
          <w:b/>
          <w:bCs/>
          <w:kern w:val="36"/>
          <w:sz w:val="48"/>
          <w:szCs w:val="48"/>
        </w:rPr>
        <w:t>Module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822"/>
      </w:tblGrid>
      <w:tr w:rsidR="00A5115D" w:rsidRPr="00A5115D" w14:paraId="67175261" w14:textId="77777777" w:rsidTr="00A5115D">
        <w:trPr>
          <w:tblHeader/>
          <w:tblCellSpacing w:w="15" w:type="dxa"/>
        </w:trPr>
        <w:tc>
          <w:tcPr>
            <w:tcW w:w="0" w:type="auto"/>
            <w:vAlign w:val="center"/>
            <w:hideMark/>
          </w:tcPr>
          <w:p w14:paraId="35BA9DB1" w14:textId="77777777" w:rsidR="00A5115D" w:rsidRPr="00A5115D" w:rsidRDefault="00A5115D" w:rsidP="00A5115D">
            <w:pPr>
              <w:spacing w:after="0" w:line="240" w:lineRule="auto"/>
              <w:jc w:val="center"/>
              <w:rPr>
                <w:rFonts w:ascii="Times New Roman" w:eastAsia="Times New Roman" w:hAnsi="Times New Roman" w:cs="Times New Roman"/>
                <w:b/>
                <w:bCs/>
                <w:sz w:val="24"/>
                <w:szCs w:val="24"/>
              </w:rPr>
            </w:pPr>
            <w:r w:rsidRPr="00A5115D">
              <w:rPr>
                <w:rFonts w:ascii="Times New Roman" w:eastAsia="Times New Roman" w:hAnsi="Times New Roman" w:cs="Times New Roman"/>
                <w:b/>
                <w:bCs/>
                <w:sz w:val="24"/>
                <w:szCs w:val="24"/>
              </w:rPr>
              <w:t>Module</w:t>
            </w:r>
          </w:p>
        </w:tc>
        <w:tc>
          <w:tcPr>
            <w:tcW w:w="0" w:type="auto"/>
            <w:vAlign w:val="center"/>
            <w:hideMark/>
          </w:tcPr>
          <w:p w14:paraId="53405C07" w14:textId="77777777" w:rsidR="00A5115D" w:rsidRPr="00A5115D" w:rsidRDefault="00A5115D" w:rsidP="00A5115D">
            <w:pPr>
              <w:spacing w:after="0" w:line="240" w:lineRule="auto"/>
              <w:jc w:val="center"/>
              <w:rPr>
                <w:rFonts w:ascii="Times New Roman" w:eastAsia="Times New Roman" w:hAnsi="Times New Roman" w:cs="Times New Roman"/>
                <w:b/>
                <w:bCs/>
                <w:sz w:val="24"/>
                <w:szCs w:val="24"/>
              </w:rPr>
            </w:pPr>
            <w:r w:rsidRPr="00A5115D">
              <w:rPr>
                <w:rFonts w:ascii="Times New Roman" w:eastAsia="Times New Roman" w:hAnsi="Times New Roman" w:cs="Times New Roman"/>
                <w:b/>
                <w:bCs/>
                <w:sz w:val="24"/>
                <w:szCs w:val="24"/>
              </w:rPr>
              <w:t>Weight</w:t>
            </w:r>
          </w:p>
        </w:tc>
      </w:tr>
      <w:tr w:rsidR="00A5115D" w:rsidRPr="00A5115D" w14:paraId="10C46784" w14:textId="77777777" w:rsidTr="00A5115D">
        <w:trPr>
          <w:tblCellSpacing w:w="15" w:type="dxa"/>
        </w:trPr>
        <w:tc>
          <w:tcPr>
            <w:tcW w:w="0" w:type="auto"/>
            <w:vAlign w:val="center"/>
            <w:hideMark/>
          </w:tcPr>
          <w:p w14:paraId="04C04B47"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Open Interest</w:t>
            </w:r>
          </w:p>
        </w:tc>
        <w:tc>
          <w:tcPr>
            <w:tcW w:w="0" w:type="auto"/>
            <w:vAlign w:val="center"/>
            <w:hideMark/>
          </w:tcPr>
          <w:p w14:paraId="601495D1"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30%</w:t>
            </w:r>
          </w:p>
        </w:tc>
      </w:tr>
      <w:tr w:rsidR="00A5115D" w:rsidRPr="00A5115D" w14:paraId="14F3B3D2" w14:textId="77777777" w:rsidTr="00A5115D">
        <w:trPr>
          <w:tblCellSpacing w:w="15" w:type="dxa"/>
        </w:trPr>
        <w:tc>
          <w:tcPr>
            <w:tcW w:w="0" w:type="auto"/>
            <w:vAlign w:val="center"/>
            <w:hideMark/>
          </w:tcPr>
          <w:p w14:paraId="59C3FEB4"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Put-Call Ratio</w:t>
            </w:r>
          </w:p>
        </w:tc>
        <w:tc>
          <w:tcPr>
            <w:tcW w:w="0" w:type="auto"/>
            <w:vAlign w:val="center"/>
            <w:hideMark/>
          </w:tcPr>
          <w:p w14:paraId="4F0F31BB"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20%</w:t>
            </w:r>
          </w:p>
        </w:tc>
      </w:tr>
      <w:tr w:rsidR="00A5115D" w:rsidRPr="00A5115D" w14:paraId="0321BE88" w14:textId="77777777" w:rsidTr="00A5115D">
        <w:trPr>
          <w:tblCellSpacing w:w="15" w:type="dxa"/>
        </w:trPr>
        <w:tc>
          <w:tcPr>
            <w:tcW w:w="0" w:type="auto"/>
            <w:vAlign w:val="center"/>
            <w:hideMark/>
          </w:tcPr>
          <w:p w14:paraId="64462D71"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Implied Volatility</w:t>
            </w:r>
          </w:p>
        </w:tc>
        <w:tc>
          <w:tcPr>
            <w:tcW w:w="0" w:type="auto"/>
            <w:vAlign w:val="center"/>
            <w:hideMark/>
          </w:tcPr>
          <w:p w14:paraId="734A440E"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20%</w:t>
            </w:r>
          </w:p>
        </w:tc>
      </w:tr>
      <w:tr w:rsidR="00A5115D" w:rsidRPr="00A5115D" w14:paraId="4D0940E2" w14:textId="77777777" w:rsidTr="00A5115D">
        <w:trPr>
          <w:tblCellSpacing w:w="15" w:type="dxa"/>
        </w:trPr>
        <w:tc>
          <w:tcPr>
            <w:tcW w:w="0" w:type="auto"/>
            <w:vAlign w:val="center"/>
            <w:hideMark/>
          </w:tcPr>
          <w:p w14:paraId="40971B2F"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Greeks</w:t>
            </w:r>
          </w:p>
        </w:tc>
        <w:tc>
          <w:tcPr>
            <w:tcW w:w="0" w:type="auto"/>
            <w:vAlign w:val="center"/>
            <w:hideMark/>
          </w:tcPr>
          <w:p w14:paraId="7FFAA141"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20%</w:t>
            </w:r>
          </w:p>
        </w:tc>
      </w:tr>
      <w:tr w:rsidR="00A5115D" w:rsidRPr="00A5115D" w14:paraId="5EB70A41" w14:textId="77777777" w:rsidTr="00A5115D">
        <w:trPr>
          <w:tblCellSpacing w:w="15" w:type="dxa"/>
        </w:trPr>
        <w:tc>
          <w:tcPr>
            <w:tcW w:w="0" w:type="auto"/>
            <w:vAlign w:val="center"/>
            <w:hideMark/>
          </w:tcPr>
          <w:p w14:paraId="770B0B1F"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Market Positioning</w:t>
            </w:r>
          </w:p>
        </w:tc>
        <w:tc>
          <w:tcPr>
            <w:tcW w:w="0" w:type="auto"/>
            <w:vAlign w:val="center"/>
            <w:hideMark/>
          </w:tcPr>
          <w:p w14:paraId="7DB6891D"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10%</w:t>
            </w:r>
          </w:p>
        </w:tc>
      </w:tr>
    </w:tbl>
    <w:p w14:paraId="2F114F08" w14:textId="77777777" w:rsidR="00A5115D" w:rsidRP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b/>
          <w:bCs/>
          <w:sz w:val="24"/>
          <w:szCs w:val="24"/>
        </w:rPr>
        <w:t>Grand Total: 100%</w:t>
      </w:r>
    </w:p>
    <w:p w14:paraId="4611C391"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pict w14:anchorId="1B961E1E">
          <v:rect id="_x0000_i1575" style="width:0;height:1.5pt" o:hralign="center" o:hrstd="t" o:hr="t" fillcolor="#a0a0a0" stroked="f"/>
        </w:pict>
      </w:r>
    </w:p>
    <w:p w14:paraId="32886D77" w14:textId="77777777" w:rsidR="00A5115D" w:rsidRPr="00A5115D" w:rsidRDefault="00A5115D" w:rsidP="00A511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115D">
        <w:rPr>
          <w:rFonts w:ascii="Times New Roman" w:eastAsia="Times New Roman" w:hAnsi="Times New Roman" w:cs="Times New Roman"/>
          <w:b/>
          <w:bCs/>
          <w:kern w:val="36"/>
          <w:sz w:val="48"/>
          <w:szCs w:val="48"/>
        </w:rPr>
        <w:t>Confidence Modifier Guidelines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688"/>
      </w:tblGrid>
      <w:tr w:rsidR="00A5115D" w:rsidRPr="00A5115D" w14:paraId="0A629A74" w14:textId="77777777" w:rsidTr="00A5115D">
        <w:trPr>
          <w:tblHeader/>
          <w:tblCellSpacing w:w="15" w:type="dxa"/>
        </w:trPr>
        <w:tc>
          <w:tcPr>
            <w:tcW w:w="0" w:type="auto"/>
            <w:vAlign w:val="center"/>
            <w:hideMark/>
          </w:tcPr>
          <w:p w14:paraId="36DC3543" w14:textId="77777777" w:rsidR="00A5115D" w:rsidRPr="00A5115D" w:rsidRDefault="00A5115D" w:rsidP="00A5115D">
            <w:pPr>
              <w:spacing w:after="0" w:line="240" w:lineRule="auto"/>
              <w:jc w:val="center"/>
              <w:rPr>
                <w:rFonts w:ascii="Times New Roman" w:eastAsia="Times New Roman" w:hAnsi="Times New Roman" w:cs="Times New Roman"/>
                <w:b/>
                <w:bCs/>
                <w:sz w:val="24"/>
                <w:szCs w:val="24"/>
              </w:rPr>
            </w:pPr>
            <w:r w:rsidRPr="00A5115D">
              <w:rPr>
                <w:rFonts w:ascii="Times New Roman" w:eastAsia="Times New Roman" w:hAnsi="Times New Roman" w:cs="Times New Roman"/>
                <w:b/>
                <w:bCs/>
                <w:sz w:val="24"/>
                <w:szCs w:val="24"/>
              </w:rPr>
              <w:t>Modifier</w:t>
            </w:r>
          </w:p>
        </w:tc>
        <w:tc>
          <w:tcPr>
            <w:tcW w:w="0" w:type="auto"/>
            <w:vAlign w:val="center"/>
            <w:hideMark/>
          </w:tcPr>
          <w:p w14:paraId="38F42CAC" w14:textId="77777777" w:rsidR="00A5115D" w:rsidRPr="00A5115D" w:rsidRDefault="00A5115D" w:rsidP="00A5115D">
            <w:pPr>
              <w:spacing w:after="0" w:line="240" w:lineRule="auto"/>
              <w:jc w:val="center"/>
              <w:rPr>
                <w:rFonts w:ascii="Times New Roman" w:eastAsia="Times New Roman" w:hAnsi="Times New Roman" w:cs="Times New Roman"/>
                <w:b/>
                <w:bCs/>
                <w:sz w:val="24"/>
                <w:szCs w:val="24"/>
              </w:rPr>
            </w:pPr>
            <w:r w:rsidRPr="00A5115D">
              <w:rPr>
                <w:rFonts w:ascii="Times New Roman" w:eastAsia="Times New Roman" w:hAnsi="Times New Roman" w:cs="Times New Roman"/>
                <w:b/>
                <w:bCs/>
                <w:sz w:val="24"/>
                <w:szCs w:val="24"/>
              </w:rPr>
              <w:t>Interpretation</w:t>
            </w:r>
          </w:p>
        </w:tc>
      </w:tr>
      <w:tr w:rsidR="00A5115D" w:rsidRPr="00A5115D" w14:paraId="7E304C26" w14:textId="77777777" w:rsidTr="00A5115D">
        <w:trPr>
          <w:tblCellSpacing w:w="15" w:type="dxa"/>
        </w:trPr>
        <w:tc>
          <w:tcPr>
            <w:tcW w:w="0" w:type="auto"/>
            <w:vAlign w:val="center"/>
            <w:hideMark/>
          </w:tcPr>
          <w:p w14:paraId="03CC1110"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±4–5%</w:t>
            </w:r>
          </w:p>
        </w:tc>
        <w:tc>
          <w:tcPr>
            <w:tcW w:w="0" w:type="auto"/>
            <w:vAlign w:val="center"/>
            <w:hideMark/>
          </w:tcPr>
          <w:p w14:paraId="46B739C6"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Moderate confirmation</w:t>
            </w:r>
          </w:p>
        </w:tc>
      </w:tr>
      <w:tr w:rsidR="00A5115D" w:rsidRPr="00A5115D" w14:paraId="2495B83C" w14:textId="77777777" w:rsidTr="00A5115D">
        <w:trPr>
          <w:tblCellSpacing w:w="15" w:type="dxa"/>
        </w:trPr>
        <w:tc>
          <w:tcPr>
            <w:tcW w:w="0" w:type="auto"/>
            <w:vAlign w:val="center"/>
            <w:hideMark/>
          </w:tcPr>
          <w:p w14:paraId="1DE64B3D"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±6–7%</w:t>
            </w:r>
          </w:p>
        </w:tc>
        <w:tc>
          <w:tcPr>
            <w:tcW w:w="0" w:type="auto"/>
            <w:vAlign w:val="center"/>
            <w:hideMark/>
          </w:tcPr>
          <w:p w14:paraId="26E11956"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Strong confirmation</w:t>
            </w:r>
          </w:p>
        </w:tc>
      </w:tr>
      <w:tr w:rsidR="00A5115D" w:rsidRPr="00A5115D" w14:paraId="4AB1A80E" w14:textId="77777777" w:rsidTr="00A5115D">
        <w:trPr>
          <w:tblCellSpacing w:w="15" w:type="dxa"/>
        </w:trPr>
        <w:tc>
          <w:tcPr>
            <w:tcW w:w="0" w:type="auto"/>
            <w:vAlign w:val="center"/>
            <w:hideMark/>
          </w:tcPr>
          <w:p w14:paraId="1EC98DEC"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lastRenderedPageBreak/>
              <w:t>±8%</w:t>
            </w:r>
          </w:p>
        </w:tc>
        <w:tc>
          <w:tcPr>
            <w:tcW w:w="0" w:type="auto"/>
            <w:vAlign w:val="center"/>
            <w:hideMark/>
          </w:tcPr>
          <w:p w14:paraId="35564C16"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Very strong confirmation</w:t>
            </w:r>
          </w:p>
        </w:tc>
      </w:tr>
      <w:tr w:rsidR="00A5115D" w:rsidRPr="00A5115D" w14:paraId="7B17A701" w14:textId="77777777" w:rsidTr="00A5115D">
        <w:trPr>
          <w:tblCellSpacing w:w="15" w:type="dxa"/>
        </w:trPr>
        <w:tc>
          <w:tcPr>
            <w:tcW w:w="0" w:type="auto"/>
            <w:vAlign w:val="center"/>
            <w:hideMark/>
          </w:tcPr>
          <w:p w14:paraId="1C89068B"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±10%</w:t>
            </w:r>
          </w:p>
        </w:tc>
        <w:tc>
          <w:tcPr>
            <w:tcW w:w="0" w:type="auto"/>
            <w:vAlign w:val="center"/>
            <w:hideMark/>
          </w:tcPr>
          <w:p w14:paraId="4FCCB3B9"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t>Major market confirmation</w:t>
            </w:r>
          </w:p>
        </w:tc>
      </w:tr>
    </w:tbl>
    <w:p w14:paraId="556ED9A8"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pict w14:anchorId="690E270F">
          <v:rect id="_x0000_i1576" style="width:0;height:1.5pt" o:hralign="center" o:hrstd="t" o:hr="t" fillcolor="#a0a0a0" stroked="f"/>
        </w:pict>
      </w:r>
    </w:p>
    <w:p w14:paraId="18A0EB75" w14:textId="77777777" w:rsidR="00A5115D" w:rsidRPr="00A5115D" w:rsidRDefault="00A5115D" w:rsidP="00A511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115D">
        <w:rPr>
          <w:rFonts w:ascii="Times New Roman" w:eastAsia="Times New Roman" w:hAnsi="Times New Roman" w:cs="Times New Roman"/>
          <w:b/>
          <w:bCs/>
          <w:kern w:val="36"/>
          <w:sz w:val="48"/>
          <w:szCs w:val="48"/>
        </w:rPr>
        <w:t>Engine Formula</w:t>
      </w:r>
    </w:p>
    <w:p w14:paraId="7075B0C8" w14:textId="77777777" w:rsidR="00A5115D" w:rsidRPr="00A5115D" w:rsidRDefault="00A5115D" w:rsidP="00A5115D">
      <w:pPr>
        <w:spacing w:before="100" w:beforeAutospacing="1" w:after="100" w:afterAutospacing="1" w:line="240" w:lineRule="auto"/>
        <w:outlineLvl w:val="2"/>
        <w:rPr>
          <w:rFonts w:ascii="Times New Roman" w:eastAsia="Times New Roman" w:hAnsi="Times New Roman" w:cs="Times New Roman"/>
          <w:b/>
          <w:bCs/>
          <w:sz w:val="27"/>
          <w:szCs w:val="27"/>
        </w:rPr>
      </w:pPr>
      <w:r w:rsidRPr="00A5115D">
        <w:rPr>
          <w:rFonts w:ascii="Times New Roman" w:eastAsia="Times New Roman" w:hAnsi="Times New Roman" w:cs="Times New Roman"/>
          <w:b/>
          <w:bCs/>
          <w:sz w:val="27"/>
          <w:szCs w:val="27"/>
        </w:rPr>
        <w:t>Options Score</w:t>
      </w:r>
    </w:p>
    <w:p w14:paraId="6E0BDB38" w14:textId="77777777" w:rsidR="00A5115D" w:rsidRPr="00A5115D" w:rsidRDefault="00A5115D" w:rsidP="00A51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5115D">
        <w:rPr>
          <w:rFonts w:ascii="Courier New" w:eastAsia="Times New Roman" w:hAnsi="Courier New" w:cs="Courier New"/>
          <w:sz w:val="20"/>
          <w:szCs w:val="20"/>
        </w:rPr>
        <w:t>Options Score</w:t>
      </w:r>
    </w:p>
    <w:p w14:paraId="57E5E934" w14:textId="77777777" w:rsidR="00A5115D" w:rsidRPr="00A5115D" w:rsidRDefault="00A5115D" w:rsidP="00A51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306574" w14:textId="77777777" w:rsidR="00A5115D" w:rsidRPr="00A5115D" w:rsidRDefault="00A5115D" w:rsidP="00A51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5115D">
        <w:rPr>
          <w:rFonts w:ascii="Courier New" w:eastAsia="Times New Roman" w:hAnsi="Courier New" w:cs="Courier New"/>
          <w:sz w:val="20"/>
          <w:szCs w:val="20"/>
        </w:rPr>
        <w:t>=</w:t>
      </w:r>
    </w:p>
    <w:p w14:paraId="1DB0ECC2" w14:textId="77777777" w:rsidR="00A5115D" w:rsidRPr="00A5115D" w:rsidRDefault="00A5115D" w:rsidP="00A51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778B3F" w14:textId="77777777" w:rsidR="00A5115D" w:rsidRPr="00A5115D" w:rsidRDefault="00A5115D" w:rsidP="00A51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5115D">
        <w:rPr>
          <w:rFonts w:ascii="Courier New" w:eastAsia="Times New Roman" w:hAnsi="Courier New" w:cs="Courier New"/>
          <w:sz w:val="20"/>
          <w:szCs w:val="20"/>
        </w:rPr>
        <w:t>Σ (Indicator Score × Engine Weight)</w:t>
      </w:r>
    </w:p>
    <w:p w14:paraId="3025AF47" w14:textId="77777777" w:rsidR="00A5115D" w:rsidRPr="00A5115D" w:rsidRDefault="00A5115D" w:rsidP="00A51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C203E5" w14:textId="77777777" w:rsidR="00A5115D" w:rsidRPr="00A5115D" w:rsidRDefault="00A5115D" w:rsidP="00A51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5115D">
        <w:rPr>
          <w:rFonts w:ascii="Courier New" w:eastAsia="Times New Roman" w:hAnsi="Courier New" w:cs="Courier New"/>
          <w:sz w:val="20"/>
          <w:szCs w:val="20"/>
        </w:rPr>
        <w:t>÷</w:t>
      </w:r>
    </w:p>
    <w:p w14:paraId="1E1C3E83" w14:textId="77777777" w:rsidR="00A5115D" w:rsidRPr="00A5115D" w:rsidRDefault="00A5115D" w:rsidP="00A51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96E4A8" w14:textId="77777777" w:rsidR="00A5115D" w:rsidRPr="00A5115D" w:rsidRDefault="00A5115D" w:rsidP="00A51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5115D">
        <w:rPr>
          <w:rFonts w:ascii="Courier New" w:eastAsia="Times New Roman" w:hAnsi="Courier New" w:cs="Courier New"/>
          <w:sz w:val="20"/>
          <w:szCs w:val="20"/>
        </w:rPr>
        <w:t>Σ (Engine Weight)</w:t>
      </w:r>
    </w:p>
    <w:p w14:paraId="03CEDC4C" w14:textId="77777777" w:rsidR="00A5115D" w:rsidRPr="00A5115D" w:rsidRDefault="00A5115D" w:rsidP="00A5115D">
      <w:pPr>
        <w:spacing w:before="100" w:beforeAutospacing="1" w:after="100" w:afterAutospacing="1" w:line="240" w:lineRule="auto"/>
        <w:outlineLvl w:val="2"/>
        <w:rPr>
          <w:rFonts w:ascii="Times New Roman" w:eastAsia="Times New Roman" w:hAnsi="Times New Roman" w:cs="Times New Roman"/>
          <w:b/>
          <w:bCs/>
          <w:sz w:val="27"/>
          <w:szCs w:val="27"/>
        </w:rPr>
      </w:pPr>
      <w:r w:rsidRPr="00A5115D">
        <w:rPr>
          <w:rFonts w:ascii="Times New Roman" w:eastAsia="Times New Roman" w:hAnsi="Times New Roman" w:cs="Times New Roman"/>
          <w:b/>
          <w:bCs/>
          <w:sz w:val="27"/>
          <w:szCs w:val="27"/>
        </w:rPr>
        <w:t>Confidence</w:t>
      </w:r>
    </w:p>
    <w:p w14:paraId="31E60C3A" w14:textId="77777777" w:rsidR="00A5115D" w:rsidRPr="00A5115D" w:rsidRDefault="00A5115D" w:rsidP="00A51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5115D">
        <w:rPr>
          <w:rFonts w:ascii="Courier New" w:eastAsia="Times New Roman" w:hAnsi="Courier New" w:cs="Courier New"/>
          <w:sz w:val="20"/>
          <w:szCs w:val="20"/>
        </w:rPr>
        <w:t>Confidence</w:t>
      </w:r>
    </w:p>
    <w:p w14:paraId="616FE4E2" w14:textId="77777777" w:rsidR="00A5115D" w:rsidRPr="00A5115D" w:rsidRDefault="00A5115D" w:rsidP="00A51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ACADD0" w14:textId="77777777" w:rsidR="00A5115D" w:rsidRPr="00A5115D" w:rsidRDefault="00A5115D" w:rsidP="00A51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5115D">
        <w:rPr>
          <w:rFonts w:ascii="Courier New" w:eastAsia="Times New Roman" w:hAnsi="Courier New" w:cs="Courier New"/>
          <w:sz w:val="20"/>
          <w:szCs w:val="20"/>
        </w:rPr>
        <w:t>=</w:t>
      </w:r>
    </w:p>
    <w:p w14:paraId="2794B3C5" w14:textId="77777777" w:rsidR="00A5115D" w:rsidRPr="00A5115D" w:rsidRDefault="00A5115D" w:rsidP="00A51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C150AE" w14:textId="77777777" w:rsidR="00A5115D" w:rsidRPr="00A5115D" w:rsidRDefault="00A5115D" w:rsidP="00A51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5115D">
        <w:rPr>
          <w:rFonts w:ascii="Courier New" w:eastAsia="Times New Roman" w:hAnsi="Courier New" w:cs="Courier New"/>
          <w:sz w:val="20"/>
          <w:szCs w:val="20"/>
        </w:rPr>
        <w:t>Base Confidence</w:t>
      </w:r>
    </w:p>
    <w:p w14:paraId="2940DAF6" w14:textId="77777777" w:rsidR="00A5115D" w:rsidRPr="00A5115D" w:rsidRDefault="00A5115D" w:rsidP="00A51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1CC83D" w14:textId="77777777" w:rsidR="00A5115D" w:rsidRPr="00A5115D" w:rsidRDefault="00A5115D" w:rsidP="00A51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5115D">
        <w:rPr>
          <w:rFonts w:ascii="Courier New" w:eastAsia="Times New Roman" w:hAnsi="Courier New" w:cs="Courier New"/>
          <w:sz w:val="20"/>
          <w:szCs w:val="20"/>
        </w:rPr>
        <w:t>+</w:t>
      </w:r>
    </w:p>
    <w:p w14:paraId="433AA0D4" w14:textId="77777777" w:rsidR="00A5115D" w:rsidRPr="00A5115D" w:rsidRDefault="00A5115D" w:rsidP="00A51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38C899" w14:textId="77777777" w:rsidR="00A5115D" w:rsidRPr="00A5115D" w:rsidRDefault="00A5115D" w:rsidP="00A51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5115D">
        <w:rPr>
          <w:rFonts w:ascii="Courier New" w:eastAsia="Times New Roman" w:hAnsi="Courier New" w:cs="Courier New"/>
          <w:sz w:val="20"/>
          <w:szCs w:val="20"/>
        </w:rPr>
        <w:t>Positive Modifiers</w:t>
      </w:r>
    </w:p>
    <w:p w14:paraId="0C74586C" w14:textId="77777777" w:rsidR="00A5115D" w:rsidRPr="00A5115D" w:rsidRDefault="00A5115D" w:rsidP="00A51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70DB9B" w14:textId="77777777" w:rsidR="00A5115D" w:rsidRPr="00A5115D" w:rsidRDefault="00A5115D" w:rsidP="00A51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5115D">
        <w:rPr>
          <w:rFonts w:ascii="Courier New" w:eastAsia="Times New Roman" w:hAnsi="Courier New" w:cs="Courier New"/>
          <w:sz w:val="20"/>
          <w:szCs w:val="20"/>
        </w:rPr>
        <w:t>−</w:t>
      </w:r>
    </w:p>
    <w:p w14:paraId="12A5C83D" w14:textId="77777777" w:rsidR="00A5115D" w:rsidRPr="00A5115D" w:rsidRDefault="00A5115D" w:rsidP="00A51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FF9A75" w14:textId="77777777" w:rsidR="00A5115D" w:rsidRPr="00A5115D" w:rsidRDefault="00A5115D" w:rsidP="00A51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5115D">
        <w:rPr>
          <w:rFonts w:ascii="Courier New" w:eastAsia="Times New Roman" w:hAnsi="Courier New" w:cs="Courier New"/>
          <w:sz w:val="20"/>
          <w:szCs w:val="20"/>
        </w:rPr>
        <w:t>Negative Modifiers</w:t>
      </w:r>
    </w:p>
    <w:p w14:paraId="74D57396" w14:textId="77777777" w:rsidR="00A5115D" w:rsidRPr="00A5115D" w:rsidRDefault="00A5115D" w:rsidP="00A5115D">
      <w:pPr>
        <w:spacing w:before="100" w:beforeAutospacing="1" w:after="100" w:afterAutospacing="1" w:line="240" w:lineRule="auto"/>
        <w:outlineLvl w:val="2"/>
        <w:rPr>
          <w:rFonts w:ascii="Times New Roman" w:eastAsia="Times New Roman" w:hAnsi="Times New Roman" w:cs="Times New Roman"/>
          <w:b/>
          <w:bCs/>
          <w:sz w:val="27"/>
          <w:szCs w:val="27"/>
        </w:rPr>
      </w:pPr>
      <w:r w:rsidRPr="00A5115D">
        <w:rPr>
          <w:rFonts w:ascii="Times New Roman" w:eastAsia="Times New Roman" w:hAnsi="Times New Roman" w:cs="Times New Roman"/>
          <w:b/>
          <w:bCs/>
          <w:sz w:val="27"/>
          <w:szCs w:val="27"/>
        </w:rPr>
        <w:t>Final Score Range</w:t>
      </w:r>
    </w:p>
    <w:p w14:paraId="3BC02FB6" w14:textId="77777777" w:rsidR="00A5115D" w:rsidRPr="00A5115D" w:rsidRDefault="00A5115D" w:rsidP="00A51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5115D">
        <w:rPr>
          <w:rFonts w:ascii="Courier New" w:eastAsia="Times New Roman" w:hAnsi="Courier New" w:cs="Courier New"/>
          <w:sz w:val="20"/>
          <w:szCs w:val="20"/>
        </w:rPr>
        <w:t>0 – 100</w:t>
      </w:r>
    </w:p>
    <w:p w14:paraId="56F33A73" w14:textId="77777777" w:rsidR="00A5115D" w:rsidRPr="00A5115D" w:rsidRDefault="00A5115D" w:rsidP="00A5115D">
      <w:pPr>
        <w:spacing w:before="100" w:beforeAutospacing="1" w:after="100" w:afterAutospacing="1" w:line="240" w:lineRule="auto"/>
        <w:outlineLvl w:val="2"/>
        <w:rPr>
          <w:rFonts w:ascii="Times New Roman" w:eastAsia="Times New Roman" w:hAnsi="Times New Roman" w:cs="Times New Roman"/>
          <w:b/>
          <w:bCs/>
          <w:sz w:val="27"/>
          <w:szCs w:val="27"/>
        </w:rPr>
      </w:pPr>
      <w:r w:rsidRPr="00A5115D">
        <w:rPr>
          <w:rFonts w:ascii="Times New Roman" w:eastAsia="Times New Roman" w:hAnsi="Times New Roman" w:cs="Times New Roman"/>
          <w:b/>
          <w:bCs/>
          <w:sz w:val="27"/>
          <w:szCs w:val="27"/>
        </w:rPr>
        <w:t>Final Confidence Range</w:t>
      </w:r>
    </w:p>
    <w:p w14:paraId="4C1625BE" w14:textId="77777777" w:rsidR="00A5115D" w:rsidRPr="00A5115D" w:rsidRDefault="00A5115D" w:rsidP="00A51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5115D">
        <w:rPr>
          <w:rFonts w:ascii="Courier New" w:eastAsia="Times New Roman" w:hAnsi="Courier New" w:cs="Courier New"/>
          <w:sz w:val="20"/>
          <w:szCs w:val="20"/>
        </w:rPr>
        <w:t>0 – 100</w:t>
      </w:r>
    </w:p>
    <w:p w14:paraId="08B2CD4F" w14:textId="77777777" w:rsidR="00A5115D" w:rsidRPr="00A5115D" w:rsidRDefault="00A5115D" w:rsidP="00A5115D">
      <w:pPr>
        <w:spacing w:after="0"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pict w14:anchorId="5EFD5333">
          <v:rect id="_x0000_i1577" style="width:0;height:1.5pt" o:hralign="center" o:hrstd="t" o:hr="t" fillcolor="#a0a0a0" stroked="f"/>
        </w:pict>
      </w:r>
    </w:p>
    <w:p w14:paraId="4E7AF6A9" w14:textId="77777777" w:rsidR="00A5115D" w:rsidRPr="00A5115D" w:rsidRDefault="00A5115D" w:rsidP="00A5115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115D">
        <w:rPr>
          <w:rFonts w:ascii="Times New Roman" w:eastAsia="Times New Roman" w:hAnsi="Times New Roman" w:cs="Times New Roman"/>
          <w:b/>
          <w:bCs/>
          <w:kern w:val="36"/>
          <w:sz w:val="48"/>
          <w:szCs w:val="48"/>
        </w:rPr>
        <w:t>Why these weights?</w:t>
      </w:r>
    </w:p>
    <w:p w14:paraId="5E559C9E" w14:textId="77777777" w:rsidR="00A5115D" w:rsidRPr="00A5115D" w:rsidRDefault="00A5115D" w:rsidP="00A5115D">
      <w:pPr>
        <w:spacing w:before="100" w:beforeAutospacing="1" w:after="100" w:afterAutospacing="1"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sz w:val="24"/>
          <w:szCs w:val="24"/>
        </w:rPr>
        <w:lastRenderedPageBreak/>
        <w:t>These weights are based on the relative importance of options indicators used by professional derivatives traders, institutional participants, and NSE option chain analysis.</w:t>
      </w:r>
    </w:p>
    <w:p w14:paraId="15663078" w14:textId="77777777" w:rsidR="00A5115D" w:rsidRPr="00A5115D" w:rsidRDefault="00A5115D" w:rsidP="00A5115D">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b/>
          <w:bCs/>
          <w:sz w:val="24"/>
          <w:szCs w:val="24"/>
        </w:rPr>
        <w:t>Open Interest Change (14%)</w:t>
      </w:r>
      <w:r w:rsidRPr="00A5115D">
        <w:rPr>
          <w:rFonts w:ascii="Times New Roman" w:eastAsia="Times New Roman" w:hAnsi="Times New Roman" w:cs="Times New Roman"/>
          <w:sz w:val="24"/>
          <w:szCs w:val="24"/>
        </w:rPr>
        <w:t xml:space="preserve"> receives the highest weight because it reveals whether fresh money is entering or exiting the market, making it the strongest indicator of institutional positioning. </w:t>
      </w:r>
    </w:p>
    <w:p w14:paraId="0C5E219F" w14:textId="77777777" w:rsidR="00A5115D" w:rsidRPr="00A5115D" w:rsidRDefault="00A5115D" w:rsidP="00A5115D">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b/>
          <w:bCs/>
          <w:sz w:val="24"/>
          <w:szCs w:val="24"/>
        </w:rPr>
        <w:t>PCR (Open Interest) (13%)</w:t>
      </w:r>
      <w:r w:rsidRPr="00A5115D">
        <w:rPr>
          <w:rFonts w:ascii="Times New Roman" w:eastAsia="Times New Roman" w:hAnsi="Times New Roman" w:cs="Times New Roman"/>
          <w:sz w:val="24"/>
          <w:szCs w:val="24"/>
        </w:rPr>
        <w:t xml:space="preserve"> is the primary sentiment indicator and is widely used to identify bullish, bearish, and contrarian positioning. </w:t>
      </w:r>
    </w:p>
    <w:p w14:paraId="123C82D1" w14:textId="77777777" w:rsidR="00A5115D" w:rsidRPr="00A5115D" w:rsidRDefault="00A5115D" w:rsidP="00A5115D">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b/>
          <w:bCs/>
          <w:sz w:val="24"/>
          <w:szCs w:val="24"/>
        </w:rPr>
        <w:t>ATM Implied Volatility (10%)</w:t>
      </w:r>
      <w:r w:rsidRPr="00A5115D">
        <w:rPr>
          <w:rFonts w:ascii="Times New Roman" w:eastAsia="Times New Roman" w:hAnsi="Times New Roman" w:cs="Times New Roman"/>
          <w:sz w:val="24"/>
          <w:szCs w:val="24"/>
        </w:rPr>
        <w:t xml:space="preserve"> is the foundation of volatility analysis and directly influences option pricing and risk. </w:t>
      </w:r>
    </w:p>
    <w:p w14:paraId="36734C4A" w14:textId="77777777" w:rsidR="00A5115D" w:rsidRPr="00A5115D" w:rsidRDefault="00A5115D" w:rsidP="00A5115D">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b/>
          <w:bCs/>
          <w:sz w:val="24"/>
          <w:szCs w:val="24"/>
        </w:rPr>
        <w:t>Max Pain (10%)</w:t>
      </w:r>
      <w:r w:rsidRPr="00A5115D">
        <w:rPr>
          <w:rFonts w:ascii="Times New Roman" w:eastAsia="Times New Roman" w:hAnsi="Times New Roman" w:cs="Times New Roman"/>
          <w:sz w:val="24"/>
          <w:szCs w:val="24"/>
        </w:rPr>
        <w:t xml:space="preserve"> becomes increasingly valuable during expiry and provides insight into institutional expiry positioning. </w:t>
      </w:r>
    </w:p>
    <w:p w14:paraId="00428DDA" w14:textId="77777777" w:rsidR="00A5115D" w:rsidRPr="00A5115D" w:rsidRDefault="00A5115D" w:rsidP="00A5115D">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b/>
          <w:bCs/>
          <w:sz w:val="24"/>
          <w:szCs w:val="24"/>
        </w:rPr>
        <w:t>Delta (8%)</w:t>
      </w:r>
      <w:r w:rsidRPr="00A5115D">
        <w:rPr>
          <w:rFonts w:ascii="Times New Roman" w:eastAsia="Times New Roman" w:hAnsi="Times New Roman" w:cs="Times New Roman"/>
          <w:sz w:val="24"/>
          <w:szCs w:val="24"/>
        </w:rPr>
        <w:t xml:space="preserve"> is the most important Greek, measuring directional exposure and option responsiveness to underlying price movement. </w:t>
      </w:r>
    </w:p>
    <w:p w14:paraId="144884F1" w14:textId="77777777" w:rsidR="00A5115D" w:rsidRPr="00A5115D" w:rsidRDefault="00A5115D" w:rsidP="00A5115D">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b/>
          <w:bCs/>
          <w:sz w:val="24"/>
          <w:szCs w:val="24"/>
        </w:rPr>
        <w:t>Total Call OI (8%)</w:t>
      </w:r>
      <w:r w:rsidRPr="00A5115D">
        <w:rPr>
          <w:rFonts w:ascii="Times New Roman" w:eastAsia="Times New Roman" w:hAnsi="Times New Roman" w:cs="Times New Roman"/>
          <w:sz w:val="24"/>
          <w:szCs w:val="24"/>
        </w:rPr>
        <w:t xml:space="preserve"> and </w:t>
      </w:r>
      <w:r w:rsidRPr="00A5115D">
        <w:rPr>
          <w:rFonts w:ascii="Times New Roman" w:eastAsia="Times New Roman" w:hAnsi="Times New Roman" w:cs="Times New Roman"/>
          <w:b/>
          <w:bCs/>
          <w:sz w:val="24"/>
          <w:szCs w:val="24"/>
        </w:rPr>
        <w:t>Total Put OI (8%)</w:t>
      </w:r>
      <w:r w:rsidRPr="00A5115D">
        <w:rPr>
          <w:rFonts w:ascii="Times New Roman" w:eastAsia="Times New Roman" w:hAnsi="Times New Roman" w:cs="Times New Roman"/>
          <w:sz w:val="24"/>
          <w:szCs w:val="24"/>
        </w:rPr>
        <w:t xml:space="preserve"> identify major resistance and support zones created by option writers. </w:t>
      </w:r>
    </w:p>
    <w:p w14:paraId="3D20D37D" w14:textId="77777777" w:rsidR="00A5115D" w:rsidRPr="00A5115D" w:rsidRDefault="00A5115D" w:rsidP="00A5115D">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b/>
          <w:bCs/>
          <w:sz w:val="24"/>
          <w:szCs w:val="24"/>
        </w:rPr>
        <w:t>IV Rank (6%)</w:t>
      </w:r>
      <w:r w:rsidRPr="00A5115D">
        <w:rPr>
          <w:rFonts w:ascii="Times New Roman" w:eastAsia="Times New Roman" w:hAnsi="Times New Roman" w:cs="Times New Roman"/>
          <w:sz w:val="24"/>
          <w:szCs w:val="24"/>
        </w:rPr>
        <w:t xml:space="preserve"> provides historical context for current implied volatility, while </w:t>
      </w:r>
      <w:r w:rsidRPr="00A5115D">
        <w:rPr>
          <w:rFonts w:ascii="Times New Roman" w:eastAsia="Times New Roman" w:hAnsi="Times New Roman" w:cs="Times New Roman"/>
          <w:b/>
          <w:bCs/>
          <w:sz w:val="24"/>
          <w:szCs w:val="24"/>
        </w:rPr>
        <w:t>PCR (Volume) (7%)</w:t>
      </w:r>
      <w:r w:rsidRPr="00A5115D">
        <w:rPr>
          <w:rFonts w:ascii="Times New Roman" w:eastAsia="Times New Roman" w:hAnsi="Times New Roman" w:cs="Times New Roman"/>
          <w:sz w:val="24"/>
          <w:szCs w:val="24"/>
        </w:rPr>
        <w:t xml:space="preserve"> offers faster but less reliable sentiment confirmation. </w:t>
      </w:r>
    </w:p>
    <w:p w14:paraId="2F5E44A0" w14:textId="77777777" w:rsidR="00A5115D" w:rsidRPr="00A5115D" w:rsidRDefault="00A5115D" w:rsidP="00A5115D">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A5115D">
        <w:rPr>
          <w:rFonts w:ascii="Times New Roman" w:eastAsia="Times New Roman" w:hAnsi="Times New Roman" w:cs="Times New Roman"/>
          <w:b/>
          <w:bCs/>
          <w:sz w:val="24"/>
          <w:szCs w:val="24"/>
        </w:rPr>
        <w:t>Gamma, Theta, Vega, and IV Percentile (4% each)</w:t>
      </w:r>
      <w:r w:rsidRPr="00A5115D">
        <w:rPr>
          <w:rFonts w:ascii="Times New Roman" w:eastAsia="Times New Roman" w:hAnsi="Times New Roman" w:cs="Times New Roman"/>
          <w:sz w:val="24"/>
          <w:szCs w:val="24"/>
        </w:rPr>
        <w:t xml:space="preserve"> serve as supporting indicators that refine risk assessment and option pricing without dominating the overall Options Score.</w:t>
      </w:r>
    </w:p>
    <w:p w14:paraId="51B3289D" w14:textId="77777777" w:rsidR="00A5115D" w:rsidRDefault="00A5115D"/>
    <w:sectPr w:rsidR="00A511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77ED9"/>
    <w:multiLevelType w:val="multilevel"/>
    <w:tmpl w:val="343E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671E8"/>
    <w:multiLevelType w:val="multilevel"/>
    <w:tmpl w:val="2C00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41C79"/>
    <w:multiLevelType w:val="multilevel"/>
    <w:tmpl w:val="FB4A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35971"/>
    <w:multiLevelType w:val="multilevel"/>
    <w:tmpl w:val="FAD8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C3299"/>
    <w:multiLevelType w:val="multilevel"/>
    <w:tmpl w:val="84E4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E33E3"/>
    <w:multiLevelType w:val="multilevel"/>
    <w:tmpl w:val="9454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C517D9"/>
    <w:multiLevelType w:val="multilevel"/>
    <w:tmpl w:val="2576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DA3E99"/>
    <w:multiLevelType w:val="multilevel"/>
    <w:tmpl w:val="6E44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42FA6"/>
    <w:multiLevelType w:val="multilevel"/>
    <w:tmpl w:val="6406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97978"/>
    <w:multiLevelType w:val="multilevel"/>
    <w:tmpl w:val="9A680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0618A5"/>
    <w:multiLevelType w:val="multilevel"/>
    <w:tmpl w:val="371A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154D49"/>
    <w:multiLevelType w:val="multilevel"/>
    <w:tmpl w:val="62BC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AD138D"/>
    <w:multiLevelType w:val="multilevel"/>
    <w:tmpl w:val="909C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CF7B2E"/>
    <w:multiLevelType w:val="multilevel"/>
    <w:tmpl w:val="F2E2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F17B03"/>
    <w:multiLevelType w:val="multilevel"/>
    <w:tmpl w:val="D986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5A2A7A"/>
    <w:multiLevelType w:val="multilevel"/>
    <w:tmpl w:val="8A46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E90E63"/>
    <w:multiLevelType w:val="multilevel"/>
    <w:tmpl w:val="4010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EB6D2E"/>
    <w:multiLevelType w:val="multilevel"/>
    <w:tmpl w:val="859C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166A4D"/>
    <w:multiLevelType w:val="multilevel"/>
    <w:tmpl w:val="C37E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71745B"/>
    <w:multiLevelType w:val="multilevel"/>
    <w:tmpl w:val="0F3E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995843"/>
    <w:multiLevelType w:val="multilevel"/>
    <w:tmpl w:val="99C8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D717B1"/>
    <w:multiLevelType w:val="multilevel"/>
    <w:tmpl w:val="0FEA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D512B1"/>
    <w:multiLevelType w:val="multilevel"/>
    <w:tmpl w:val="903C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2449DB"/>
    <w:multiLevelType w:val="multilevel"/>
    <w:tmpl w:val="3FDE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6E39AE"/>
    <w:multiLevelType w:val="multilevel"/>
    <w:tmpl w:val="0574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654C78"/>
    <w:multiLevelType w:val="multilevel"/>
    <w:tmpl w:val="9B3A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997C34"/>
    <w:multiLevelType w:val="multilevel"/>
    <w:tmpl w:val="35D2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1057E8"/>
    <w:multiLevelType w:val="multilevel"/>
    <w:tmpl w:val="5D94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7B680C"/>
    <w:multiLevelType w:val="multilevel"/>
    <w:tmpl w:val="A77A7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4955C71"/>
    <w:multiLevelType w:val="multilevel"/>
    <w:tmpl w:val="2818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AB1259"/>
    <w:multiLevelType w:val="multilevel"/>
    <w:tmpl w:val="1072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E37B8F"/>
    <w:multiLevelType w:val="multilevel"/>
    <w:tmpl w:val="D484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DF4C37"/>
    <w:multiLevelType w:val="multilevel"/>
    <w:tmpl w:val="3A5C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697728"/>
    <w:multiLevelType w:val="multilevel"/>
    <w:tmpl w:val="1506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EE6BBA"/>
    <w:multiLevelType w:val="multilevel"/>
    <w:tmpl w:val="3C28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4204CC"/>
    <w:multiLevelType w:val="multilevel"/>
    <w:tmpl w:val="6602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2A426F"/>
    <w:multiLevelType w:val="multilevel"/>
    <w:tmpl w:val="CA220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91E3946"/>
    <w:multiLevelType w:val="multilevel"/>
    <w:tmpl w:val="D990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6A167C"/>
    <w:multiLevelType w:val="multilevel"/>
    <w:tmpl w:val="9CB0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C0677A"/>
    <w:multiLevelType w:val="multilevel"/>
    <w:tmpl w:val="FE70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CC369C"/>
    <w:multiLevelType w:val="multilevel"/>
    <w:tmpl w:val="947E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3B605F"/>
    <w:multiLevelType w:val="multilevel"/>
    <w:tmpl w:val="D5EA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721D88"/>
    <w:multiLevelType w:val="multilevel"/>
    <w:tmpl w:val="308A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913DCF"/>
    <w:multiLevelType w:val="multilevel"/>
    <w:tmpl w:val="EAC4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B36164"/>
    <w:multiLevelType w:val="multilevel"/>
    <w:tmpl w:val="2DC2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DE40FF"/>
    <w:multiLevelType w:val="multilevel"/>
    <w:tmpl w:val="7F08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3D630D"/>
    <w:multiLevelType w:val="multilevel"/>
    <w:tmpl w:val="525C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A1639A"/>
    <w:multiLevelType w:val="multilevel"/>
    <w:tmpl w:val="A8F2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4F0043"/>
    <w:multiLevelType w:val="multilevel"/>
    <w:tmpl w:val="51E2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751AFD"/>
    <w:multiLevelType w:val="multilevel"/>
    <w:tmpl w:val="019E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774280"/>
    <w:multiLevelType w:val="multilevel"/>
    <w:tmpl w:val="CA80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9D7D76"/>
    <w:multiLevelType w:val="multilevel"/>
    <w:tmpl w:val="FAC6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ED5D7B"/>
    <w:multiLevelType w:val="multilevel"/>
    <w:tmpl w:val="05CE0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11F6B1C"/>
    <w:multiLevelType w:val="multilevel"/>
    <w:tmpl w:val="98DE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BB3346"/>
    <w:multiLevelType w:val="multilevel"/>
    <w:tmpl w:val="9414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5A0B69"/>
    <w:multiLevelType w:val="multilevel"/>
    <w:tmpl w:val="D87E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70607F"/>
    <w:multiLevelType w:val="multilevel"/>
    <w:tmpl w:val="5F18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D86779"/>
    <w:multiLevelType w:val="multilevel"/>
    <w:tmpl w:val="954A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290455"/>
    <w:multiLevelType w:val="multilevel"/>
    <w:tmpl w:val="A4B40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3F76E66"/>
    <w:multiLevelType w:val="multilevel"/>
    <w:tmpl w:val="0704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6D2EB7"/>
    <w:multiLevelType w:val="multilevel"/>
    <w:tmpl w:val="B9E64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5450721"/>
    <w:multiLevelType w:val="multilevel"/>
    <w:tmpl w:val="7A5C9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6E01B1A"/>
    <w:multiLevelType w:val="multilevel"/>
    <w:tmpl w:val="E0C0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EB4EC0"/>
    <w:multiLevelType w:val="multilevel"/>
    <w:tmpl w:val="B3A6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3C6F28"/>
    <w:multiLevelType w:val="multilevel"/>
    <w:tmpl w:val="5260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4B11B3"/>
    <w:multiLevelType w:val="multilevel"/>
    <w:tmpl w:val="7148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0A49F8"/>
    <w:multiLevelType w:val="multilevel"/>
    <w:tmpl w:val="EB92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754C17"/>
    <w:multiLevelType w:val="multilevel"/>
    <w:tmpl w:val="A632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A63545"/>
    <w:multiLevelType w:val="multilevel"/>
    <w:tmpl w:val="9732B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951532E"/>
    <w:multiLevelType w:val="multilevel"/>
    <w:tmpl w:val="C696E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9747F8A"/>
    <w:multiLevelType w:val="multilevel"/>
    <w:tmpl w:val="29868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A01333D"/>
    <w:multiLevelType w:val="multilevel"/>
    <w:tmpl w:val="D826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452E76"/>
    <w:multiLevelType w:val="multilevel"/>
    <w:tmpl w:val="64B4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5B0E85"/>
    <w:multiLevelType w:val="multilevel"/>
    <w:tmpl w:val="81E4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714D62"/>
    <w:multiLevelType w:val="multilevel"/>
    <w:tmpl w:val="CACA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906D65"/>
    <w:multiLevelType w:val="multilevel"/>
    <w:tmpl w:val="1116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432F33"/>
    <w:multiLevelType w:val="multilevel"/>
    <w:tmpl w:val="FD1E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ED24D5"/>
    <w:multiLevelType w:val="multilevel"/>
    <w:tmpl w:val="67E8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E6648AC"/>
    <w:multiLevelType w:val="multilevel"/>
    <w:tmpl w:val="6090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2F50B3"/>
    <w:multiLevelType w:val="multilevel"/>
    <w:tmpl w:val="3AEE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827D2"/>
    <w:multiLevelType w:val="multilevel"/>
    <w:tmpl w:val="E0941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280271E"/>
    <w:multiLevelType w:val="multilevel"/>
    <w:tmpl w:val="A1B8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8C6B4C"/>
    <w:multiLevelType w:val="multilevel"/>
    <w:tmpl w:val="23CC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2F87E9F"/>
    <w:multiLevelType w:val="multilevel"/>
    <w:tmpl w:val="F592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4B63F8"/>
    <w:multiLevelType w:val="multilevel"/>
    <w:tmpl w:val="CEA4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596D82"/>
    <w:multiLevelType w:val="multilevel"/>
    <w:tmpl w:val="C3C8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683167"/>
    <w:multiLevelType w:val="multilevel"/>
    <w:tmpl w:val="EB20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880E72"/>
    <w:multiLevelType w:val="multilevel"/>
    <w:tmpl w:val="C1B0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0E0FF4"/>
    <w:multiLevelType w:val="multilevel"/>
    <w:tmpl w:val="6E7E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08116B"/>
    <w:multiLevelType w:val="multilevel"/>
    <w:tmpl w:val="B24E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E228BE"/>
    <w:multiLevelType w:val="multilevel"/>
    <w:tmpl w:val="91AE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A02B6B"/>
    <w:multiLevelType w:val="multilevel"/>
    <w:tmpl w:val="ACC0C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8DA4371"/>
    <w:multiLevelType w:val="multilevel"/>
    <w:tmpl w:val="29E2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90362E5"/>
    <w:multiLevelType w:val="multilevel"/>
    <w:tmpl w:val="4AC8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9245765"/>
    <w:multiLevelType w:val="multilevel"/>
    <w:tmpl w:val="07EE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F203BE"/>
    <w:multiLevelType w:val="multilevel"/>
    <w:tmpl w:val="64AA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B3E7AD3"/>
    <w:multiLevelType w:val="multilevel"/>
    <w:tmpl w:val="9A58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6F5E49"/>
    <w:multiLevelType w:val="multilevel"/>
    <w:tmpl w:val="C910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C4E3EF1"/>
    <w:multiLevelType w:val="multilevel"/>
    <w:tmpl w:val="A67C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D187C61"/>
    <w:multiLevelType w:val="multilevel"/>
    <w:tmpl w:val="D4A4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D1E6AD9"/>
    <w:multiLevelType w:val="multilevel"/>
    <w:tmpl w:val="BEFE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DD30AFB"/>
    <w:multiLevelType w:val="multilevel"/>
    <w:tmpl w:val="DABC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DD84C46"/>
    <w:multiLevelType w:val="multilevel"/>
    <w:tmpl w:val="C84C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E352D1A"/>
    <w:multiLevelType w:val="multilevel"/>
    <w:tmpl w:val="F04C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E39433E"/>
    <w:multiLevelType w:val="multilevel"/>
    <w:tmpl w:val="E58C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6911D7"/>
    <w:multiLevelType w:val="multilevel"/>
    <w:tmpl w:val="1198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F573B82"/>
    <w:multiLevelType w:val="multilevel"/>
    <w:tmpl w:val="2E46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F736233"/>
    <w:multiLevelType w:val="multilevel"/>
    <w:tmpl w:val="EE6A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F753AD7"/>
    <w:multiLevelType w:val="multilevel"/>
    <w:tmpl w:val="21E4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F876B22"/>
    <w:multiLevelType w:val="multilevel"/>
    <w:tmpl w:val="AA76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00D00E1"/>
    <w:multiLevelType w:val="multilevel"/>
    <w:tmpl w:val="EDE2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01827E7"/>
    <w:multiLevelType w:val="multilevel"/>
    <w:tmpl w:val="0192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07870A3"/>
    <w:multiLevelType w:val="multilevel"/>
    <w:tmpl w:val="F8E0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11A49A6"/>
    <w:multiLevelType w:val="multilevel"/>
    <w:tmpl w:val="5900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1B80063"/>
    <w:multiLevelType w:val="multilevel"/>
    <w:tmpl w:val="F548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2B978EE"/>
    <w:multiLevelType w:val="multilevel"/>
    <w:tmpl w:val="455C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3303FE5"/>
    <w:multiLevelType w:val="multilevel"/>
    <w:tmpl w:val="F7D4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4081FF0"/>
    <w:multiLevelType w:val="multilevel"/>
    <w:tmpl w:val="D2046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45D5DBA"/>
    <w:multiLevelType w:val="multilevel"/>
    <w:tmpl w:val="CA90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4E5463A"/>
    <w:multiLevelType w:val="multilevel"/>
    <w:tmpl w:val="E23E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5434FF6"/>
    <w:multiLevelType w:val="multilevel"/>
    <w:tmpl w:val="A300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5674BAC"/>
    <w:multiLevelType w:val="multilevel"/>
    <w:tmpl w:val="87E6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5870738"/>
    <w:multiLevelType w:val="multilevel"/>
    <w:tmpl w:val="353E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6BD085B"/>
    <w:multiLevelType w:val="multilevel"/>
    <w:tmpl w:val="960E2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775104E"/>
    <w:multiLevelType w:val="multilevel"/>
    <w:tmpl w:val="7F5C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7A421A8"/>
    <w:multiLevelType w:val="multilevel"/>
    <w:tmpl w:val="B9A0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DB672D"/>
    <w:multiLevelType w:val="multilevel"/>
    <w:tmpl w:val="DE3E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8314B2A"/>
    <w:multiLevelType w:val="multilevel"/>
    <w:tmpl w:val="9B44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8576290"/>
    <w:multiLevelType w:val="multilevel"/>
    <w:tmpl w:val="CED0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8E660AF"/>
    <w:multiLevelType w:val="multilevel"/>
    <w:tmpl w:val="B37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9213D88"/>
    <w:multiLevelType w:val="multilevel"/>
    <w:tmpl w:val="B620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9E64154"/>
    <w:multiLevelType w:val="multilevel"/>
    <w:tmpl w:val="FB78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7D5A70"/>
    <w:multiLevelType w:val="multilevel"/>
    <w:tmpl w:val="785C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B1226DB"/>
    <w:multiLevelType w:val="multilevel"/>
    <w:tmpl w:val="B210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BD03338"/>
    <w:multiLevelType w:val="multilevel"/>
    <w:tmpl w:val="5C68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C9E19FF"/>
    <w:multiLevelType w:val="multilevel"/>
    <w:tmpl w:val="DFBCE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FB474BB"/>
    <w:multiLevelType w:val="multilevel"/>
    <w:tmpl w:val="12EA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DC0049"/>
    <w:multiLevelType w:val="multilevel"/>
    <w:tmpl w:val="4CE4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FF93930"/>
    <w:multiLevelType w:val="multilevel"/>
    <w:tmpl w:val="2876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1BF58A5"/>
    <w:multiLevelType w:val="multilevel"/>
    <w:tmpl w:val="FFFA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329040A"/>
    <w:multiLevelType w:val="multilevel"/>
    <w:tmpl w:val="31CE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4866C57"/>
    <w:multiLevelType w:val="multilevel"/>
    <w:tmpl w:val="3DF4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5392E92"/>
    <w:multiLevelType w:val="multilevel"/>
    <w:tmpl w:val="B51A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55600DA"/>
    <w:multiLevelType w:val="multilevel"/>
    <w:tmpl w:val="902C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6204D2C"/>
    <w:multiLevelType w:val="multilevel"/>
    <w:tmpl w:val="CC80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6A65F45"/>
    <w:multiLevelType w:val="multilevel"/>
    <w:tmpl w:val="6EC8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77914CB"/>
    <w:multiLevelType w:val="multilevel"/>
    <w:tmpl w:val="B440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DD7481"/>
    <w:multiLevelType w:val="multilevel"/>
    <w:tmpl w:val="99B2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8614D11"/>
    <w:multiLevelType w:val="multilevel"/>
    <w:tmpl w:val="B3C4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929338B"/>
    <w:multiLevelType w:val="multilevel"/>
    <w:tmpl w:val="198E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5F5F0D"/>
    <w:multiLevelType w:val="multilevel"/>
    <w:tmpl w:val="5EE6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991332"/>
    <w:multiLevelType w:val="multilevel"/>
    <w:tmpl w:val="3DBA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D61F1F"/>
    <w:multiLevelType w:val="multilevel"/>
    <w:tmpl w:val="2444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9E57BCD"/>
    <w:multiLevelType w:val="multilevel"/>
    <w:tmpl w:val="5F780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A177AA1"/>
    <w:multiLevelType w:val="multilevel"/>
    <w:tmpl w:val="68863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AEC649D"/>
    <w:multiLevelType w:val="multilevel"/>
    <w:tmpl w:val="6068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BB03E34"/>
    <w:multiLevelType w:val="multilevel"/>
    <w:tmpl w:val="0D2A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C2B1EEF"/>
    <w:multiLevelType w:val="multilevel"/>
    <w:tmpl w:val="DF14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C6F51F2"/>
    <w:multiLevelType w:val="multilevel"/>
    <w:tmpl w:val="CF2C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C8E7A04"/>
    <w:multiLevelType w:val="multilevel"/>
    <w:tmpl w:val="59E4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D1D7B2F"/>
    <w:multiLevelType w:val="multilevel"/>
    <w:tmpl w:val="23B8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D52675B"/>
    <w:multiLevelType w:val="multilevel"/>
    <w:tmpl w:val="B56E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DA31144"/>
    <w:multiLevelType w:val="multilevel"/>
    <w:tmpl w:val="3E86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E0123EF"/>
    <w:multiLevelType w:val="multilevel"/>
    <w:tmpl w:val="9438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E0A69AB"/>
    <w:multiLevelType w:val="multilevel"/>
    <w:tmpl w:val="4558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E105AC1"/>
    <w:multiLevelType w:val="multilevel"/>
    <w:tmpl w:val="B4EC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E750B46"/>
    <w:multiLevelType w:val="multilevel"/>
    <w:tmpl w:val="6A5C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EA955C3"/>
    <w:multiLevelType w:val="multilevel"/>
    <w:tmpl w:val="AB04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F2259A2"/>
    <w:multiLevelType w:val="multilevel"/>
    <w:tmpl w:val="D44A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F5D2B2C"/>
    <w:multiLevelType w:val="multilevel"/>
    <w:tmpl w:val="F77C1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1357FA5"/>
    <w:multiLevelType w:val="multilevel"/>
    <w:tmpl w:val="71B2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1D750A9"/>
    <w:multiLevelType w:val="multilevel"/>
    <w:tmpl w:val="599A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1EA08EA"/>
    <w:multiLevelType w:val="multilevel"/>
    <w:tmpl w:val="3A30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2D424F0"/>
    <w:multiLevelType w:val="multilevel"/>
    <w:tmpl w:val="AD74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2EF29FE"/>
    <w:multiLevelType w:val="multilevel"/>
    <w:tmpl w:val="49F6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3410174"/>
    <w:multiLevelType w:val="multilevel"/>
    <w:tmpl w:val="E7FE9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3E05D3B"/>
    <w:multiLevelType w:val="multilevel"/>
    <w:tmpl w:val="EABE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405700B"/>
    <w:multiLevelType w:val="multilevel"/>
    <w:tmpl w:val="5A4C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52208F5"/>
    <w:multiLevelType w:val="multilevel"/>
    <w:tmpl w:val="8D7E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5694023"/>
    <w:multiLevelType w:val="multilevel"/>
    <w:tmpl w:val="9662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5F12030"/>
    <w:multiLevelType w:val="multilevel"/>
    <w:tmpl w:val="328A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6FE5914"/>
    <w:multiLevelType w:val="multilevel"/>
    <w:tmpl w:val="46D0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83C2398"/>
    <w:multiLevelType w:val="multilevel"/>
    <w:tmpl w:val="85F2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85A0F50"/>
    <w:multiLevelType w:val="multilevel"/>
    <w:tmpl w:val="6AAA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8F66FFF"/>
    <w:multiLevelType w:val="multilevel"/>
    <w:tmpl w:val="BDA87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91F1DAA"/>
    <w:multiLevelType w:val="multilevel"/>
    <w:tmpl w:val="8454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99D0C49"/>
    <w:multiLevelType w:val="multilevel"/>
    <w:tmpl w:val="16F8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A010896"/>
    <w:multiLevelType w:val="multilevel"/>
    <w:tmpl w:val="3AC4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A557DCB"/>
    <w:multiLevelType w:val="multilevel"/>
    <w:tmpl w:val="472E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AD06E64"/>
    <w:multiLevelType w:val="multilevel"/>
    <w:tmpl w:val="67C6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AD831D6"/>
    <w:multiLevelType w:val="multilevel"/>
    <w:tmpl w:val="59A4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B381CDC"/>
    <w:multiLevelType w:val="multilevel"/>
    <w:tmpl w:val="D224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B752338"/>
    <w:multiLevelType w:val="multilevel"/>
    <w:tmpl w:val="CC1A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B852DA2"/>
    <w:multiLevelType w:val="multilevel"/>
    <w:tmpl w:val="DBD2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CBB06FB"/>
    <w:multiLevelType w:val="multilevel"/>
    <w:tmpl w:val="F7F0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D3F460A"/>
    <w:multiLevelType w:val="multilevel"/>
    <w:tmpl w:val="7E8E7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DAE7C6C"/>
    <w:multiLevelType w:val="multilevel"/>
    <w:tmpl w:val="2576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04B4A37"/>
    <w:multiLevelType w:val="multilevel"/>
    <w:tmpl w:val="BAFE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06826E3"/>
    <w:multiLevelType w:val="multilevel"/>
    <w:tmpl w:val="299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0AD7C72"/>
    <w:multiLevelType w:val="multilevel"/>
    <w:tmpl w:val="E6364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0F40DC1"/>
    <w:multiLevelType w:val="multilevel"/>
    <w:tmpl w:val="8C647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13016E9"/>
    <w:multiLevelType w:val="multilevel"/>
    <w:tmpl w:val="25F2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15636E4"/>
    <w:multiLevelType w:val="multilevel"/>
    <w:tmpl w:val="2AF4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15A5685"/>
    <w:multiLevelType w:val="multilevel"/>
    <w:tmpl w:val="CDCE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1C727F8"/>
    <w:multiLevelType w:val="multilevel"/>
    <w:tmpl w:val="31F4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2A912EB"/>
    <w:multiLevelType w:val="multilevel"/>
    <w:tmpl w:val="CE60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2E75900"/>
    <w:multiLevelType w:val="multilevel"/>
    <w:tmpl w:val="3664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30C57BC"/>
    <w:multiLevelType w:val="multilevel"/>
    <w:tmpl w:val="336AE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3357A38"/>
    <w:multiLevelType w:val="multilevel"/>
    <w:tmpl w:val="128E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3671138"/>
    <w:multiLevelType w:val="multilevel"/>
    <w:tmpl w:val="911A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45D5676"/>
    <w:multiLevelType w:val="multilevel"/>
    <w:tmpl w:val="7C566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4B06296"/>
    <w:multiLevelType w:val="multilevel"/>
    <w:tmpl w:val="D8ACE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5935714"/>
    <w:multiLevelType w:val="multilevel"/>
    <w:tmpl w:val="A4D87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68933BF"/>
    <w:multiLevelType w:val="multilevel"/>
    <w:tmpl w:val="C0BC7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71A6C11"/>
    <w:multiLevelType w:val="multilevel"/>
    <w:tmpl w:val="4030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7622EFB"/>
    <w:multiLevelType w:val="multilevel"/>
    <w:tmpl w:val="2402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84F3C35"/>
    <w:multiLevelType w:val="multilevel"/>
    <w:tmpl w:val="0D32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8895FA9"/>
    <w:multiLevelType w:val="multilevel"/>
    <w:tmpl w:val="5FE0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8C90EB1"/>
    <w:multiLevelType w:val="multilevel"/>
    <w:tmpl w:val="799C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903302B"/>
    <w:multiLevelType w:val="multilevel"/>
    <w:tmpl w:val="578E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90A4EC5"/>
    <w:multiLevelType w:val="multilevel"/>
    <w:tmpl w:val="58A4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9B85F00"/>
    <w:multiLevelType w:val="multilevel"/>
    <w:tmpl w:val="B91C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9CF5351"/>
    <w:multiLevelType w:val="multilevel"/>
    <w:tmpl w:val="352A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9DA7407"/>
    <w:multiLevelType w:val="multilevel"/>
    <w:tmpl w:val="DD72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A6C5939"/>
    <w:multiLevelType w:val="multilevel"/>
    <w:tmpl w:val="3C08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ADF02C1"/>
    <w:multiLevelType w:val="multilevel"/>
    <w:tmpl w:val="8E36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B0F328A"/>
    <w:multiLevelType w:val="multilevel"/>
    <w:tmpl w:val="2F8A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B997C1B"/>
    <w:multiLevelType w:val="multilevel"/>
    <w:tmpl w:val="D5F4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C232E97"/>
    <w:multiLevelType w:val="multilevel"/>
    <w:tmpl w:val="2C54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C5637B6"/>
    <w:multiLevelType w:val="multilevel"/>
    <w:tmpl w:val="E746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D172542"/>
    <w:multiLevelType w:val="multilevel"/>
    <w:tmpl w:val="111A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DA45838"/>
    <w:multiLevelType w:val="multilevel"/>
    <w:tmpl w:val="4B4E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DBD0278"/>
    <w:multiLevelType w:val="multilevel"/>
    <w:tmpl w:val="BA0A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E1A7380"/>
    <w:multiLevelType w:val="multilevel"/>
    <w:tmpl w:val="8158A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FC758E0"/>
    <w:multiLevelType w:val="multilevel"/>
    <w:tmpl w:val="866E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965238">
    <w:abstractNumId w:val="164"/>
  </w:num>
  <w:num w:numId="2" w16cid:durableId="522980102">
    <w:abstractNumId w:val="232"/>
  </w:num>
  <w:num w:numId="3" w16cid:durableId="74255363">
    <w:abstractNumId w:val="61"/>
  </w:num>
  <w:num w:numId="4" w16cid:durableId="34088692">
    <w:abstractNumId w:val="30"/>
  </w:num>
  <w:num w:numId="5" w16cid:durableId="718475022">
    <w:abstractNumId w:val="201"/>
  </w:num>
  <w:num w:numId="6" w16cid:durableId="825823879">
    <w:abstractNumId w:val="219"/>
  </w:num>
  <w:num w:numId="7" w16cid:durableId="1958752622">
    <w:abstractNumId w:val="97"/>
  </w:num>
  <w:num w:numId="8" w16cid:durableId="281232542">
    <w:abstractNumId w:val="86"/>
  </w:num>
  <w:num w:numId="9" w16cid:durableId="833685848">
    <w:abstractNumId w:val="29"/>
  </w:num>
  <w:num w:numId="10" w16cid:durableId="321737307">
    <w:abstractNumId w:val="129"/>
  </w:num>
  <w:num w:numId="11" w16cid:durableId="747848388">
    <w:abstractNumId w:val="87"/>
  </w:num>
  <w:num w:numId="12" w16cid:durableId="647782783">
    <w:abstractNumId w:val="60"/>
  </w:num>
  <w:num w:numId="13" w16cid:durableId="101845507">
    <w:abstractNumId w:val="228"/>
  </w:num>
  <w:num w:numId="14" w16cid:durableId="996811533">
    <w:abstractNumId w:val="137"/>
  </w:num>
  <w:num w:numId="15" w16cid:durableId="1924216814">
    <w:abstractNumId w:val="47"/>
  </w:num>
  <w:num w:numId="16" w16cid:durableId="1987927975">
    <w:abstractNumId w:val="213"/>
  </w:num>
  <w:num w:numId="17" w16cid:durableId="1495294967">
    <w:abstractNumId w:val="45"/>
  </w:num>
  <w:num w:numId="18" w16cid:durableId="910504223">
    <w:abstractNumId w:val="100"/>
  </w:num>
  <w:num w:numId="19" w16cid:durableId="722022090">
    <w:abstractNumId w:val="20"/>
  </w:num>
  <w:num w:numId="20" w16cid:durableId="877400193">
    <w:abstractNumId w:val="134"/>
  </w:num>
  <w:num w:numId="21" w16cid:durableId="1436558683">
    <w:abstractNumId w:val="39"/>
  </w:num>
  <w:num w:numId="22" w16cid:durableId="1053041959">
    <w:abstractNumId w:val="66"/>
  </w:num>
  <w:num w:numId="23" w16cid:durableId="121774932">
    <w:abstractNumId w:val="46"/>
  </w:num>
  <w:num w:numId="24" w16cid:durableId="119492306">
    <w:abstractNumId w:val="74"/>
  </w:num>
  <w:num w:numId="25" w16cid:durableId="243807195">
    <w:abstractNumId w:val="68"/>
  </w:num>
  <w:num w:numId="26" w16cid:durableId="376972378">
    <w:abstractNumId w:val="121"/>
  </w:num>
  <w:num w:numId="27" w16cid:durableId="92290144">
    <w:abstractNumId w:val="34"/>
  </w:num>
  <w:num w:numId="28" w16cid:durableId="1993563565">
    <w:abstractNumId w:val="143"/>
  </w:num>
  <w:num w:numId="29" w16cid:durableId="255211051">
    <w:abstractNumId w:val="154"/>
  </w:num>
  <w:num w:numId="30" w16cid:durableId="1548101396">
    <w:abstractNumId w:val="112"/>
  </w:num>
  <w:num w:numId="31" w16cid:durableId="1560437229">
    <w:abstractNumId w:val="176"/>
  </w:num>
  <w:num w:numId="32" w16cid:durableId="196507682">
    <w:abstractNumId w:val="38"/>
  </w:num>
  <w:num w:numId="33" w16cid:durableId="125123133">
    <w:abstractNumId w:val="37"/>
  </w:num>
  <w:num w:numId="34" w16cid:durableId="2093157881">
    <w:abstractNumId w:val="71"/>
  </w:num>
  <w:num w:numId="35" w16cid:durableId="1283535399">
    <w:abstractNumId w:val="65"/>
  </w:num>
  <w:num w:numId="36" w16cid:durableId="925529726">
    <w:abstractNumId w:val="218"/>
  </w:num>
  <w:num w:numId="37" w16cid:durableId="405224139">
    <w:abstractNumId w:val="96"/>
  </w:num>
  <w:num w:numId="38" w16cid:durableId="760948286">
    <w:abstractNumId w:val="162"/>
  </w:num>
  <w:num w:numId="39" w16cid:durableId="1440300265">
    <w:abstractNumId w:val="207"/>
  </w:num>
  <w:num w:numId="40" w16cid:durableId="1791624081">
    <w:abstractNumId w:val="159"/>
  </w:num>
  <w:num w:numId="41" w16cid:durableId="1515723216">
    <w:abstractNumId w:val="23"/>
  </w:num>
  <w:num w:numId="42" w16cid:durableId="1989674688">
    <w:abstractNumId w:val="79"/>
  </w:num>
  <w:num w:numId="43" w16cid:durableId="484661448">
    <w:abstractNumId w:val="36"/>
  </w:num>
  <w:num w:numId="44" w16cid:durableId="889418147">
    <w:abstractNumId w:val="231"/>
  </w:num>
  <w:num w:numId="45" w16cid:durableId="1088037755">
    <w:abstractNumId w:val="205"/>
  </w:num>
  <w:num w:numId="46" w16cid:durableId="1820997320">
    <w:abstractNumId w:val="209"/>
  </w:num>
  <w:num w:numId="47" w16cid:durableId="1281109646">
    <w:abstractNumId w:val="125"/>
  </w:num>
  <w:num w:numId="48" w16cid:durableId="1265066471">
    <w:abstractNumId w:val="234"/>
  </w:num>
  <w:num w:numId="49" w16cid:durableId="783111262">
    <w:abstractNumId w:val="187"/>
  </w:num>
  <w:num w:numId="50" w16cid:durableId="1586185133">
    <w:abstractNumId w:val="81"/>
  </w:num>
  <w:num w:numId="51" w16cid:durableId="154494621">
    <w:abstractNumId w:val="114"/>
  </w:num>
  <w:num w:numId="52" w16cid:durableId="1867790308">
    <w:abstractNumId w:val="189"/>
  </w:num>
  <w:num w:numId="53" w16cid:durableId="1371304646">
    <w:abstractNumId w:val="111"/>
  </w:num>
  <w:num w:numId="54" w16cid:durableId="1873498800">
    <w:abstractNumId w:val="177"/>
  </w:num>
  <w:num w:numId="55" w16cid:durableId="1805854511">
    <w:abstractNumId w:val="204"/>
  </w:num>
  <w:num w:numId="56" w16cid:durableId="1341160142">
    <w:abstractNumId w:val="92"/>
  </w:num>
  <w:num w:numId="57" w16cid:durableId="286475387">
    <w:abstractNumId w:val="19"/>
  </w:num>
  <w:num w:numId="58" w16cid:durableId="1557617997">
    <w:abstractNumId w:val="69"/>
  </w:num>
  <w:num w:numId="59" w16cid:durableId="522674738">
    <w:abstractNumId w:val="82"/>
  </w:num>
  <w:num w:numId="60" w16cid:durableId="1931427883">
    <w:abstractNumId w:val="194"/>
  </w:num>
  <w:num w:numId="61" w16cid:durableId="37584054">
    <w:abstractNumId w:val="216"/>
  </w:num>
  <w:num w:numId="62" w16cid:durableId="412245019">
    <w:abstractNumId w:val="16"/>
  </w:num>
  <w:num w:numId="63" w16cid:durableId="1196968941">
    <w:abstractNumId w:val="148"/>
  </w:num>
  <w:num w:numId="64" w16cid:durableId="454913562">
    <w:abstractNumId w:val="94"/>
  </w:num>
  <w:num w:numId="65" w16cid:durableId="915939956">
    <w:abstractNumId w:val="12"/>
  </w:num>
  <w:num w:numId="66" w16cid:durableId="1844271836">
    <w:abstractNumId w:val="8"/>
  </w:num>
  <w:num w:numId="67" w16cid:durableId="1725638272">
    <w:abstractNumId w:val="226"/>
  </w:num>
  <w:num w:numId="68" w16cid:durableId="1106074305">
    <w:abstractNumId w:val="191"/>
  </w:num>
  <w:num w:numId="69" w16cid:durableId="1691762214">
    <w:abstractNumId w:val="58"/>
  </w:num>
  <w:num w:numId="70" w16cid:durableId="191653236">
    <w:abstractNumId w:val="31"/>
  </w:num>
  <w:num w:numId="71" w16cid:durableId="1994676530">
    <w:abstractNumId w:val="50"/>
  </w:num>
  <w:num w:numId="72" w16cid:durableId="519661302">
    <w:abstractNumId w:val="203"/>
  </w:num>
  <w:num w:numId="73" w16cid:durableId="1088428577">
    <w:abstractNumId w:val="198"/>
  </w:num>
  <w:num w:numId="74" w16cid:durableId="329258429">
    <w:abstractNumId w:val="72"/>
  </w:num>
  <w:num w:numId="75" w16cid:durableId="708526434">
    <w:abstractNumId w:val="42"/>
  </w:num>
  <w:num w:numId="76" w16cid:durableId="489561986">
    <w:abstractNumId w:val="220"/>
  </w:num>
  <w:num w:numId="77" w16cid:durableId="10380571">
    <w:abstractNumId w:val="160"/>
  </w:num>
  <w:num w:numId="78" w16cid:durableId="179050659">
    <w:abstractNumId w:val="55"/>
  </w:num>
  <w:num w:numId="79" w16cid:durableId="1214078920">
    <w:abstractNumId w:val="170"/>
  </w:num>
  <w:num w:numId="80" w16cid:durableId="1009913941">
    <w:abstractNumId w:val="101"/>
  </w:num>
  <w:num w:numId="81" w16cid:durableId="940794617">
    <w:abstractNumId w:val="145"/>
  </w:num>
  <w:num w:numId="82" w16cid:durableId="680278662">
    <w:abstractNumId w:val="127"/>
  </w:num>
  <w:num w:numId="83" w16cid:durableId="1599869493">
    <w:abstractNumId w:val="153"/>
  </w:num>
  <w:num w:numId="84" w16cid:durableId="625625908">
    <w:abstractNumId w:val="158"/>
  </w:num>
  <w:num w:numId="85" w16cid:durableId="1014694274">
    <w:abstractNumId w:val="0"/>
  </w:num>
  <w:num w:numId="86" w16cid:durableId="333388006">
    <w:abstractNumId w:val="190"/>
  </w:num>
  <w:num w:numId="87" w16cid:durableId="1934237101">
    <w:abstractNumId w:val="117"/>
  </w:num>
  <w:num w:numId="88" w16cid:durableId="866531346">
    <w:abstractNumId w:val="183"/>
  </w:num>
  <w:num w:numId="89" w16cid:durableId="947157679">
    <w:abstractNumId w:val="105"/>
  </w:num>
  <w:num w:numId="90" w16cid:durableId="1674213708">
    <w:abstractNumId w:val="78"/>
  </w:num>
  <w:num w:numId="91" w16cid:durableId="890114705">
    <w:abstractNumId w:val="147"/>
  </w:num>
  <w:num w:numId="92" w16cid:durableId="2105489236">
    <w:abstractNumId w:val="2"/>
  </w:num>
  <w:num w:numId="93" w16cid:durableId="1382558588">
    <w:abstractNumId w:val="225"/>
  </w:num>
  <w:num w:numId="94" w16cid:durableId="1621298131">
    <w:abstractNumId w:val="48"/>
  </w:num>
  <w:num w:numId="95" w16cid:durableId="1462268721">
    <w:abstractNumId w:val="104"/>
  </w:num>
  <w:num w:numId="96" w16cid:durableId="1734114564">
    <w:abstractNumId w:val="200"/>
  </w:num>
  <w:num w:numId="97" w16cid:durableId="1600983319">
    <w:abstractNumId w:val="40"/>
  </w:num>
  <w:num w:numId="98" w16cid:durableId="479155477">
    <w:abstractNumId w:val="167"/>
  </w:num>
  <w:num w:numId="99" w16cid:durableId="1073241565">
    <w:abstractNumId w:val="208"/>
  </w:num>
  <w:num w:numId="100" w16cid:durableId="813527686">
    <w:abstractNumId w:val="211"/>
  </w:num>
  <w:num w:numId="101" w16cid:durableId="1152941261">
    <w:abstractNumId w:val="165"/>
  </w:num>
  <w:num w:numId="102" w16cid:durableId="548346869">
    <w:abstractNumId w:val="89"/>
  </w:num>
  <w:num w:numId="103" w16cid:durableId="1288778511">
    <w:abstractNumId w:val="43"/>
  </w:num>
  <w:num w:numId="104" w16cid:durableId="1969705285">
    <w:abstractNumId w:val="149"/>
  </w:num>
  <w:num w:numId="105" w16cid:durableId="350106227">
    <w:abstractNumId w:val="119"/>
  </w:num>
  <w:num w:numId="106" w16cid:durableId="498891195">
    <w:abstractNumId w:val="126"/>
  </w:num>
  <w:num w:numId="107" w16cid:durableId="1421371984">
    <w:abstractNumId w:val="217"/>
  </w:num>
  <w:num w:numId="108" w16cid:durableId="1461336804">
    <w:abstractNumId w:val="227"/>
  </w:num>
  <w:num w:numId="109" w16cid:durableId="202405722">
    <w:abstractNumId w:val="91"/>
  </w:num>
  <w:num w:numId="110" w16cid:durableId="350646274">
    <w:abstractNumId w:val="202"/>
  </w:num>
  <w:num w:numId="111" w16cid:durableId="1292397188">
    <w:abstractNumId w:val="73"/>
  </w:num>
  <w:num w:numId="112" w16cid:durableId="238752497">
    <w:abstractNumId w:val="14"/>
  </w:num>
  <w:num w:numId="113" w16cid:durableId="1672566540">
    <w:abstractNumId w:val="199"/>
  </w:num>
  <w:num w:numId="114" w16cid:durableId="1012679893">
    <w:abstractNumId w:val="230"/>
  </w:num>
  <w:num w:numId="115" w16cid:durableId="1579561197">
    <w:abstractNumId w:val="150"/>
  </w:num>
  <w:num w:numId="116" w16cid:durableId="539903822">
    <w:abstractNumId w:val="59"/>
  </w:num>
  <w:num w:numId="117" w16cid:durableId="1256669518">
    <w:abstractNumId w:val="221"/>
  </w:num>
  <w:num w:numId="118" w16cid:durableId="396704822">
    <w:abstractNumId w:val="11"/>
  </w:num>
  <w:num w:numId="119" w16cid:durableId="844322503">
    <w:abstractNumId w:val="15"/>
  </w:num>
  <w:num w:numId="120" w16cid:durableId="1798791339">
    <w:abstractNumId w:val="222"/>
  </w:num>
  <w:num w:numId="121" w16cid:durableId="1041586781">
    <w:abstractNumId w:val="197"/>
  </w:num>
  <w:num w:numId="122" w16cid:durableId="1668678271">
    <w:abstractNumId w:val="163"/>
  </w:num>
  <w:num w:numId="123" w16cid:durableId="1737625058">
    <w:abstractNumId w:val="210"/>
  </w:num>
  <w:num w:numId="124" w16cid:durableId="952057695">
    <w:abstractNumId w:val="24"/>
  </w:num>
  <w:num w:numId="125" w16cid:durableId="1134252902">
    <w:abstractNumId w:val="62"/>
  </w:num>
  <w:num w:numId="126" w16cid:durableId="849879424">
    <w:abstractNumId w:val="130"/>
  </w:num>
  <w:num w:numId="127" w16cid:durableId="1442258671">
    <w:abstractNumId w:val="175"/>
  </w:num>
  <w:num w:numId="128" w16cid:durableId="1894072048">
    <w:abstractNumId w:val="53"/>
  </w:num>
  <w:num w:numId="129" w16cid:durableId="1081098508">
    <w:abstractNumId w:val="35"/>
  </w:num>
  <w:num w:numId="130" w16cid:durableId="605843785">
    <w:abstractNumId w:val="144"/>
  </w:num>
  <w:num w:numId="131" w16cid:durableId="1015959122">
    <w:abstractNumId w:val="157"/>
  </w:num>
  <w:num w:numId="132" w16cid:durableId="1996714911">
    <w:abstractNumId w:val="229"/>
  </w:num>
  <w:num w:numId="133" w16cid:durableId="2089886749">
    <w:abstractNumId w:val="22"/>
  </w:num>
  <w:num w:numId="134" w16cid:durableId="560482096">
    <w:abstractNumId w:val="179"/>
  </w:num>
  <w:num w:numId="135" w16cid:durableId="807894472">
    <w:abstractNumId w:val="132"/>
  </w:num>
  <w:num w:numId="136" w16cid:durableId="738407425">
    <w:abstractNumId w:val="77"/>
  </w:num>
  <w:num w:numId="137" w16cid:durableId="902066275">
    <w:abstractNumId w:val="184"/>
  </w:num>
  <w:num w:numId="138" w16cid:durableId="1732149036">
    <w:abstractNumId w:val="185"/>
  </w:num>
  <w:num w:numId="139" w16cid:durableId="560871742">
    <w:abstractNumId w:val="5"/>
  </w:num>
  <w:num w:numId="140" w16cid:durableId="1024476586">
    <w:abstractNumId w:val="32"/>
  </w:num>
  <w:num w:numId="141" w16cid:durableId="1148745897">
    <w:abstractNumId w:val="195"/>
  </w:num>
  <w:num w:numId="142" w16cid:durableId="883756976">
    <w:abstractNumId w:val="21"/>
  </w:num>
  <w:num w:numId="143" w16cid:durableId="82917021">
    <w:abstractNumId w:val="172"/>
  </w:num>
  <w:num w:numId="144" w16cid:durableId="1775899111">
    <w:abstractNumId w:val="33"/>
  </w:num>
  <w:num w:numId="145" w16cid:durableId="1811558371">
    <w:abstractNumId w:val="224"/>
  </w:num>
  <w:num w:numId="146" w16cid:durableId="1215509343">
    <w:abstractNumId w:val="133"/>
  </w:num>
  <w:num w:numId="147" w16cid:durableId="2091732531">
    <w:abstractNumId w:val="128"/>
  </w:num>
  <w:num w:numId="148" w16cid:durableId="1032532932">
    <w:abstractNumId w:val="178"/>
  </w:num>
  <w:num w:numId="149" w16cid:durableId="812676474">
    <w:abstractNumId w:val="142"/>
  </w:num>
  <w:num w:numId="150" w16cid:durableId="210575921">
    <w:abstractNumId w:val="233"/>
  </w:num>
  <w:num w:numId="151" w16cid:durableId="1661998845">
    <w:abstractNumId w:val="27"/>
  </w:num>
  <w:num w:numId="152" w16cid:durableId="396166562">
    <w:abstractNumId w:val="41"/>
  </w:num>
  <w:num w:numId="153" w16cid:durableId="1331521588">
    <w:abstractNumId w:val="181"/>
  </w:num>
  <w:num w:numId="154" w16cid:durableId="1401320582">
    <w:abstractNumId w:val="123"/>
  </w:num>
  <w:num w:numId="155" w16cid:durableId="2110346523">
    <w:abstractNumId w:val="173"/>
  </w:num>
  <w:num w:numId="156" w16cid:durableId="563758621">
    <w:abstractNumId w:val="103"/>
  </w:num>
  <w:num w:numId="157" w16cid:durableId="216086972">
    <w:abstractNumId w:val="51"/>
  </w:num>
  <w:num w:numId="158" w16cid:durableId="366221358">
    <w:abstractNumId w:val="107"/>
  </w:num>
  <w:num w:numId="159" w16cid:durableId="1196430821">
    <w:abstractNumId w:val="102"/>
  </w:num>
  <w:num w:numId="160" w16cid:durableId="473645061">
    <w:abstractNumId w:val="56"/>
  </w:num>
  <w:num w:numId="161" w16cid:durableId="1390301675">
    <w:abstractNumId w:val="99"/>
  </w:num>
  <w:num w:numId="162" w16cid:durableId="1504510382">
    <w:abstractNumId w:val="110"/>
  </w:num>
  <w:num w:numId="163" w16cid:durableId="216939523">
    <w:abstractNumId w:val="169"/>
  </w:num>
  <w:num w:numId="164" w16cid:durableId="1943800479">
    <w:abstractNumId w:val="166"/>
  </w:num>
  <w:num w:numId="165" w16cid:durableId="934364468">
    <w:abstractNumId w:val="136"/>
  </w:num>
  <w:num w:numId="166" w16cid:durableId="531383920">
    <w:abstractNumId w:val="188"/>
  </w:num>
  <w:num w:numId="167" w16cid:durableId="195196854">
    <w:abstractNumId w:val="135"/>
  </w:num>
  <w:num w:numId="168" w16cid:durableId="1589146083">
    <w:abstractNumId w:val="192"/>
  </w:num>
  <w:num w:numId="169" w16cid:durableId="1619602498">
    <w:abstractNumId w:val="3"/>
  </w:num>
  <w:num w:numId="170" w16cid:durableId="749616699">
    <w:abstractNumId w:val="54"/>
  </w:num>
  <w:num w:numId="171" w16cid:durableId="332757667">
    <w:abstractNumId w:val="67"/>
  </w:num>
  <w:num w:numId="172" w16cid:durableId="139427387">
    <w:abstractNumId w:val="215"/>
  </w:num>
  <w:num w:numId="173" w16cid:durableId="1777948202">
    <w:abstractNumId w:val="7"/>
  </w:num>
  <w:num w:numId="174" w16cid:durableId="1233273159">
    <w:abstractNumId w:val="64"/>
  </w:num>
  <w:num w:numId="175" w16cid:durableId="2103794515">
    <w:abstractNumId w:val="10"/>
  </w:num>
  <w:num w:numId="176" w16cid:durableId="1114247598">
    <w:abstractNumId w:val="9"/>
  </w:num>
  <w:num w:numId="177" w16cid:durableId="54089718">
    <w:abstractNumId w:val="151"/>
  </w:num>
  <w:num w:numId="178" w16cid:durableId="711541670">
    <w:abstractNumId w:val="83"/>
  </w:num>
  <w:num w:numId="179" w16cid:durableId="5062413">
    <w:abstractNumId w:val="85"/>
  </w:num>
  <w:num w:numId="180" w16cid:durableId="491020396">
    <w:abstractNumId w:val="93"/>
  </w:num>
  <w:num w:numId="181" w16cid:durableId="1792086512">
    <w:abstractNumId w:val="182"/>
  </w:num>
  <w:num w:numId="182" w16cid:durableId="1686597188">
    <w:abstractNumId w:val="90"/>
  </w:num>
  <w:num w:numId="183" w16cid:durableId="1871794986">
    <w:abstractNumId w:val="212"/>
  </w:num>
  <w:num w:numId="184" w16cid:durableId="854420960">
    <w:abstractNumId w:val="196"/>
  </w:num>
  <w:num w:numId="185" w16cid:durableId="2049916264">
    <w:abstractNumId w:val="109"/>
  </w:num>
  <w:num w:numId="186" w16cid:durableId="1959751737">
    <w:abstractNumId w:val="17"/>
  </w:num>
  <w:num w:numId="187" w16cid:durableId="199172805">
    <w:abstractNumId w:val="26"/>
  </w:num>
  <w:num w:numId="188" w16cid:durableId="594022754">
    <w:abstractNumId w:val="156"/>
  </w:num>
  <w:num w:numId="189" w16cid:durableId="519780445">
    <w:abstractNumId w:val="25"/>
  </w:num>
  <w:num w:numId="190" w16cid:durableId="148716780">
    <w:abstractNumId w:val="171"/>
  </w:num>
  <w:num w:numId="191" w16cid:durableId="2075665983">
    <w:abstractNumId w:val="49"/>
  </w:num>
  <w:num w:numId="192" w16cid:durableId="14966190">
    <w:abstractNumId w:val="88"/>
  </w:num>
  <w:num w:numId="193" w16cid:durableId="443312390">
    <w:abstractNumId w:val="141"/>
  </w:num>
  <w:num w:numId="194" w16cid:durableId="1729839408">
    <w:abstractNumId w:val="139"/>
  </w:num>
  <w:num w:numId="195" w16cid:durableId="18820168">
    <w:abstractNumId w:val="75"/>
  </w:num>
  <w:num w:numId="196" w16cid:durableId="315233617">
    <w:abstractNumId w:val="70"/>
  </w:num>
  <w:num w:numId="197" w16cid:durableId="126748262">
    <w:abstractNumId w:val="76"/>
  </w:num>
  <w:num w:numId="198" w16cid:durableId="930742595">
    <w:abstractNumId w:val="1"/>
  </w:num>
  <w:num w:numId="199" w16cid:durableId="608586645">
    <w:abstractNumId w:val="13"/>
  </w:num>
  <w:num w:numId="200" w16cid:durableId="1453816584">
    <w:abstractNumId w:val="4"/>
  </w:num>
  <w:num w:numId="201" w16cid:durableId="935989849">
    <w:abstractNumId w:val="108"/>
  </w:num>
  <w:num w:numId="202" w16cid:durableId="358240708">
    <w:abstractNumId w:val="131"/>
  </w:num>
  <w:num w:numId="203" w16cid:durableId="193159498">
    <w:abstractNumId w:val="80"/>
  </w:num>
  <w:num w:numId="204" w16cid:durableId="264194550">
    <w:abstractNumId w:val="223"/>
  </w:num>
  <w:num w:numId="205" w16cid:durableId="821503199">
    <w:abstractNumId w:val="118"/>
  </w:num>
  <w:num w:numId="206" w16cid:durableId="765342679">
    <w:abstractNumId w:val="57"/>
  </w:num>
  <w:num w:numId="207" w16cid:durableId="219632452">
    <w:abstractNumId w:val="98"/>
  </w:num>
  <w:num w:numId="208" w16cid:durableId="682783875">
    <w:abstractNumId w:val="152"/>
  </w:num>
  <w:num w:numId="209" w16cid:durableId="1865509433">
    <w:abstractNumId w:val="180"/>
  </w:num>
  <w:num w:numId="210" w16cid:durableId="1223441838">
    <w:abstractNumId w:val="28"/>
  </w:num>
  <w:num w:numId="211" w16cid:durableId="32507756">
    <w:abstractNumId w:val="214"/>
  </w:num>
  <w:num w:numId="212" w16cid:durableId="1608390510">
    <w:abstractNumId w:val="161"/>
  </w:num>
  <w:num w:numId="213" w16cid:durableId="157230548">
    <w:abstractNumId w:val="52"/>
  </w:num>
  <w:num w:numId="214" w16cid:durableId="2080127128">
    <w:abstractNumId w:val="124"/>
  </w:num>
  <w:num w:numId="215" w16cid:durableId="1809516812">
    <w:abstractNumId w:val="138"/>
  </w:num>
  <w:num w:numId="216" w16cid:durableId="1269002893">
    <w:abstractNumId w:val="63"/>
  </w:num>
  <w:num w:numId="217" w16cid:durableId="1645235324">
    <w:abstractNumId w:val="84"/>
  </w:num>
  <w:num w:numId="218" w16cid:durableId="124350619">
    <w:abstractNumId w:val="95"/>
  </w:num>
  <w:num w:numId="219" w16cid:durableId="1265378966">
    <w:abstractNumId w:val="168"/>
  </w:num>
  <w:num w:numId="220" w16cid:durableId="226036354">
    <w:abstractNumId w:val="186"/>
  </w:num>
  <w:num w:numId="221" w16cid:durableId="1343316764">
    <w:abstractNumId w:val="116"/>
  </w:num>
  <w:num w:numId="222" w16cid:durableId="1837647677">
    <w:abstractNumId w:val="206"/>
  </w:num>
  <w:num w:numId="223" w16cid:durableId="1118989413">
    <w:abstractNumId w:val="6"/>
  </w:num>
  <w:num w:numId="224" w16cid:durableId="1053578730">
    <w:abstractNumId w:val="44"/>
  </w:num>
  <w:num w:numId="225" w16cid:durableId="1283684451">
    <w:abstractNumId w:val="115"/>
  </w:num>
  <w:num w:numId="226" w16cid:durableId="789396753">
    <w:abstractNumId w:val="122"/>
  </w:num>
  <w:num w:numId="227" w16cid:durableId="1956710755">
    <w:abstractNumId w:val="120"/>
  </w:num>
  <w:num w:numId="228" w16cid:durableId="1102335536">
    <w:abstractNumId w:val="155"/>
  </w:num>
  <w:num w:numId="229" w16cid:durableId="1152330040">
    <w:abstractNumId w:val="174"/>
  </w:num>
  <w:num w:numId="230" w16cid:durableId="362753842">
    <w:abstractNumId w:val="113"/>
  </w:num>
  <w:num w:numId="231" w16cid:durableId="1036467883">
    <w:abstractNumId w:val="193"/>
  </w:num>
  <w:num w:numId="232" w16cid:durableId="1559053874">
    <w:abstractNumId w:val="18"/>
  </w:num>
  <w:num w:numId="233" w16cid:durableId="1092435983">
    <w:abstractNumId w:val="140"/>
  </w:num>
  <w:num w:numId="234" w16cid:durableId="1264655744">
    <w:abstractNumId w:val="146"/>
  </w:num>
  <w:num w:numId="235" w16cid:durableId="50691060">
    <w:abstractNumId w:val="106"/>
  </w:num>
  <w:numIdMacAtCleanup w:val="2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67F"/>
    <w:rsid w:val="00307831"/>
    <w:rsid w:val="008E39ED"/>
    <w:rsid w:val="00A5115D"/>
    <w:rsid w:val="00C80522"/>
    <w:rsid w:val="00DB7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6A349"/>
  <w15:chartTrackingRefBased/>
  <w15:docId w15:val="{D0D7A715-8650-4F9E-87E2-42DCC0886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B767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B76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B767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67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B767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B767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B767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B767F"/>
    <w:rPr>
      <w:b/>
      <w:bCs/>
    </w:rPr>
  </w:style>
  <w:style w:type="paragraph" w:styleId="HTMLPreformatted">
    <w:name w:val="HTML Preformatted"/>
    <w:basedOn w:val="Normal"/>
    <w:link w:val="HTMLPreformattedChar"/>
    <w:uiPriority w:val="99"/>
    <w:semiHidden/>
    <w:unhideWhenUsed/>
    <w:rsid w:val="00DB7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B767F"/>
    <w:rPr>
      <w:rFonts w:ascii="Courier New" w:eastAsia="Times New Roman" w:hAnsi="Courier New" w:cs="Courier New"/>
      <w:sz w:val="20"/>
      <w:szCs w:val="20"/>
    </w:rPr>
  </w:style>
  <w:style w:type="character" w:styleId="HTMLCode">
    <w:name w:val="HTML Code"/>
    <w:basedOn w:val="DefaultParagraphFont"/>
    <w:uiPriority w:val="99"/>
    <w:semiHidden/>
    <w:unhideWhenUsed/>
    <w:rsid w:val="00DB767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38807">
      <w:bodyDiv w:val="1"/>
      <w:marLeft w:val="0"/>
      <w:marRight w:val="0"/>
      <w:marTop w:val="0"/>
      <w:marBottom w:val="0"/>
      <w:divBdr>
        <w:top w:val="none" w:sz="0" w:space="0" w:color="auto"/>
        <w:left w:val="none" w:sz="0" w:space="0" w:color="auto"/>
        <w:bottom w:val="none" w:sz="0" w:space="0" w:color="auto"/>
        <w:right w:val="none" w:sz="0" w:space="0" w:color="auto"/>
      </w:divBdr>
    </w:div>
    <w:div w:id="51125859">
      <w:bodyDiv w:val="1"/>
      <w:marLeft w:val="0"/>
      <w:marRight w:val="0"/>
      <w:marTop w:val="0"/>
      <w:marBottom w:val="0"/>
      <w:divBdr>
        <w:top w:val="none" w:sz="0" w:space="0" w:color="auto"/>
        <w:left w:val="none" w:sz="0" w:space="0" w:color="auto"/>
        <w:bottom w:val="none" w:sz="0" w:space="0" w:color="auto"/>
        <w:right w:val="none" w:sz="0" w:space="0" w:color="auto"/>
      </w:divBdr>
      <w:divsChild>
        <w:div w:id="2095468315">
          <w:marLeft w:val="0"/>
          <w:marRight w:val="0"/>
          <w:marTop w:val="0"/>
          <w:marBottom w:val="0"/>
          <w:divBdr>
            <w:top w:val="none" w:sz="0" w:space="0" w:color="auto"/>
            <w:left w:val="none" w:sz="0" w:space="0" w:color="auto"/>
            <w:bottom w:val="none" w:sz="0" w:space="0" w:color="auto"/>
            <w:right w:val="none" w:sz="0" w:space="0" w:color="auto"/>
          </w:divBdr>
          <w:divsChild>
            <w:div w:id="36629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38661">
      <w:bodyDiv w:val="1"/>
      <w:marLeft w:val="0"/>
      <w:marRight w:val="0"/>
      <w:marTop w:val="0"/>
      <w:marBottom w:val="0"/>
      <w:divBdr>
        <w:top w:val="none" w:sz="0" w:space="0" w:color="auto"/>
        <w:left w:val="none" w:sz="0" w:space="0" w:color="auto"/>
        <w:bottom w:val="none" w:sz="0" w:space="0" w:color="auto"/>
        <w:right w:val="none" w:sz="0" w:space="0" w:color="auto"/>
      </w:divBdr>
      <w:divsChild>
        <w:div w:id="2095781104">
          <w:marLeft w:val="0"/>
          <w:marRight w:val="0"/>
          <w:marTop w:val="0"/>
          <w:marBottom w:val="0"/>
          <w:divBdr>
            <w:top w:val="none" w:sz="0" w:space="0" w:color="auto"/>
            <w:left w:val="none" w:sz="0" w:space="0" w:color="auto"/>
            <w:bottom w:val="none" w:sz="0" w:space="0" w:color="auto"/>
            <w:right w:val="none" w:sz="0" w:space="0" w:color="auto"/>
          </w:divBdr>
          <w:divsChild>
            <w:div w:id="1751390306">
              <w:marLeft w:val="0"/>
              <w:marRight w:val="0"/>
              <w:marTop w:val="0"/>
              <w:marBottom w:val="0"/>
              <w:divBdr>
                <w:top w:val="none" w:sz="0" w:space="0" w:color="auto"/>
                <w:left w:val="none" w:sz="0" w:space="0" w:color="auto"/>
                <w:bottom w:val="none" w:sz="0" w:space="0" w:color="auto"/>
                <w:right w:val="none" w:sz="0" w:space="0" w:color="auto"/>
              </w:divBdr>
            </w:div>
          </w:divsChild>
        </w:div>
        <w:div w:id="1344432695">
          <w:marLeft w:val="0"/>
          <w:marRight w:val="0"/>
          <w:marTop w:val="0"/>
          <w:marBottom w:val="0"/>
          <w:divBdr>
            <w:top w:val="none" w:sz="0" w:space="0" w:color="auto"/>
            <w:left w:val="none" w:sz="0" w:space="0" w:color="auto"/>
            <w:bottom w:val="none" w:sz="0" w:space="0" w:color="auto"/>
            <w:right w:val="none" w:sz="0" w:space="0" w:color="auto"/>
          </w:divBdr>
          <w:divsChild>
            <w:div w:id="62142216">
              <w:marLeft w:val="0"/>
              <w:marRight w:val="0"/>
              <w:marTop w:val="0"/>
              <w:marBottom w:val="0"/>
              <w:divBdr>
                <w:top w:val="none" w:sz="0" w:space="0" w:color="auto"/>
                <w:left w:val="none" w:sz="0" w:space="0" w:color="auto"/>
                <w:bottom w:val="none" w:sz="0" w:space="0" w:color="auto"/>
                <w:right w:val="none" w:sz="0" w:space="0" w:color="auto"/>
              </w:divBdr>
            </w:div>
          </w:divsChild>
        </w:div>
        <w:div w:id="2035688613">
          <w:marLeft w:val="0"/>
          <w:marRight w:val="0"/>
          <w:marTop w:val="0"/>
          <w:marBottom w:val="0"/>
          <w:divBdr>
            <w:top w:val="none" w:sz="0" w:space="0" w:color="auto"/>
            <w:left w:val="none" w:sz="0" w:space="0" w:color="auto"/>
            <w:bottom w:val="none" w:sz="0" w:space="0" w:color="auto"/>
            <w:right w:val="none" w:sz="0" w:space="0" w:color="auto"/>
          </w:divBdr>
          <w:divsChild>
            <w:div w:id="1444422955">
              <w:marLeft w:val="0"/>
              <w:marRight w:val="0"/>
              <w:marTop w:val="0"/>
              <w:marBottom w:val="0"/>
              <w:divBdr>
                <w:top w:val="none" w:sz="0" w:space="0" w:color="auto"/>
                <w:left w:val="none" w:sz="0" w:space="0" w:color="auto"/>
                <w:bottom w:val="none" w:sz="0" w:space="0" w:color="auto"/>
                <w:right w:val="none" w:sz="0" w:space="0" w:color="auto"/>
              </w:divBdr>
            </w:div>
          </w:divsChild>
        </w:div>
        <w:div w:id="442070955">
          <w:marLeft w:val="0"/>
          <w:marRight w:val="0"/>
          <w:marTop w:val="0"/>
          <w:marBottom w:val="0"/>
          <w:divBdr>
            <w:top w:val="none" w:sz="0" w:space="0" w:color="auto"/>
            <w:left w:val="none" w:sz="0" w:space="0" w:color="auto"/>
            <w:bottom w:val="none" w:sz="0" w:space="0" w:color="auto"/>
            <w:right w:val="none" w:sz="0" w:space="0" w:color="auto"/>
          </w:divBdr>
          <w:divsChild>
            <w:div w:id="115684927">
              <w:marLeft w:val="0"/>
              <w:marRight w:val="0"/>
              <w:marTop w:val="0"/>
              <w:marBottom w:val="0"/>
              <w:divBdr>
                <w:top w:val="none" w:sz="0" w:space="0" w:color="auto"/>
                <w:left w:val="none" w:sz="0" w:space="0" w:color="auto"/>
                <w:bottom w:val="none" w:sz="0" w:space="0" w:color="auto"/>
                <w:right w:val="none" w:sz="0" w:space="0" w:color="auto"/>
              </w:divBdr>
            </w:div>
          </w:divsChild>
        </w:div>
        <w:div w:id="2039962138">
          <w:marLeft w:val="0"/>
          <w:marRight w:val="0"/>
          <w:marTop w:val="0"/>
          <w:marBottom w:val="0"/>
          <w:divBdr>
            <w:top w:val="none" w:sz="0" w:space="0" w:color="auto"/>
            <w:left w:val="none" w:sz="0" w:space="0" w:color="auto"/>
            <w:bottom w:val="none" w:sz="0" w:space="0" w:color="auto"/>
            <w:right w:val="none" w:sz="0" w:space="0" w:color="auto"/>
          </w:divBdr>
          <w:divsChild>
            <w:div w:id="1448700688">
              <w:marLeft w:val="0"/>
              <w:marRight w:val="0"/>
              <w:marTop w:val="0"/>
              <w:marBottom w:val="0"/>
              <w:divBdr>
                <w:top w:val="none" w:sz="0" w:space="0" w:color="auto"/>
                <w:left w:val="none" w:sz="0" w:space="0" w:color="auto"/>
                <w:bottom w:val="none" w:sz="0" w:space="0" w:color="auto"/>
                <w:right w:val="none" w:sz="0" w:space="0" w:color="auto"/>
              </w:divBdr>
            </w:div>
          </w:divsChild>
        </w:div>
        <w:div w:id="2044937305">
          <w:marLeft w:val="0"/>
          <w:marRight w:val="0"/>
          <w:marTop w:val="0"/>
          <w:marBottom w:val="0"/>
          <w:divBdr>
            <w:top w:val="none" w:sz="0" w:space="0" w:color="auto"/>
            <w:left w:val="none" w:sz="0" w:space="0" w:color="auto"/>
            <w:bottom w:val="none" w:sz="0" w:space="0" w:color="auto"/>
            <w:right w:val="none" w:sz="0" w:space="0" w:color="auto"/>
          </w:divBdr>
          <w:divsChild>
            <w:div w:id="987586807">
              <w:marLeft w:val="0"/>
              <w:marRight w:val="0"/>
              <w:marTop w:val="0"/>
              <w:marBottom w:val="0"/>
              <w:divBdr>
                <w:top w:val="none" w:sz="0" w:space="0" w:color="auto"/>
                <w:left w:val="none" w:sz="0" w:space="0" w:color="auto"/>
                <w:bottom w:val="none" w:sz="0" w:space="0" w:color="auto"/>
                <w:right w:val="none" w:sz="0" w:space="0" w:color="auto"/>
              </w:divBdr>
            </w:div>
          </w:divsChild>
        </w:div>
        <w:div w:id="1301229402">
          <w:marLeft w:val="0"/>
          <w:marRight w:val="0"/>
          <w:marTop w:val="0"/>
          <w:marBottom w:val="0"/>
          <w:divBdr>
            <w:top w:val="none" w:sz="0" w:space="0" w:color="auto"/>
            <w:left w:val="none" w:sz="0" w:space="0" w:color="auto"/>
            <w:bottom w:val="none" w:sz="0" w:space="0" w:color="auto"/>
            <w:right w:val="none" w:sz="0" w:space="0" w:color="auto"/>
          </w:divBdr>
          <w:divsChild>
            <w:div w:id="785075331">
              <w:marLeft w:val="0"/>
              <w:marRight w:val="0"/>
              <w:marTop w:val="0"/>
              <w:marBottom w:val="0"/>
              <w:divBdr>
                <w:top w:val="none" w:sz="0" w:space="0" w:color="auto"/>
                <w:left w:val="none" w:sz="0" w:space="0" w:color="auto"/>
                <w:bottom w:val="none" w:sz="0" w:space="0" w:color="auto"/>
                <w:right w:val="none" w:sz="0" w:space="0" w:color="auto"/>
              </w:divBdr>
            </w:div>
          </w:divsChild>
        </w:div>
        <w:div w:id="1458061884">
          <w:marLeft w:val="0"/>
          <w:marRight w:val="0"/>
          <w:marTop w:val="0"/>
          <w:marBottom w:val="0"/>
          <w:divBdr>
            <w:top w:val="none" w:sz="0" w:space="0" w:color="auto"/>
            <w:left w:val="none" w:sz="0" w:space="0" w:color="auto"/>
            <w:bottom w:val="none" w:sz="0" w:space="0" w:color="auto"/>
            <w:right w:val="none" w:sz="0" w:space="0" w:color="auto"/>
          </w:divBdr>
          <w:divsChild>
            <w:div w:id="861556020">
              <w:marLeft w:val="0"/>
              <w:marRight w:val="0"/>
              <w:marTop w:val="0"/>
              <w:marBottom w:val="0"/>
              <w:divBdr>
                <w:top w:val="none" w:sz="0" w:space="0" w:color="auto"/>
                <w:left w:val="none" w:sz="0" w:space="0" w:color="auto"/>
                <w:bottom w:val="none" w:sz="0" w:space="0" w:color="auto"/>
                <w:right w:val="none" w:sz="0" w:space="0" w:color="auto"/>
              </w:divBdr>
              <w:divsChild>
                <w:div w:id="648022782">
                  <w:marLeft w:val="0"/>
                  <w:marRight w:val="0"/>
                  <w:marTop w:val="0"/>
                  <w:marBottom w:val="0"/>
                  <w:divBdr>
                    <w:top w:val="none" w:sz="0" w:space="0" w:color="auto"/>
                    <w:left w:val="none" w:sz="0" w:space="0" w:color="auto"/>
                    <w:bottom w:val="none" w:sz="0" w:space="0" w:color="auto"/>
                    <w:right w:val="none" w:sz="0" w:space="0" w:color="auto"/>
                  </w:divBdr>
                  <w:divsChild>
                    <w:div w:id="1908177973">
                      <w:marLeft w:val="0"/>
                      <w:marRight w:val="0"/>
                      <w:marTop w:val="0"/>
                      <w:marBottom w:val="0"/>
                      <w:divBdr>
                        <w:top w:val="none" w:sz="0" w:space="0" w:color="auto"/>
                        <w:left w:val="none" w:sz="0" w:space="0" w:color="auto"/>
                        <w:bottom w:val="none" w:sz="0" w:space="0" w:color="auto"/>
                        <w:right w:val="none" w:sz="0" w:space="0" w:color="auto"/>
                      </w:divBdr>
                      <w:divsChild>
                        <w:div w:id="1931960146">
                          <w:marLeft w:val="0"/>
                          <w:marRight w:val="0"/>
                          <w:marTop w:val="0"/>
                          <w:marBottom w:val="0"/>
                          <w:divBdr>
                            <w:top w:val="none" w:sz="0" w:space="0" w:color="auto"/>
                            <w:left w:val="none" w:sz="0" w:space="0" w:color="auto"/>
                            <w:bottom w:val="none" w:sz="0" w:space="0" w:color="auto"/>
                            <w:right w:val="none" w:sz="0" w:space="0" w:color="auto"/>
                          </w:divBdr>
                          <w:divsChild>
                            <w:div w:id="587617499">
                              <w:marLeft w:val="0"/>
                              <w:marRight w:val="0"/>
                              <w:marTop w:val="0"/>
                              <w:marBottom w:val="0"/>
                              <w:divBdr>
                                <w:top w:val="none" w:sz="0" w:space="0" w:color="auto"/>
                                <w:left w:val="none" w:sz="0" w:space="0" w:color="auto"/>
                                <w:bottom w:val="none" w:sz="0" w:space="0" w:color="auto"/>
                                <w:right w:val="none" w:sz="0" w:space="0" w:color="auto"/>
                              </w:divBdr>
                              <w:divsChild>
                                <w:div w:id="94180321">
                                  <w:marLeft w:val="0"/>
                                  <w:marRight w:val="0"/>
                                  <w:marTop w:val="0"/>
                                  <w:marBottom w:val="0"/>
                                  <w:divBdr>
                                    <w:top w:val="none" w:sz="0" w:space="0" w:color="auto"/>
                                    <w:left w:val="none" w:sz="0" w:space="0" w:color="auto"/>
                                    <w:bottom w:val="none" w:sz="0" w:space="0" w:color="auto"/>
                                    <w:right w:val="none" w:sz="0" w:space="0" w:color="auto"/>
                                  </w:divBdr>
                                  <w:divsChild>
                                    <w:div w:id="1433010640">
                                      <w:marLeft w:val="0"/>
                                      <w:marRight w:val="0"/>
                                      <w:marTop w:val="0"/>
                                      <w:marBottom w:val="0"/>
                                      <w:divBdr>
                                        <w:top w:val="none" w:sz="0" w:space="0" w:color="auto"/>
                                        <w:left w:val="none" w:sz="0" w:space="0" w:color="auto"/>
                                        <w:bottom w:val="none" w:sz="0" w:space="0" w:color="auto"/>
                                        <w:right w:val="none" w:sz="0" w:space="0" w:color="auto"/>
                                      </w:divBdr>
                                      <w:divsChild>
                                        <w:div w:id="1357268298">
                                          <w:marLeft w:val="0"/>
                                          <w:marRight w:val="0"/>
                                          <w:marTop w:val="0"/>
                                          <w:marBottom w:val="0"/>
                                          <w:divBdr>
                                            <w:top w:val="none" w:sz="0" w:space="0" w:color="auto"/>
                                            <w:left w:val="none" w:sz="0" w:space="0" w:color="auto"/>
                                            <w:bottom w:val="none" w:sz="0" w:space="0" w:color="auto"/>
                                            <w:right w:val="none" w:sz="0" w:space="0" w:color="auto"/>
                                          </w:divBdr>
                                          <w:divsChild>
                                            <w:div w:id="1616595138">
                                              <w:marLeft w:val="0"/>
                                              <w:marRight w:val="0"/>
                                              <w:marTop w:val="0"/>
                                              <w:marBottom w:val="0"/>
                                              <w:divBdr>
                                                <w:top w:val="none" w:sz="0" w:space="0" w:color="auto"/>
                                                <w:left w:val="none" w:sz="0" w:space="0" w:color="auto"/>
                                                <w:bottom w:val="none" w:sz="0" w:space="0" w:color="auto"/>
                                                <w:right w:val="none" w:sz="0" w:space="0" w:color="auto"/>
                                              </w:divBdr>
                                              <w:divsChild>
                                                <w:div w:id="1606306016">
                                                  <w:marLeft w:val="0"/>
                                                  <w:marRight w:val="0"/>
                                                  <w:marTop w:val="0"/>
                                                  <w:marBottom w:val="0"/>
                                                  <w:divBdr>
                                                    <w:top w:val="none" w:sz="0" w:space="0" w:color="auto"/>
                                                    <w:left w:val="none" w:sz="0" w:space="0" w:color="auto"/>
                                                    <w:bottom w:val="none" w:sz="0" w:space="0" w:color="auto"/>
                                                    <w:right w:val="none" w:sz="0" w:space="0" w:color="auto"/>
                                                  </w:divBdr>
                                                  <w:divsChild>
                                                    <w:div w:id="129516661">
                                                      <w:marLeft w:val="0"/>
                                                      <w:marRight w:val="0"/>
                                                      <w:marTop w:val="0"/>
                                                      <w:marBottom w:val="0"/>
                                                      <w:divBdr>
                                                        <w:top w:val="none" w:sz="0" w:space="0" w:color="auto"/>
                                                        <w:left w:val="none" w:sz="0" w:space="0" w:color="auto"/>
                                                        <w:bottom w:val="none" w:sz="0" w:space="0" w:color="auto"/>
                                                        <w:right w:val="none" w:sz="0" w:space="0" w:color="auto"/>
                                                      </w:divBdr>
                                                      <w:divsChild>
                                                        <w:div w:id="4572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3265530">
          <w:marLeft w:val="0"/>
          <w:marRight w:val="0"/>
          <w:marTop w:val="0"/>
          <w:marBottom w:val="0"/>
          <w:divBdr>
            <w:top w:val="none" w:sz="0" w:space="0" w:color="auto"/>
            <w:left w:val="none" w:sz="0" w:space="0" w:color="auto"/>
            <w:bottom w:val="none" w:sz="0" w:space="0" w:color="auto"/>
            <w:right w:val="none" w:sz="0" w:space="0" w:color="auto"/>
          </w:divBdr>
          <w:divsChild>
            <w:div w:id="793602553">
              <w:marLeft w:val="0"/>
              <w:marRight w:val="0"/>
              <w:marTop w:val="0"/>
              <w:marBottom w:val="0"/>
              <w:divBdr>
                <w:top w:val="none" w:sz="0" w:space="0" w:color="auto"/>
                <w:left w:val="none" w:sz="0" w:space="0" w:color="auto"/>
                <w:bottom w:val="none" w:sz="0" w:space="0" w:color="auto"/>
                <w:right w:val="none" w:sz="0" w:space="0" w:color="auto"/>
              </w:divBdr>
              <w:divsChild>
                <w:div w:id="481121224">
                  <w:marLeft w:val="0"/>
                  <w:marRight w:val="0"/>
                  <w:marTop w:val="0"/>
                  <w:marBottom w:val="0"/>
                  <w:divBdr>
                    <w:top w:val="none" w:sz="0" w:space="0" w:color="auto"/>
                    <w:left w:val="none" w:sz="0" w:space="0" w:color="auto"/>
                    <w:bottom w:val="none" w:sz="0" w:space="0" w:color="auto"/>
                    <w:right w:val="none" w:sz="0" w:space="0" w:color="auto"/>
                  </w:divBdr>
                  <w:divsChild>
                    <w:div w:id="1086456839">
                      <w:marLeft w:val="0"/>
                      <w:marRight w:val="0"/>
                      <w:marTop w:val="0"/>
                      <w:marBottom w:val="0"/>
                      <w:divBdr>
                        <w:top w:val="none" w:sz="0" w:space="0" w:color="auto"/>
                        <w:left w:val="none" w:sz="0" w:space="0" w:color="auto"/>
                        <w:bottom w:val="none" w:sz="0" w:space="0" w:color="auto"/>
                        <w:right w:val="none" w:sz="0" w:space="0" w:color="auto"/>
                      </w:divBdr>
                      <w:divsChild>
                        <w:div w:id="234826890">
                          <w:marLeft w:val="0"/>
                          <w:marRight w:val="0"/>
                          <w:marTop w:val="0"/>
                          <w:marBottom w:val="0"/>
                          <w:divBdr>
                            <w:top w:val="none" w:sz="0" w:space="0" w:color="auto"/>
                            <w:left w:val="none" w:sz="0" w:space="0" w:color="auto"/>
                            <w:bottom w:val="none" w:sz="0" w:space="0" w:color="auto"/>
                            <w:right w:val="none" w:sz="0" w:space="0" w:color="auto"/>
                          </w:divBdr>
                          <w:divsChild>
                            <w:div w:id="1004354965">
                              <w:marLeft w:val="0"/>
                              <w:marRight w:val="0"/>
                              <w:marTop w:val="0"/>
                              <w:marBottom w:val="0"/>
                              <w:divBdr>
                                <w:top w:val="none" w:sz="0" w:space="0" w:color="auto"/>
                                <w:left w:val="none" w:sz="0" w:space="0" w:color="auto"/>
                                <w:bottom w:val="none" w:sz="0" w:space="0" w:color="auto"/>
                                <w:right w:val="none" w:sz="0" w:space="0" w:color="auto"/>
                              </w:divBdr>
                              <w:divsChild>
                                <w:div w:id="1052195862">
                                  <w:marLeft w:val="0"/>
                                  <w:marRight w:val="0"/>
                                  <w:marTop w:val="0"/>
                                  <w:marBottom w:val="0"/>
                                  <w:divBdr>
                                    <w:top w:val="none" w:sz="0" w:space="0" w:color="auto"/>
                                    <w:left w:val="none" w:sz="0" w:space="0" w:color="auto"/>
                                    <w:bottom w:val="none" w:sz="0" w:space="0" w:color="auto"/>
                                    <w:right w:val="none" w:sz="0" w:space="0" w:color="auto"/>
                                  </w:divBdr>
                                  <w:divsChild>
                                    <w:div w:id="691953579">
                                      <w:marLeft w:val="0"/>
                                      <w:marRight w:val="0"/>
                                      <w:marTop w:val="0"/>
                                      <w:marBottom w:val="0"/>
                                      <w:divBdr>
                                        <w:top w:val="none" w:sz="0" w:space="0" w:color="auto"/>
                                        <w:left w:val="none" w:sz="0" w:space="0" w:color="auto"/>
                                        <w:bottom w:val="none" w:sz="0" w:space="0" w:color="auto"/>
                                        <w:right w:val="none" w:sz="0" w:space="0" w:color="auto"/>
                                      </w:divBdr>
                                      <w:divsChild>
                                        <w:div w:id="137769261">
                                          <w:marLeft w:val="0"/>
                                          <w:marRight w:val="0"/>
                                          <w:marTop w:val="0"/>
                                          <w:marBottom w:val="0"/>
                                          <w:divBdr>
                                            <w:top w:val="none" w:sz="0" w:space="0" w:color="auto"/>
                                            <w:left w:val="none" w:sz="0" w:space="0" w:color="auto"/>
                                            <w:bottom w:val="none" w:sz="0" w:space="0" w:color="auto"/>
                                            <w:right w:val="none" w:sz="0" w:space="0" w:color="auto"/>
                                          </w:divBdr>
                                          <w:divsChild>
                                            <w:div w:id="840193470">
                                              <w:marLeft w:val="0"/>
                                              <w:marRight w:val="0"/>
                                              <w:marTop w:val="0"/>
                                              <w:marBottom w:val="0"/>
                                              <w:divBdr>
                                                <w:top w:val="none" w:sz="0" w:space="0" w:color="auto"/>
                                                <w:left w:val="none" w:sz="0" w:space="0" w:color="auto"/>
                                                <w:bottom w:val="none" w:sz="0" w:space="0" w:color="auto"/>
                                                <w:right w:val="none" w:sz="0" w:space="0" w:color="auto"/>
                                              </w:divBdr>
                                              <w:divsChild>
                                                <w:div w:id="152992554">
                                                  <w:marLeft w:val="0"/>
                                                  <w:marRight w:val="0"/>
                                                  <w:marTop w:val="0"/>
                                                  <w:marBottom w:val="0"/>
                                                  <w:divBdr>
                                                    <w:top w:val="none" w:sz="0" w:space="0" w:color="auto"/>
                                                    <w:left w:val="none" w:sz="0" w:space="0" w:color="auto"/>
                                                    <w:bottom w:val="none" w:sz="0" w:space="0" w:color="auto"/>
                                                    <w:right w:val="none" w:sz="0" w:space="0" w:color="auto"/>
                                                  </w:divBdr>
                                                  <w:divsChild>
                                                    <w:div w:id="1431925054">
                                                      <w:marLeft w:val="0"/>
                                                      <w:marRight w:val="0"/>
                                                      <w:marTop w:val="0"/>
                                                      <w:marBottom w:val="0"/>
                                                      <w:divBdr>
                                                        <w:top w:val="none" w:sz="0" w:space="0" w:color="auto"/>
                                                        <w:left w:val="none" w:sz="0" w:space="0" w:color="auto"/>
                                                        <w:bottom w:val="none" w:sz="0" w:space="0" w:color="auto"/>
                                                        <w:right w:val="none" w:sz="0" w:space="0" w:color="auto"/>
                                                      </w:divBdr>
                                                      <w:divsChild>
                                                        <w:div w:id="44488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3901">
          <w:marLeft w:val="0"/>
          <w:marRight w:val="0"/>
          <w:marTop w:val="0"/>
          <w:marBottom w:val="0"/>
          <w:divBdr>
            <w:top w:val="none" w:sz="0" w:space="0" w:color="auto"/>
            <w:left w:val="none" w:sz="0" w:space="0" w:color="auto"/>
            <w:bottom w:val="none" w:sz="0" w:space="0" w:color="auto"/>
            <w:right w:val="none" w:sz="0" w:space="0" w:color="auto"/>
          </w:divBdr>
          <w:divsChild>
            <w:div w:id="10225377">
              <w:marLeft w:val="0"/>
              <w:marRight w:val="0"/>
              <w:marTop w:val="0"/>
              <w:marBottom w:val="0"/>
              <w:divBdr>
                <w:top w:val="none" w:sz="0" w:space="0" w:color="auto"/>
                <w:left w:val="none" w:sz="0" w:space="0" w:color="auto"/>
                <w:bottom w:val="none" w:sz="0" w:space="0" w:color="auto"/>
                <w:right w:val="none" w:sz="0" w:space="0" w:color="auto"/>
              </w:divBdr>
              <w:divsChild>
                <w:div w:id="737018870">
                  <w:marLeft w:val="0"/>
                  <w:marRight w:val="0"/>
                  <w:marTop w:val="0"/>
                  <w:marBottom w:val="0"/>
                  <w:divBdr>
                    <w:top w:val="none" w:sz="0" w:space="0" w:color="auto"/>
                    <w:left w:val="none" w:sz="0" w:space="0" w:color="auto"/>
                    <w:bottom w:val="none" w:sz="0" w:space="0" w:color="auto"/>
                    <w:right w:val="none" w:sz="0" w:space="0" w:color="auto"/>
                  </w:divBdr>
                  <w:divsChild>
                    <w:div w:id="1705592378">
                      <w:marLeft w:val="0"/>
                      <w:marRight w:val="0"/>
                      <w:marTop w:val="0"/>
                      <w:marBottom w:val="0"/>
                      <w:divBdr>
                        <w:top w:val="none" w:sz="0" w:space="0" w:color="auto"/>
                        <w:left w:val="none" w:sz="0" w:space="0" w:color="auto"/>
                        <w:bottom w:val="none" w:sz="0" w:space="0" w:color="auto"/>
                        <w:right w:val="none" w:sz="0" w:space="0" w:color="auto"/>
                      </w:divBdr>
                      <w:divsChild>
                        <w:div w:id="1451777016">
                          <w:marLeft w:val="0"/>
                          <w:marRight w:val="0"/>
                          <w:marTop w:val="0"/>
                          <w:marBottom w:val="0"/>
                          <w:divBdr>
                            <w:top w:val="none" w:sz="0" w:space="0" w:color="auto"/>
                            <w:left w:val="none" w:sz="0" w:space="0" w:color="auto"/>
                            <w:bottom w:val="none" w:sz="0" w:space="0" w:color="auto"/>
                            <w:right w:val="none" w:sz="0" w:space="0" w:color="auto"/>
                          </w:divBdr>
                          <w:divsChild>
                            <w:div w:id="541359932">
                              <w:marLeft w:val="0"/>
                              <w:marRight w:val="0"/>
                              <w:marTop w:val="0"/>
                              <w:marBottom w:val="0"/>
                              <w:divBdr>
                                <w:top w:val="none" w:sz="0" w:space="0" w:color="auto"/>
                                <w:left w:val="none" w:sz="0" w:space="0" w:color="auto"/>
                                <w:bottom w:val="none" w:sz="0" w:space="0" w:color="auto"/>
                                <w:right w:val="none" w:sz="0" w:space="0" w:color="auto"/>
                              </w:divBdr>
                              <w:divsChild>
                                <w:div w:id="599340120">
                                  <w:marLeft w:val="0"/>
                                  <w:marRight w:val="0"/>
                                  <w:marTop w:val="0"/>
                                  <w:marBottom w:val="0"/>
                                  <w:divBdr>
                                    <w:top w:val="none" w:sz="0" w:space="0" w:color="auto"/>
                                    <w:left w:val="none" w:sz="0" w:space="0" w:color="auto"/>
                                    <w:bottom w:val="none" w:sz="0" w:space="0" w:color="auto"/>
                                    <w:right w:val="none" w:sz="0" w:space="0" w:color="auto"/>
                                  </w:divBdr>
                                  <w:divsChild>
                                    <w:div w:id="1489203893">
                                      <w:marLeft w:val="0"/>
                                      <w:marRight w:val="0"/>
                                      <w:marTop w:val="0"/>
                                      <w:marBottom w:val="0"/>
                                      <w:divBdr>
                                        <w:top w:val="none" w:sz="0" w:space="0" w:color="auto"/>
                                        <w:left w:val="none" w:sz="0" w:space="0" w:color="auto"/>
                                        <w:bottom w:val="none" w:sz="0" w:space="0" w:color="auto"/>
                                        <w:right w:val="none" w:sz="0" w:space="0" w:color="auto"/>
                                      </w:divBdr>
                                      <w:divsChild>
                                        <w:div w:id="1771899366">
                                          <w:marLeft w:val="0"/>
                                          <w:marRight w:val="0"/>
                                          <w:marTop w:val="0"/>
                                          <w:marBottom w:val="0"/>
                                          <w:divBdr>
                                            <w:top w:val="none" w:sz="0" w:space="0" w:color="auto"/>
                                            <w:left w:val="none" w:sz="0" w:space="0" w:color="auto"/>
                                            <w:bottom w:val="none" w:sz="0" w:space="0" w:color="auto"/>
                                            <w:right w:val="none" w:sz="0" w:space="0" w:color="auto"/>
                                          </w:divBdr>
                                          <w:divsChild>
                                            <w:div w:id="1877691196">
                                              <w:marLeft w:val="0"/>
                                              <w:marRight w:val="0"/>
                                              <w:marTop w:val="0"/>
                                              <w:marBottom w:val="0"/>
                                              <w:divBdr>
                                                <w:top w:val="none" w:sz="0" w:space="0" w:color="auto"/>
                                                <w:left w:val="none" w:sz="0" w:space="0" w:color="auto"/>
                                                <w:bottom w:val="none" w:sz="0" w:space="0" w:color="auto"/>
                                                <w:right w:val="none" w:sz="0" w:space="0" w:color="auto"/>
                                              </w:divBdr>
                                              <w:divsChild>
                                                <w:div w:id="10694192">
                                                  <w:marLeft w:val="0"/>
                                                  <w:marRight w:val="0"/>
                                                  <w:marTop w:val="0"/>
                                                  <w:marBottom w:val="0"/>
                                                  <w:divBdr>
                                                    <w:top w:val="none" w:sz="0" w:space="0" w:color="auto"/>
                                                    <w:left w:val="none" w:sz="0" w:space="0" w:color="auto"/>
                                                    <w:bottom w:val="none" w:sz="0" w:space="0" w:color="auto"/>
                                                    <w:right w:val="none" w:sz="0" w:space="0" w:color="auto"/>
                                                  </w:divBdr>
                                                  <w:divsChild>
                                                    <w:div w:id="983857210">
                                                      <w:marLeft w:val="0"/>
                                                      <w:marRight w:val="0"/>
                                                      <w:marTop w:val="0"/>
                                                      <w:marBottom w:val="0"/>
                                                      <w:divBdr>
                                                        <w:top w:val="none" w:sz="0" w:space="0" w:color="auto"/>
                                                        <w:left w:val="none" w:sz="0" w:space="0" w:color="auto"/>
                                                        <w:bottom w:val="none" w:sz="0" w:space="0" w:color="auto"/>
                                                        <w:right w:val="none" w:sz="0" w:space="0" w:color="auto"/>
                                                      </w:divBdr>
                                                      <w:divsChild>
                                                        <w:div w:id="93999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2315747">
          <w:marLeft w:val="0"/>
          <w:marRight w:val="0"/>
          <w:marTop w:val="0"/>
          <w:marBottom w:val="0"/>
          <w:divBdr>
            <w:top w:val="none" w:sz="0" w:space="0" w:color="auto"/>
            <w:left w:val="none" w:sz="0" w:space="0" w:color="auto"/>
            <w:bottom w:val="none" w:sz="0" w:space="0" w:color="auto"/>
            <w:right w:val="none" w:sz="0" w:space="0" w:color="auto"/>
          </w:divBdr>
          <w:divsChild>
            <w:div w:id="1406414925">
              <w:marLeft w:val="0"/>
              <w:marRight w:val="0"/>
              <w:marTop w:val="0"/>
              <w:marBottom w:val="0"/>
              <w:divBdr>
                <w:top w:val="none" w:sz="0" w:space="0" w:color="auto"/>
                <w:left w:val="none" w:sz="0" w:space="0" w:color="auto"/>
                <w:bottom w:val="none" w:sz="0" w:space="0" w:color="auto"/>
                <w:right w:val="none" w:sz="0" w:space="0" w:color="auto"/>
              </w:divBdr>
              <w:divsChild>
                <w:div w:id="2142842865">
                  <w:marLeft w:val="0"/>
                  <w:marRight w:val="0"/>
                  <w:marTop w:val="0"/>
                  <w:marBottom w:val="0"/>
                  <w:divBdr>
                    <w:top w:val="none" w:sz="0" w:space="0" w:color="auto"/>
                    <w:left w:val="none" w:sz="0" w:space="0" w:color="auto"/>
                    <w:bottom w:val="none" w:sz="0" w:space="0" w:color="auto"/>
                    <w:right w:val="none" w:sz="0" w:space="0" w:color="auto"/>
                  </w:divBdr>
                  <w:divsChild>
                    <w:div w:id="230430995">
                      <w:marLeft w:val="0"/>
                      <w:marRight w:val="0"/>
                      <w:marTop w:val="0"/>
                      <w:marBottom w:val="0"/>
                      <w:divBdr>
                        <w:top w:val="none" w:sz="0" w:space="0" w:color="auto"/>
                        <w:left w:val="none" w:sz="0" w:space="0" w:color="auto"/>
                        <w:bottom w:val="none" w:sz="0" w:space="0" w:color="auto"/>
                        <w:right w:val="none" w:sz="0" w:space="0" w:color="auto"/>
                      </w:divBdr>
                      <w:divsChild>
                        <w:div w:id="1323922731">
                          <w:marLeft w:val="0"/>
                          <w:marRight w:val="0"/>
                          <w:marTop w:val="0"/>
                          <w:marBottom w:val="0"/>
                          <w:divBdr>
                            <w:top w:val="none" w:sz="0" w:space="0" w:color="auto"/>
                            <w:left w:val="none" w:sz="0" w:space="0" w:color="auto"/>
                            <w:bottom w:val="none" w:sz="0" w:space="0" w:color="auto"/>
                            <w:right w:val="none" w:sz="0" w:space="0" w:color="auto"/>
                          </w:divBdr>
                          <w:divsChild>
                            <w:div w:id="477066487">
                              <w:marLeft w:val="0"/>
                              <w:marRight w:val="0"/>
                              <w:marTop w:val="0"/>
                              <w:marBottom w:val="0"/>
                              <w:divBdr>
                                <w:top w:val="none" w:sz="0" w:space="0" w:color="auto"/>
                                <w:left w:val="none" w:sz="0" w:space="0" w:color="auto"/>
                                <w:bottom w:val="none" w:sz="0" w:space="0" w:color="auto"/>
                                <w:right w:val="none" w:sz="0" w:space="0" w:color="auto"/>
                              </w:divBdr>
                              <w:divsChild>
                                <w:div w:id="2124571916">
                                  <w:marLeft w:val="0"/>
                                  <w:marRight w:val="0"/>
                                  <w:marTop w:val="0"/>
                                  <w:marBottom w:val="0"/>
                                  <w:divBdr>
                                    <w:top w:val="none" w:sz="0" w:space="0" w:color="auto"/>
                                    <w:left w:val="none" w:sz="0" w:space="0" w:color="auto"/>
                                    <w:bottom w:val="none" w:sz="0" w:space="0" w:color="auto"/>
                                    <w:right w:val="none" w:sz="0" w:space="0" w:color="auto"/>
                                  </w:divBdr>
                                  <w:divsChild>
                                    <w:div w:id="1696148940">
                                      <w:marLeft w:val="0"/>
                                      <w:marRight w:val="0"/>
                                      <w:marTop w:val="0"/>
                                      <w:marBottom w:val="0"/>
                                      <w:divBdr>
                                        <w:top w:val="none" w:sz="0" w:space="0" w:color="auto"/>
                                        <w:left w:val="none" w:sz="0" w:space="0" w:color="auto"/>
                                        <w:bottom w:val="none" w:sz="0" w:space="0" w:color="auto"/>
                                        <w:right w:val="none" w:sz="0" w:space="0" w:color="auto"/>
                                      </w:divBdr>
                                      <w:divsChild>
                                        <w:div w:id="1352729953">
                                          <w:marLeft w:val="0"/>
                                          <w:marRight w:val="0"/>
                                          <w:marTop w:val="0"/>
                                          <w:marBottom w:val="0"/>
                                          <w:divBdr>
                                            <w:top w:val="none" w:sz="0" w:space="0" w:color="auto"/>
                                            <w:left w:val="none" w:sz="0" w:space="0" w:color="auto"/>
                                            <w:bottom w:val="none" w:sz="0" w:space="0" w:color="auto"/>
                                            <w:right w:val="none" w:sz="0" w:space="0" w:color="auto"/>
                                          </w:divBdr>
                                          <w:divsChild>
                                            <w:div w:id="1654675961">
                                              <w:marLeft w:val="0"/>
                                              <w:marRight w:val="0"/>
                                              <w:marTop w:val="0"/>
                                              <w:marBottom w:val="0"/>
                                              <w:divBdr>
                                                <w:top w:val="none" w:sz="0" w:space="0" w:color="auto"/>
                                                <w:left w:val="none" w:sz="0" w:space="0" w:color="auto"/>
                                                <w:bottom w:val="none" w:sz="0" w:space="0" w:color="auto"/>
                                                <w:right w:val="none" w:sz="0" w:space="0" w:color="auto"/>
                                              </w:divBdr>
                                              <w:divsChild>
                                                <w:div w:id="2102675513">
                                                  <w:marLeft w:val="0"/>
                                                  <w:marRight w:val="0"/>
                                                  <w:marTop w:val="0"/>
                                                  <w:marBottom w:val="0"/>
                                                  <w:divBdr>
                                                    <w:top w:val="none" w:sz="0" w:space="0" w:color="auto"/>
                                                    <w:left w:val="none" w:sz="0" w:space="0" w:color="auto"/>
                                                    <w:bottom w:val="none" w:sz="0" w:space="0" w:color="auto"/>
                                                    <w:right w:val="none" w:sz="0" w:space="0" w:color="auto"/>
                                                  </w:divBdr>
                                                  <w:divsChild>
                                                    <w:div w:id="7487242">
                                                      <w:marLeft w:val="0"/>
                                                      <w:marRight w:val="0"/>
                                                      <w:marTop w:val="0"/>
                                                      <w:marBottom w:val="0"/>
                                                      <w:divBdr>
                                                        <w:top w:val="none" w:sz="0" w:space="0" w:color="auto"/>
                                                        <w:left w:val="none" w:sz="0" w:space="0" w:color="auto"/>
                                                        <w:bottom w:val="none" w:sz="0" w:space="0" w:color="auto"/>
                                                        <w:right w:val="none" w:sz="0" w:space="0" w:color="auto"/>
                                                      </w:divBdr>
                                                      <w:divsChild>
                                                        <w:div w:id="205110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5734443">
      <w:bodyDiv w:val="1"/>
      <w:marLeft w:val="0"/>
      <w:marRight w:val="0"/>
      <w:marTop w:val="0"/>
      <w:marBottom w:val="0"/>
      <w:divBdr>
        <w:top w:val="none" w:sz="0" w:space="0" w:color="auto"/>
        <w:left w:val="none" w:sz="0" w:space="0" w:color="auto"/>
        <w:bottom w:val="none" w:sz="0" w:space="0" w:color="auto"/>
        <w:right w:val="none" w:sz="0" w:space="0" w:color="auto"/>
      </w:divBdr>
      <w:divsChild>
        <w:div w:id="865631310">
          <w:marLeft w:val="0"/>
          <w:marRight w:val="0"/>
          <w:marTop w:val="0"/>
          <w:marBottom w:val="0"/>
          <w:divBdr>
            <w:top w:val="none" w:sz="0" w:space="0" w:color="auto"/>
            <w:left w:val="none" w:sz="0" w:space="0" w:color="auto"/>
            <w:bottom w:val="none" w:sz="0" w:space="0" w:color="auto"/>
            <w:right w:val="none" w:sz="0" w:space="0" w:color="auto"/>
          </w:divBdr>
          <w:divsChild>
            <w:div w:id="132763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859506">
      <w:bodyDiv w:val="1"/>
      <w:marLeft w:val="0"/>
      <w:marRight w:val="0"/>
      <w:marTop w:val="0"/>
      <w:marBottom w:val="0"/>
      <w:divBdr>
        <w:top w:val="none" w:sz="0" w:space="0" w:color="auto"/>
        <w:left w:val="none" w:sz="0" w:space="0" w:color="auto"/>
        <w:bottom w:val="none" w:sz="0" w:space="0" w:color="auto"/>
        <w:right w:val="none" w:sz="0" w:space="0" w:color="auto"/>
      </w:divBdr>
      <w:divsChild>
        <w:div w:id="373651218">
          <w:marLeft w:val="0"/>
          <w:marRight w:val="0"/>
          <w:marTop w:val="0"/>
          <w:marBottom w:val="0"/>
          <w:divBdr>
            <w:top w:val="none" w:sz="0" w:space="0" w:color="auto"/>
            <w:left w:val="none" w:sz="0" w:space="0" w:color="auto"/>
            <w:bottom w:val="none" w:sz="0" w:space="0" w:color="auto"/>
            <w:right w:val="none" w:sz="0" w:space="0" w:color="auto"/>
          </w:divBdr>
          <w:divsChild>
            <w:div w:id="1835880331">
              <w:marLeft w:val="0"/>
              <w:marRight w:val="0"/>
              <w:marTop w:val="0"/>
              <w:marBottom w:val="0"/>
              <w:divBdr>
                <w:top w:val="none" w:sz="0" w:space="0" w:color="auto"/>
                <w:left w:val="none" w:sz="0" w:space="0" w:color="auto"/>
                <w:bottom w:val="none" w:sz="0" w:space="0" w:color="auto"/>
                <w:right w:val="none" w:sz="0" w:space="0" w:color="auto"/>
              </w:divBdr>
              <w:divsChild>
                <w:div w:id="1077360490">
                  <w:marLeft w:val="0"/>
                  <w:marRight w:val="0"/>
                  <w:marTop w:val="0"/>
                  <w:marBottom w:val="0"/>
                  <w:divBdr>
                    <w:top w:val="none" w:sz="0" w:space="0" w:color="auto"/>
                    <w:left w:val="none" w:sz="0" w:space="0" w:color="auto"/>
                    <w:bottom w:val="none" w:sz="0" w:space="0" w:color="auto"/>
                    <w:right w:val="none" w:sz="0" w:space="0" w:color="auto"/>
                  </w:divBdr>
                  <w:divsChild>
                    <w:div w:id="158229226">
                      <w:marLeft w:val="0"/>
                      <w:marRight w:val="0"/>
                      <w:marTop w:val="0"/>
                      <w:marBottom w:val="0"/>
                      <w:divBdr>
                        <w:top w:val="none" w:sz="0" w:space="0" w:color="auto"/>
                        <w:left w:val="none" w:sz="0" w:space="0" w:color="auto"/>
                        <w:bottom w:val="none" w:sz="0" w:space="0" w:color="auto"/>
                        <w:right w:val="none" w:sz="0" w:space="0" w:color="auto"/>
                      </w:divBdr>
                      <w:divsChild>
                        <w:div w:id="315501114">
                          <w:marLeft w:val="0"/>
                          <w:marRight w:val="0"/>
                          <w:marTop w:val="0"/>
                          <w:marBottom w:val="0"/>
                          <w:divBdr>
                            <w:top w:val="none" w:sz="0" w:space="0" w:color="auto"/>
                            <w:left w:val="none" w:sz="0" w:space="0" w:color="auto"/>
                            <w:bottom w:val="none" w:sz="0" w:space="0" w:color="auto"/>
                            <w:right w:val="none" w:sz="0" w:space="0" w:color="auto"/>
                          </w:divBdr>
                          <w:divsChild>
                            <w:div w:id="1238519333">
                              <w:marLeft w:val="0"/>
                              <w:marRight w:val="0"/>
                              <w:marTop w:val="0"/>
                              <w:marBottom w:val="0"/>
                              <w:divBdr>
                                <w:top w:val="none" w:sz="0" w:space="0" w:color="auto"/>
                                <w:left w:val="none" w:sz="0" w:space="0" w:color="auto"/>
                                <w:bottom w:val="none" w:sz="0" w:space="0" w:color="auto"/>
                                <w:right w:val="none" w:sz="0" w:space="0" w:color="auto"/>
                              </w:divBdr>
                              <w:divsChild>
                                <w:div w:id="1626958177">
                                  <w:marLeft w:val="0"/>
                                  <w:marRight w:val="0"/>
                                  <w:marTop w:val="0"/>
                                  <w:marBottom w:val="0"/>
                                  <w:divBdr>
                                    <w:top w:val="none" w:sz="0" w:space="0" w:color="auto"/>
                                    <w:left w:val="none" w:sz="0" w:space="0" w:color="auto"/>
                                    <w:bottom w:val="none" w:sz="0" w:space="0" w:color="auto"/>
                                    <w:right w:val="none" w:sz="0" w:space="0" w:color="auto"/>
                                  </w:divBdr>
                                  <w:divsChild>
                                    <w:div w:id="1298798956">
                                      <w:marLeft w:val="0"/>
                                      <w:marRight w:val="0"/>
                                      <w:marTop w:val="0"/>
                                      <w:marBottom w:val="0"/>
                                      <w:divBdr>
                                        <w:top w:val="none" w:sz="0" w:space="0" w:color="auto"/>
                                        <w:left w:val="none" w:sz="0" w:space="0" w:color="auto"/>
                                        <w:bottom w:val="none" w:sz="0" w:space="0" w:color="auto"/>
                                        <w:right w:val="none" w:sz="0" w:space="0" w:color="auto"/>
                                      </w:divBdr>
                                      <w:divsChild>
                                        <w:div w:id="1115636372">
                                          <w:marLeft w:val="0"/>
                                          <w:marRight w:val="0"/>
                                          <w:marTop w:val="0"/>
                                          <w:marBottom w:val="0"/>
                                          <w:divBdr>
                                            <w:top w:val="none" w:sz="0" w:space="0" w:color="auto"/>
                                            <w:left w:val="none" w:sz="0" w:space="0" w:color="auto"/>
                                            <w:bottom w:val="none" w:sz="0" w:space="0" w:color="auto"/>
                                            <w:right w:val="none" w:sz="0" w:space="0" w:color="auto"/>
                                          </w:divBdr>
                                          <w:divsChild>
                                            <w:div w:id="654144328">
                                              <w:marLeft w:val="0"/>
                                              <w:marRight w:val="0"/>
                                              <w:marTop w:val="0"/>
                                              <w:marBottom w:val="0"/>
                                              <w:divBdr>
                                                <w:top w:val="none" w:sz="0" w:space="0" w:color="auto"/>
                                                <w:left w:val="none" w:sz="0" w:space="0" w:color="auto"/>
                                                <w:bottom w:val="none" w:sz="0" w:space="0" w:color="auto"/>
                                                <w:right w:val="none" w:sz="0" w:space="0" w:color="auto"/>
                                              </w:divBdr>
                                              <w:divsChild>
                                                <w:div w:id="1459304006">
                                                  <w:marLeft w:val="0"/>
                                                  <w:marRight w:val="0"/>
                                                  <w:marTop w:val="0"/>
                                                  <w:marBottom w:val="0"/>
                                                  <w:divBdr>
                                                    <w:top w:val="none" w:sz="0" w:space="0" w:color="auto"/>
                                                    <w:left w:val="none" w:sz="0" w:space="0" w:color="auto"/>
                                                    <w:bottom w:val="none" w:sz="0" w:space="0" w:color="auto"/>
                                                    <w:right w:val="none" w:sz="0" w:space="0" w:color="auto"/>
                                                  </w:divBdr>
                                                  <w:divsChild>
                                                    <w:div w:id="1615792998">
                                                      <w:marLeft w:val="0"/>
                                                      <w:marRight w:val="0"/>
                                                      <w:marTop w:val="0"/>
                                                      <w:marBottom w:val="0"/>
                                                      <w:divBdr>
                                                        <w:top w:val="none" w:sz="0" w:space="0" w:color="auto"/>
                                                        <w:left w:val="none" w:sz="0" w:space="0" w:color="auto"/>
                                                        <w:bottom w:val="none" w:sz="0" w:space="0" w:color="auto"/>
                                                        <w:right w:val="none" w:sz="0" w:space="0" w:color="auto"/>
                                                      </w:divBdr>
                                                      <w:divsChild>
                                                        <w:div w:id="177046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9744305">
          <w:marLeft w:val="0"/>
          <w:marRight w:val="0"/>
          <w:marTop w:val="0"/>
          <w:marBottom w:val="0"/>
          <w:divBdr>
            <w:top w:val="none" w:sz="0" w:space="0" w:color="auto"/>
            <w:left w:val="none" w:sz="0" w:space="0" w:color="auto"/>
            <w:bottom w:val="none" w:sz="0" w:space="0" w:color="auto"/>
            <w:right w:val="none" w:sz="0" w:space="0" w:color="auto"/>
          </w:divBdr>
          <w:divsChild>
            <w:div w:id="1828667087">
              <w:marLeft w:val="0"/>
              <w:marRight w:val="0"/>
              <w:marTop w:val="0"/>
              <w:marBottom w:val="0"/>
              <w:divBdr>
                <w:top w:val="none" w:sz="0" w:space="0" w:color="auto"/>
                <w:left w:val="none" w:sz="0" w:space="0" w:color="auto"/>
                <w:bottom w:val="none" w:sz="0" w:space="0" w:color="auto"/>
                <w:right w:val="none" w:sz="0" w:space="0" w:color="auto"/>
              </w:divBdr>
            </w:div>
          </w:divsChild>
        </w:div>
        <w:div w:id="29692338">
          <w:marLeft w:val="0"/>
          <w:marRight w:val="0"/>
          <w:marTop w:val="0"/>
          <w:marBottom w:val="0"/>
          <w:divBdr>
            <w:top w:val="none" w:sz="0" w:space="0" w:color="auto"/>
            <w:left w:val="none" w:sz="0" w:space="0" w:color="auto"/>
            <w:bottom w:val="none" w:sz="0" w:space="0" w:color="auto"/>
            <w:right w:val="none" w:sz="0" w:space="0" w:color="auto"/>
          </w:divBdr>
          <w:divsChild>
            <w:div w:id="35457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93400">
      <w:bodyDiv w:val="1"/>
      <w:marLeft w:val="0"/>
      <w:marRight w:val="0"/>
      <w:marTop w:val="0"/>
      <w:marBottom w:val="0"/>
      <w:divBdr>
        <w:top w:val="none" w:sz="0" w:space="0" w:color="auto"/>
        <w:left w:val="none" w:sz="0" w:space="0" w:color="auto"/>
        <w:bottom w:val="none" w:sz="0" w:space="0" w:color="auto"/>
        <w:right w:val="none" w:sz="0" w:space="0" w:color="auto"/>
      </w:divBdr>
      <w:divsChild>
        <w:div w:id="959265924">
          <w:marLeft w:val="0"/>
          <w:marRight w:val="0"/>
          <w:marTop w:val="0"/>
          <w:marBottom w:val="0"/>
          <w:divBdr>
            <w:top w:val="none" w:sz="0" w:space="0" w:color="auto"/>
            <w:left w:val="none" w:sz="0" w:space="0" w:color="auto"/>
            <w:bottom w:val="none" w:sz="0" w:space="0" w:color="auto"/>
            <w:right w:val="none" w:sz="0" w:space="0" w:color="auto"/>
          </w:divBdr>
          <w:divsChild>
            <w:div w:id="1972439806">
              <w:marLeft w:val="0"/>
              <w:marRight w:val="0"/>
              <w:marTop w:val="0"/>
              <w:marBottom w:val="0"/>
              <w:divBdr>
                <w:top w:val="none" w:sz="0" w:space="0" w:color="auto"/>
                <w:left w:val="none" w:sz="0" w:space="0" w:color="auto"/>
                <w:bottom w:val="none" w:sz="0" w:space="0" w:color="auto"/>
                <w:right w:val="none" w:sz="0" w:space="0" w:color="auto"/>
              </w:divBdr>
              <w:divsChild>
                <w:div w:id="1071347653">
                  <w:marLeft w:val="0"/>
                  <w:marRight w:val="0"/>
                  <w:marTop w:val="0"/>
                  <w:marBottom w:val="0"/>
                  <w:divBdr>
                    <w:top w:val="none" w:sz="0" w:space="0" w:color="auto"/>
                    <w:left w:val="none" w:sz="0" w:space="0" w:color="auto"/>
                    <w:bottom w:val="none" w:sz="0" w:space="0" w:color="auto"/>
                    <w:right w:val="none" w:sz="0" w:space="0" w:color="auto"/>
                  </w:divBdr>
                  <w:divsChild>
                    <w:div w:id="1472021113">
                      <w:marLeft w:val="0"/>
                      <w:marRight w:val="0"/>
                      <w:marTop w:val="0"/>
                      <w:marBottom w:val="0"/>
                      <w:divBdr>
                        <w:top w:val="none" w:sz="0" w:space="0" w:color="auto"/>
                        <w:left w:val="none" w:sz="0" w:space="0" w:color="auto"/>
                        <w:bottom w:val="none" w:sz="0" w:space="0" w:color="auto"/>
                        <w:right w:val="none" w:sz="0" w:space="0" w:color="auto"/>
                      </w:divBdr>
                      <w:divsChild>
                        <w:div w:id="1914774556">
                          <w:marLeft w:val="0"/>
                          <w:marRight w:val="0"/>
                          <w:marTop w:val="0"/>
                          <w:marBottom w:val="0"/>
                          <w:divBdr>
                            <w:top w:val="none" w:sz="0" w:space="0" w:color="auto"/>
                            <w:left w:val="none" w:sz="0" w:space="0" w:color="auto"/>
                            <w:bottom w:val="none" w:sz="0" w:space="0" w:color="auto"/>
                            <w:right w:val="none" w:sz="0" w:space="0" w:color="auto"/>
                          </w:divBdr>
                          <w:divsChild>
                            <w:div w:id="1375421411">
                              <w:marLeft w:val="0"/>
                              <w:marRight w:val="0"/>
                              <w:marTop w:val="0"/>
                              <w:marBottom w:val="0"/>
                              <w:divBdr>
                                <w:top w:val="none" w:sz="0" w:space="0" w:color="auto"/>
                                <w:left w:val="none" w:sz="0" w:space="0" w:color="auto"/>
                                <w:bottom w:val="none" w:sz="0" w:space="0" w:color="auto"/>
                                <w:right w:val="none" w:sz="0" w:space="0" w:color="auto"/>
                              </w:divBdr>
                              <w:divsChild>
                                <w:div w:id="19481243">
                                  <w:marLeft w:val="0"/>
                                  <w:marRight w:val="0"/>
                                  <w:marTop w:val="0"/>
                                  <w:marBottom w:val="0"/>
                                  <w:divBdr>
                                    <w:top w:val="none" w:sz="0" w:space="0" w:color="auto"/>
                                    <w:left w:val="none" w:sz="0" w:space="0" w:color="auto"/>
                                    <w:bottom w:val="none" w:sz="0" w:space="0" w:color="auto"/>
                                    <w:right w:val="none" w:sz="0" w:space="0" w:color="auto"/>
                                  </w:divBdr>
                                  <w:divsChild>
                                    <w:div w:id="220023136">
                                      <w:marLeft w:val="0"/>
                                      <w:marRight w:val="0"/>
                                      <w:marTop w:val="0"/>
                                      <w:marBottom w:val="0"/>
                                      <w:divBdr>
                                        <w:top w:val="none" w:sz="0" w:space="0" w:color="auto"/>
                                        <w:left w:val="none" w:sz="0" w:space="0" w:color="auto"/>
                                        <w:bottom w:val="none" w:sz="0" w:space="0" w:color="auto"/>
                                        <w:right w:val="none" w:sz="0" w:space="0" w:color="auto"/>
                                      </w:divBdr>
                                      <w:divsChild>
                                        <w:div w:id="1644576369">
                                          <w:marLeft w:val="0"/>
                                          <w:marRight w:val="0"/>
                                          <w:marTop w:val="0"/>
                                          <w:marBottom w:val="0"/>
                                          <w:divBdr>
                                            <w:top w:val="none" w:sz="0" w:space="0" w:color="auto"/>
                                            <w:left w:val="none" w:sz="0" w:space="0" w:color="auto"/>
                                            <w:bottom w:val="none" w:sz="0" w:space="0" w:color="auto"/>
                                            <w:right w:val="none" w:sz="0" w:space="0" w:color="auto"/>
                                          </w:divBdr>
                                          <w:divsChild>
                                            <w:div w:id="1326982259">
                                              <w:marLeft w:val="0"/>
                                              <w:marRight w:val="0"/>
                                              <w:marTop w:val="0"/>
                                              <w:marBottom w:val="0"/>
                                              <w:divBdr>
                                                <w:top w:val="none" w:sz="0" w:space="0" w:color="auto"/>
                                                <w:left w:val="none" w:sz="0" w:space="0" w:color="auto"/>
                                                <w:bottom w:val="none" w:sz="0" w:space="0" w:color="auto"/>
                                                <w:right w:val="none" w:sz="0" w:space="0" w:color="auto"/>
                                              </w:divBdr>
                                              <w:divsChild>
                                                <w:div w:id="1612594025">
                                                  <w:marLeft w:val="0"/>
                                                  <w:marRight w:val="0"/>
                                                  <w:marTop w:val="0"/>
                                                  <w:marBottom w:val="0"/>
                                                  <w:divBdr>
                                                    <w:top w:val="none" w:sz="0" w:space="0" w:color="auto"/>
                                                    <w:left w:val="none" w:sz="0" w:space="0" w:color="auto"/>
                                                    <w:bottom w:val="none" w:sz="0" w:space="0" w:color="auto"/>
                                                    <w:right w:val="none" w:sz="0" w:space="0" w:color="auto"/>
                                                  </w:divBdr>
                                                  <w:divsChild>
                                                    <w:div w:id="1876430595">
                                                      <w:marLeft w:val="0"/>
                                                      <w:marRight w:val="0"/>
                                                      <w:marTop w:val="0"/>
                                                      <w:marBottom w:val="0"/>
                                                      <w:divBdr>
                                                        <w:top w:val="none" w:sz="0" w:space="0" w:color="auto"/>
                                                        <w:left w:val="none" w:sz="0" w:space="0" w:color="auto"/>
                                                        <w:bottom w:val="none" w:sz="0" w:space="0" w:color="auto"/>
                                                        <w:right w:val="none" w:sz="0" w:space="0" w:color="auto"/>
                                                      </w:divBdr>
                                                      <w:divsChild>
                                                        <w:div w:id="131799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291792">
          <w:marLeft w:val="0"/>
          <w:marRight w:val="0"/>
          <w:marTop w:val="0"/>
          <w:marBottom w:val="0"/>
          <w:divBdr>
            <w:top w:val="none" w:sz="0" w:space="0" w:color="auto"/>
            <w:left w:val="none" w:sz="0" w:space="0" w:color="auto"/>
            <w:bottom w:val="none" w:sz="0" w:space="0" w:color="auto"/>
            <w:right w:val="none" w:sz="0" w:space="0" w:color="auto"/>
          </w:divBdr>
          <w:divsChild>
            <w:div w:id="1760906720">
              <w:marLeft w:val="0"/>
              <w:marRight w:val="0"/>
              <w:marTop w:val="0"/>
              <w:marBottom w:val="0"/>
              <w:divBdr>
                <w:top w:val="none" w:sz="0" w:space="0" w:color="auto"/>
                <w:left w:val="none" w:sz="0" w:space="0" w:color="auto"/>
                <w:bottom w:val="none" w:sz="0" w:space="0" w:color="auto"/>
                <w:right w:val="none" w:sz="0" w:space="0" w:color="auto"/>
              </w:divBdr>
              <w:divsChild>
                <w:div w:id="866603243">
                  <w:marLeft w:val="0"/>
                  <w:marRight w:val="0"/>
                  <w:marTop w:val="0"/>
                  <w:marBottom w:val="0"/>
                  <w:divBdr>
                    <w:top w:val="none" w:sz="0" w:space="0" w:color="auto"/>
                    <w:left w:val="none" w:sz="0" w:space="0" w:color="auto"/>
                    <w:bottom w:val="none" w:sz="0" w:space="0" w:color="auto"/>
                    <w:right w:val="none" w:sz="0" w:space="0" w:color="auto"/>
                  </w:divBdr>
                  <w:divsChild>
                    <w:div w:id="1630286322">
                      <w:marLeft w:val="0"/>
                      <w:marRight w:val="0"/>
                      <w:marTop w:val="0"/>
                      <w:marBottom w:val="0"/>
                      <w:divBdr>
                        <w:top w:val="none" w:sz="0" w:space="0" w:color="auto"/>
                        <w:left w:val="none" w:sz="0" w:space="0" w:color="auto"/>
                        <w:bottom w:val="none" w:sz="0" w:space="0" w:color="auto"/>
                        <w:right w:val="none" w:sz="0" w:space="0" w:color="auto"/>
                      </w:divBdr>
                      <w:divsChild>
                        <w:div w:id="44179641">
                          <w:marLeft w:val="0"/>
                          <w:marRight w:val="0"/>
                          <w:marTop w:val="0"/>
                          <w:marBottom w:val="0"/>
                          <w:divBdr>
                            <w:top w:val="none" w:sz="0" w:space="0" w:color="auto"/>
                            <w:left w:val="none" w:sz="0" w:space="0" w:color="auto"/>
                            <w:bottom w:val="none" w:sz="0" w:space="0" w:color="auto"/>
                            <w:right w:val="none" w:sz="0" w:space="0" w:color="auto"/>
                          </w:divBdr>
                          <w:divsChild>
                            <w:div w:id="1974552524">
                              <w:marLeft w:val="0"/>
                              <w:marRight w:val="0"/>
                              <w:marTop w:val="0"/>
                              <w:marBottom w:val="0"/>
                              <w:divBdr>
                                <w:top w:val="none" w:sz="0" w:space="0" w:color="auto"/>
                                <w:left w:val="none" w:sz="0" w:space="0" w:color="auto"/>
                                <w:bottom w:val="none" w:sz="0" w:space="0" w:color="auto"/>
                                <w:right w:val="none" w:sz="0" w:space="0" w:color="auto"/>
                              </w:divBdr>
                              <w:divsChild>
                                <w:div w:id="1310670278">
                                  <w:marLeft w:val="0"/>
                                  <w:marRight w:val="0"/>
                                  <w:marTop w:val="0"/>
                                  <w:marBottom w:val="0"/>
                                  <w:divBdr>
                                    <w:top w:val="none" w:sz="0" w:space="0" w:color="auto"/>
                                    <w:left w:val="none" w:sz="0" w:space="0" w:color="auto"/>
                                    <w:bottom w:val="none" w:sz="0" w:space="0" w:color="auto"/>
                                    <w:right w:val="none" w:sz="0" w:space="0" w:color="auto"/>
                                  </w:divBdr>
                                  <w:divsChild>
                                    <w:div w:id="1884707044">
                                      <w:marLeft w:val="0"/>
                                      <w:marRight w:val="0"/>
                                      <w:marTop w:val="0"/>
                                      <w:marBottom w:val="0"/>
                                      <w:divBdr>
                                        <w:top w:val="none" w:sz="0" w:space="0" w:color="auto"/>
                                        <w:left w:val="none" w:sz="0" w:space="0" w:color="auto"/>
                                        <w:bottom w:val="none" w:sz="0" w:space="0" w:color="auto"/>
                                        <w:right w:val="none" w:sz="0" w:space="0" w:color="auto"/>
                                      </w:divBdr>
                                      <w:divsChild>
                                        <w:div w:id="1944989662">
                                          <w:marLeft w:val="0"/>
                                          <w:marRight w:val="0"/>
                                          <w:marTop w:val="0"/>
                                          <w:marBottom w:val="0"/>
                                          <w:divBdr>
                                            <w:top w:val="none" w:sz="0" w:space="0" w:color="auto"/>
                                            <w:left w:val="none" w:sz="0" w:space="0" w:color="auto"/>
                                            <w:bottom w:val="none" w:sz="0" w:space="0" w:color="auto"/>
                                            <w:right w:val="none" w:sz="0" w:space="0" w:color="auto"/>
                                          </w:divBdr>
                                          <w:divsChild>
                                            <w:div w:id="1393578339">
                                              <w:marLeft w:val="0"/>
                                              <w:marRight w:val="0"/>
                                              <w:marTop w:val="0"/>
                                              <w:marBottom w:val="0"/>
                                              <w:divBdr>
                                                <w:top w:val="none" w:sz="0" w:space="0" w:color="auto"/>
                                                <w:left w:val="none" w:sz="0" w:space="0" w:color="auto"/>
                                                <w:bottom w:val="none" w:sz="0" w:space="0" w:color="auto"/>
                                                <w:right w:val="none" w:sz="0" w:space="0" w:color="auto"/>
                                              </w:divBdr>
                                              <w:divsChild>
                                                <w:div w:id="985475387">
                                                  <w:marLeft w:val="0"/>
                                                  <w:marRight w:val="0"/>
                                                  <w:marTop w:val="0"/>
                                                  <w:marBottom w:val="0"/>
                                                  <w:divBdr>
                                                    <w:top w:val="none" w:sz="0" w:space="0" w:color="auto"/>
                                                    <w:left w:val="none" w:sz="0" w:space="0" w:color="auto"/>
                                                    <w:bottom w:val="none" w:sz="0" w:space="0" w:color="auto"/>
                                                    <w:right w:val="none" w:sz="0" w:space="0" w:color="auto"/>
                                                  </w:divBdr>
                                                  <w:divsChild>
                                                    <w:div w:id="1187792075">
                                                      <w:marLeft w:val="0"/>
                                                      <w:marRight w:val="0"/>
                                                      <w:marTop w:val="0"/>
                                                      <w:marBottom w:val="0"/>
                                                      <w:divBdr>
                                                        <w:top w:val="none" w:sz="0" w:space="0" w:color="auto"/>
                                                        <w:left w:val="none" w:sz="0" w:space="0" w:color="auto"/>
                                                        <w:bottom w:val="none" w:sz="0" w:space="0" w:color="auto"/>
                                                        <w:right w:val="none" w:sz="0" w:space="0" w:color="auto"/>
                                                      </w:divBdr>
                                                      <w:divsChild>
                                                        <w:div w:id="93135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520228">
          <w:marLeft w:val="0"/>
          <w:marRight w:val="0"/>
          <w:marTop w:val="0"/>
          <w:marBottom w:val="0"/>
          <w:divBdr>
            <w:top w:val="none" w:sz="0" w:space="0" w:color="auto"/>
            <w:left w:val="none" w:sz="0" w:space="0" w:color="auto"/>
            <w:bottom w:val="none" w:sz="0" w:space="0" w:color="auto"/>
            <w:right w:val="none" w:sz="0" w:space="0" w:color="auto"/>
          </w:divBdr>
          <w:divsChild>
            <w:div w:id="1250314359">
              <w:marLeft w:val="0"/>
              <w:marRight w:val="0"/>
              <w:marTop w:val="0"/>
              <w:marBottom w:val="0"/>
              <w:divBdr>
                <w:top w:val="none" w:sz="0" w:space="0" w:color="auto"/>
                <w:left w:val="none" w:sz="0" w:space="0" w:color="auto"/>
                <w:bottom w:val="none" w:sz="0" w:space="0" w:color="auto"/>
                <w:right w:val="none" w:sz="0" w:space="0" w:color="auto"/>
              </w:divBdr>
            </w:div>
          </w:divsChild>
        </w:div>
        <w:div w:id="579874586">
          <w:marLeft w:val="0"/>
          <w:marRight w:val="0"/>
          <w:marTop w:val="0"/>
          <w:marBottom w:val="0"/>
          <w:divBdr>
            <w:top w:val="none" w:sz="0" w:space="0" w:color="auto"/>
            <w:left w:val="none" w:sz="0" w:space="0" w:color="auto"/>
            <w:bottom w:val="none" w:sz="0" w:space="0" w:color="auto"/>
            <w:right w:val="none" w:sz="0" w:space="0" w:color="auto"/>
          </w:divBdr>
          <w:divsChild>
            <w:div w:id="66088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645252">
      <w:bodyDiv w:val="1"/>
      <w:marLeft w:val="0"/>
      <w:marRight w:val="0"/>
      <w:marTop w:val="0"/>
      <w:marBottom w:val="0"/>
      <w:divBdr>
        <w:top w:val="none" w:sz="0" w:space="0" w:color="auto"/>
        <w:left w:val="none" w:sz="0" w:space="0" w:color="auto"/>
        <w:bottom w:val="none" w:sz="0" w:space="0" w:color="auto"/>
        <w:right w:val="none" w:sz="0" w:space="0" w:color="auto"/>
      </w:divBdr>
      <w:divsChild>
        <w:div w:id="1759861192">
          <w:marLeft w:val="0"/>
          <w:marRight w:val="0"/>
          <w:marTop w:val="0"/>
          <w:marBottom w:val="0"/>
          <w:divBdr>
            <w:top w:val="none" w:sz="0" w:space="0" w:color="auto"/>
            <w:left w:val="none" w:sz="0" w:space="0" w:color="auto"/>
            <w:bottom w:val="none" w:sz="0" w:space="0" w:color="auto"/>
            <w:right w:val="none" w:sz="0" w:space="0" w:color="auto"/>
          </w:divBdr>
          <w:divsChild>
            <w:div w:id="2114468911">
              <w:marLeft w:val="0"/>
              <w:marRight w:val="0"/>
              <w:marTop w:val="0"/>
              <w:marBottom w:val="0"/>
              <w:divBdr>
                <w:top w:val="none" w:sz="0" w:space="0" w:color="auto"/>
                <w:left w:val="none" w:sz="0" w:space="0" w:color="auto"/>
                <w:bottom w:val="none" w:sz="0" w:space="0" w:color="auto"/>
                <w:right w:val="none" w:sz="0" w:space="0" w:color="auto"/>
              </w:divBdr>
              <w:divsChild>
                <w:div w:id="661542394">
                  <w:marLeft w:val="0"/>
                  <w:marRight w:val="0"/>
                  <w:marTop w:val="0"/>
                  <w:marBottom w:val="0"/>
                  <w:divBdr>
                    <w:top w:val="none" w:sz="0" w:space="0" w:color="auto"/>
                    <w:left w:val="none" w:sz="0" w:space="0" w:color="auto"/>
                    <w:bottom w:val="none" w:sz="0" w:space="0" w:color="auto"/>
                    <w:right w:val="none" w:sz="0" w:space="0" w:color="auto"/>
                  </w:divBdr>
                  <w:divsChild>
                    <w:div w:id="337583133">
                      <w:marLeft w:val="0"/>
                      <w:marRight w:val="0"/>
                      <w:marTop w:val="0"/>
                      <w:marBottom w:val="0"/>
                      <w:divBdr>
                        <w:top w:val="none" w:sz="0" w:space="0" w:color="auto"/>
                        <w:left w:val="none" w:sz="0" w:space="0" w:color="auto"/>
                        <w:bottom w:val="none" w:sz="0" w:space="0" w:color="auto"/>
                        <w:right w:val="none" w:sz="0" w:space="0" w:color="auto"/>
                      </w:divBdr>
                      <w:divsChild>
                        <w:div w:id="1336036124">
                          <w:marLeft w:val="0"/>
                          <w:marRight w:val="0"/>
                          <w:marTop w:val="0"/>
                          <w:marBottom w:val="0"/>
                          <w:divBdr>
                            <w:top w:val="none" w:sz="0" w:space="0" w:color="auto"/>
                            <w:left w:val="none" w:sz="0" w:space="0" w:color="auto"/>
                            <w:bottom w:val="none" w:sz="0" w:space="0" w:color="auto"/>
                            <w:right w:val="none" w:sz="0" w:space="0" w:color="auto"/>
                          </w:divBdr>
                          <w:divsChild>
                            <w:div w:id="784733034">
                              <w:marLeft w:val="0"/>
                              <w:marRight w:val="0"/>
                              <w:marTop w:val="0"/>
                              <w:marBottom w:val="0"/>
                              <w:divBdr>
                                <w:top w:val="none" w:sz="0" w:space="0" w:color="auto"/>
                                <w:left w:val="none" w:sz="0" w:space="0" w:color="auto"/>
                                <w:bottom w:val="none" w:sz="0" w:space="0" w:color="auto"/>
                                <w:right w:val="none" w:sz="0" w:space="0" w:color="auto"/>
                              </w:divBdr>
                              <w:divsChild>
                                <w:div w:id="418062216">
                                  <w:marLeft w:val="0"/>
                                  <w:marRight w:val="0"/>
                                  <w:marTop w:val="0"/>
                                  <w:marBottom w:val="0"/>
                                  <w:divBdr>
                                    <w:top w:val="none" w:sz="0" w:space="0" w:color="auto"/>
                                    <w:left w:val="none" w:sz="0" w:space="0" w:color="auto"/>
                                    <w:bottom w:val="none" w:sz="0" w:space="0" w:color="auto"/>
                                    <w:right w:val="none" w:sz="0" w:space="0" w:color="auto"/>
                                  </w:divBdr>
                                  <w:divsChild>
                                    <w:div w:id="450320988">
                                      <w:marLeft w:val="0"/>
                                      <w:marRight w:val="0"/>
                                      <w:marTop w:val="0"/>
                                      <w:marBottom w:val="0"/>
                                      <w:divBdr>
                                        <w:top w:val="none" w:sz="0" w:space="0" w:color="auto"/>
                                        <w:left w:val="none" w:sz="0" w:space="0" w:color="auto"/>
                                        <w:bottom w:val="none" w:sz="0" w:space="0" w:color="auto"/>
                                        <w:right w:val="none" w:sz="0" w:space="0" w:color="auto"/>
                                      </w:divBdr>
                                      <w:divsChild>
                                        <w:div w:id="1227956310">
                                          <w:marLeft w:val="0"/>
                                          <w:marRight w:val="0"/>
                                          <w:marTop w:val="0"/>
                                          <w:marBottom w:val="0"/>
                                          <w:divBdr>
                                            <w:top w:val="none" w:sz="0" w:space="0" w:color="auto"/>
                                            <w:left w:val="none" w:sz="0" w:space="0" w:color="auto"/>
                                            <w:bottom w:val="none" w:sz="0" w:space="0" w:color="auto"/>
                                            <w:right w:val="none" w:sz="0" w:space="0" w:color="auto"/>
                                          </w:divBdr>
                                          <w:divsChild>
                                            <w:div w:id="1005984518">
                                              <w:marLeft w:val="0"/>
                                              <w:marRight w:val="0"/>
                                              <w:marTop w:val="0"/>
                                              <w:marBottom w:val="0"/>
                                              <w:divBdr>
                                                <w:top w:val="none" w:sz="0" w:space="0" w:color="auto"/>
                                                <w:left w:val="none" w:sz="0" w:space="0" w:color="auto"/>
                                                <w:bottom w:val="none" w:sz="0" w:space="0" w:color="auto"/>
                                                <w:right w:val="none" w:sz="0" w:space="0" w:color="auto"/>
                                              </w:divBdr>
                                              <w:divsChild>
                                                <w:div w:id="10376693">
                                                  <w:marLeft w:val="0"/>
                                                  <w:marRight w:val="0"/>
                                                  <w:marTop w:val="0"/>
                                                  <w:marBottom w:val="0"/>
                                                  <w:divBdr>
                                                    <w:top w:val="none" w:sz="0" w:space="0" w:color="auto"/>
                                                    <w:left w:val="none" w:sz="0" w:space="0" w:color="auto"/>
                                                    <w:bottom w:val="none" w:sz="0" w:space="0" w:color="auto"/>
                                                    <w:right w:val="none" w:sz="0" w:space="0" w:color="auto"/>
                                                  </w:divBdr>
                                                  <w:divsChild>
                                                    <w:div w:id="112865166">
                                                      <w:marLeft w:val="0"/>
                                                      <w:marRight w:val="0"/>
                                                      <w:marTop w:val="0"/>
                                                      <w:marBottom w:val="0"/>
                                                      <w:divBdr>
                                                        <w:top w:val="none" w:sz="0" w:space="0" w:color="auto"/>
                                                        <w:left w:val="none" w:sz="0" w:space="0" w:color="auto"/>
                                                        <w:bottom w:val="none" w:sz="0" w:space="0" w:color="auto"/>
                                                        <w:right w:val="none" w:sz="0" w:space="0" w:color="auto"/>
                                                      </w:divBdr>
                                                      <w:divsChild>
                                                        <w:div w:id="181668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436973">
          <w:marLeft w:val="0"/>
          <w:marRight w:val="0"/>
          <w:marTop w:val="0"/>
          <w:marBottom w:val="0"/>
          <w:divBdr>
            <w:top w:val="none" w:sz="0" w:space="0" w:color="auto"/>
            <w:left w:val="none" w:sz="0" w:space="0" w:color="auto"/>
            <w:bottom w:val="none" w:sz="0" w:space="0" w:color="auto"/>
            <w:right w:val="none" w:sz="0" w:space="0" w:color="auto"/>
          </w:divBdr>
          <w:divsChild>
            <w:div w:id="172544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10993">
      <w:bodyDiv w:val="1"/>
      <w:marLeft w:val="0"/>
      <w:marRight w:val="0"/>
      <w:marTop w:val="0"/>
      <w:marBottom w:val="0"/>
      <w:divBdr>
        <w:top w:val="none" w:sz="0" w:space="0" w:color="auto"/>
        <w:left w:val="none" w:sz="0" w:space="0" w:color="auto"/>
        <w:bottom w:val="none" w:sz="0" w:space="0" w:color="auto"/>
        <w:right w:val="none" w:sz="0" w:space="0" w:color="auto"/>
      </w:divBdr>
      <w:divsChild>
        <w:div w:id="1502811860">
          <w:marLeft w:val="0"/>
          <w:marRight w:val="0"/>
          <w:marTop w:val="0"/>
          <w:marBottom w:val="0"/>
          <w:divBdr>
            <w:top w:val="none" w:sz="0" w:space="0" w:color="auto"/>
            <w:left w:val="none" w:sz="0" w:space="0" w:color="auto"/>
            <w:bottom w:val="none" w:sz="0" w:space="0" w:color="auto"/>
            <w:right w:val="none" w:sz="0" w:space="0" w:color="auto"/>
          </w:divBdr>
          <w:divsChild>
            <w:div w:id="1145581600">
              <w:marLeft w:val="0"/>
              <w:marRight w:val="0"/>
              <w:marTop w:val="0"/>
              <w:marBottom w:val="0"/>
              <w:divBdr>
                <w:top w:val="none" w:sz="0" w:space="0" w:color="auto"/>
                <w:left w:val="none" w:sz="0" w:space="0" w:color="auto"/>
                <w:bottom w:val="none" w:sz="0" w:space="0" w:color="auto"/>
                <w:right w:val="none" w:sz="0" w:space="0" w:color="auto"/>
              </w:divBdr>
              <w:divsChild>
                <w:div w:id="1132988311">
                  <w:marLeft w:val="0"/>
                  <w:marRight w:val="0"/>
                  <w:marTop w:val="0"/>
                  <w:marBottom w:val="0"/>
                  <w:divBdr>
                    <w:top w:val="none" w:sz="0" w:space="0" w:color="auto"/>
                    <w:left w:val="none" w:sz="0" w:space="0" w:color="auto"/>
                    <w:bottom w:val="none" w:sz="0" w:space="0" w:color="auto"/>
                    <w:right w:val="none" w:sz="0" w:space="0" w:color="auto"/>
                  </w:divBdr>
                  <w:divsChild>
                    <w:div w:id="381056073">
                      <w:marLeft w:val="0"/>
                      <w:marRight w:val="0"/>
                      <w:marTop w:val="0"/>
                      <w:marBottom w:val="0"/>
                      <w:divBdr>
                        <w:top w:val="none" w:sz="0" w:space="0" w:color="auto"/>
                        <w:left w:val="none" w:sz="0" w:space="0" w:color="auto"/>
                        <w:bottom w:val="none" w:sz="0" w:space="0" w:color="auto"/>
                        <w:right w:val="none" w:sz="0" w:space="0" w:color="auto"/>
                      </w:divBdr>
                      <w:divsChild>
                        <w:div w:id="2132698587">
                          <w:marLeft w:val="0"/>
                          <w:marRight w:val="0"/>
                          <w:marTop w:val="0"/>
                          <w:marBottom w:val="0"/>
                          <w:divBdr>
                            <w:top w:val="none" w:sz="0" w:space="0" w:color="auto"/>
                            <w:left w:val="none" w:sz="0" w:space="0" w:color="auto"/>
                            <w:bottom w:val="none" w:sz="0" w:space="0" w:color="auto"/>
                            <w:right w:val="none" w:sz="0" w:space="0" w:color="auto"/>
                          </w:divBdr>
                          <w:divsChild>
                            <w:div w:id="311954593">
                              <w:marLeft w:val="0"/>
                              <w:marRight w:val="0"/>
                              <w:marTop w:val="0"/>
                              <w:marBottom w:val="0"/>
                              <w:divBdr>
                                <w:top w:val="none" w:sz="0" w:space="0" w:color="auto"/>
                                <w:left w:val="none" w:sz="0" w:space="0" w:color="auto"/>
                                <w:bottom w:val="none" w:sz="0" w:space="0" w:color="auto"/>
                                <w:right w:val="none" w:sz="0" w:space="0" w:color="auto"/>
                              </w:divBdr>
                              <w:divsChild>
                                <w:div w:id="1004934803">
                                  <w:marLeft w:val="0"/>
                                  <w:marRight w:val="0"/>
                                  <w:marTop w:val="0"/>
                                  <w:marBottom w:val="0"/>
                                  <w:divBdr>
                                    <w:top w:val="none" w:sz="0" w:space="0" w:color="auto"/>
                                    <w:left w:val="none" w:sz="0" w:space="0" w:color="auto"/>
                                    <w:bottom w:val="none" w:sz="0" w:space="0" w:color="auto"/>
                                    <w:right w:val="none" w:sz="0" w:space="0" w:color="auto"/>
                                  </w:divBdr>
                                  <w:divsChild>
                                    <w:div w:id="576210887">
                                      <w:marLeft w:val="0"/>
                                      <w:marRight w:val="0"/>
                                      <w:marTop w:val="0"/>
                                      <w:marBottom w:val="0"/>
                                      <w:divBdr>
                                        <w:top w:val="none" w:sz="0" w:space="0" w:color="auto"/>
                                        <w:left w:val="none" w:sz="0" w:space="0" w:color="auto"/>
                                        <w:bottom w:val="none" w:sz="0" w:space="0" w:color="auto"/>
                                        <w:right w:val="none" w:sz="0" w:space="0" w:color="auto"/>
                                      </w:divBdr>
                                      <w:divsChild>
                                        <w:div w:id="228423165">
                                          <w:marLeft w:val="0"/>
                                          <w:marRight w:val="0"/>
                                          <w:marTop w:val="0"/>
                                          <w:marBottom w:val="0"/>
                                          <w:divBdr>
                                            <w:top w:val="none" w:sz="0" w:space="0" w:color="auto"/>
                                            <w:left w:val="none" w:sz="0" w:space="0" w:color="auto"/>
                                            <w:bottom w:val="none" w:sz="0" w:space="0" w:color="auto"/>
                                            <w:right w:val="none" w:sz="0" w:space="0" w:color="auto"/>
                                          </w:divBdr>
                                          <w:divsChild>
                                            <w:div w:id="912011858">
                                              <w:marLeft w:val="0"/>
                                              <w:marRight w:val="0"/>
                                              <w:marTop w:val="0"/>
                                              <w:marBottom w:val="0"/>
                                              <w:divBdr>
                                                <w:top w:val="none" w:sz="0" w:space="0" w:color="auto"/>
                                                <w:left w:val="none" w:sz="0" w:space="0" w:color="auto"/>
                                                <w:bottom w:val="none" w:sz="0" w:space="0" w:color="auto"/>
                                                <w:right w:val="none" w:sz="0" w:space="0" w:color="auto"/>
                                              </w:divBdr>
                                              <w:divsChild>
                                                <w:div w:id="1502620780">
                                                  <w:marLeft w:val="0"/>
                                                  <w:marRight w:val="0"/>
                                                  <w:marTop w:val="0"/>
                                                  <w:marBottom w:val="0"/>
                                                  <w:divBdr>
                                                    <w:top w:val="none" w:sz="0" w:space="0" w:color="auto"/>
                                                    <w:left w:val="none" w:sz="0" w:space="0" w:color="auto"/>
                                                    <w:bottom w:val="none" w:sz="0" w:space="0" w:color="auto"/>
                                                    <w:right w:val="none" w:sz="0" w:space="0" w:color="auto"/>
                                                  </w:divBdr>
                                                  <w:divsChild>
                                                    <w:div w:id="1809738501">
                                                      <w:marLeft w:val="0"/>
                                                      <w:marRight w:val="0"/>
                                                      <w:marTop w:val="0"/>
                                                      <w:marBottom w:val="0"/>
                                                      <w:divBdr>
                                                        <w:top w:val="none" w:sz="0" w:space="0" w:color="auto"/>
                                                        <w:left w:val="none" w:sz="0" w:space="0" w:color="auto"/>
                                                        <w:bottom w:val="none" w:sz="0" w:space="0" w:color="auto"/>
                                                        <w:right w:val="none" w:sz="0" w:space="0" w:color="auto"/>
                                                      </w:divBdr>
                                                      <w:divsChild>
                                                        <w:div w:id="80328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899944">
          <w:marLeft w:val="0"/>
          <w:marRight w:val="0"/>
          <w:marTop w:val="0"/>
          <w:marBottom w:val="0"/>
          <w:divBdr>
            <w:top w:val="none" w:sz="0" w:space="0" w:color="auto"/>
            <w:left w:val="none" w:sz="0" w:space="0" w:color="auto"/>
            <w:bottom w:val="none" w:sz="0" w:space="0" w:color="auto"/>
            <w:right w:val="none" w:sz="0" w:space="0" w:color="auto"/>
          </w:divBdr>
          <w:divsChild>
            <w:div w:id="1341930729">
              <w:marLeft w:val="0"/>
              <w:marRight w:val="0"/>
              <w:marTop w:val="0"/>
              <w:marBottom w:val="0"/>
              <w:divBdr>
                <w:top w:val="none" w:sz="0" w:space="0" w:color="auto"/>
                <w:left w:val="none" w:sz="0" w:space="0" w:color="auto"/>
                <w:bottom w:val="none" w:sz="0" w:space="0" w:color="auto"/>
                <w:right w:val="none" w:sz="0" w:space="0" w:color="auto"/>
              </w:divBdr>
              <w:divsChild>
                <w:div w:id="456488023">
                  <w:marLeft w:val="0"/>
                  <w:marRight w:val="0"/>
                  <w:marTop w:val="0"/>
                  <w:marBottom w:val="0"/>
                  <w:divBdr>
                    <w:top w:val="none" w:sz="0" w:space="0" w:color="auto"/>
                    <w:left w:val="none" w:sz="0" w:space="0" w:color="auto"/>
                    <w:bottom w:val="none" w:sz="0" w:space="0" w:color="auto"/>
                    <w:right w:val="none" w:sz="0" w:space="0" w:color="auto"/>
                  </w:divBdr>
                  <w:divsChild>
                    <w:div w:id="1760758488">
                      <w:marLeft w:val="0"/>
                      <w:marRight w:val="0"/>
                      <w:marTop w:val="0"/>
                      <w:marBottom w:val="0"/>
                      <w:divBdr>
                        <w:top w:val="none" w:sz="0" w:space="0" w:color="auto"/>
                        <w:left w:val="none" w:sz="0" w:space="0" w:color="auto"/>
                        <w:bottom w:val="none" w:sz="0" w:space="0" w:color="auto"/>
                        <w:right w:val="none" w:sz="0" w:space="0" w:color="auto"/>
                      </w:divBdr>
                      <w:divsChild>
                        <w:div w:id="803623007">
                          <w:marLeft w:val="0"/>
                          <w:marRight w:val="0"/>
                          <w:marTop w:val="0"/>
                          <w:marBottom w:val="0"/>
                          <w:divBdr>
                            <w:top w:val="none" w:sz="0" w:space="0" w:color="auto"/>
                            <w:left w:val="none" w:sz="0" w:space="0" w:color="auto"/>
                            <w:bottom w:val="none" w:sz="0" w:space="0" w:color="auto"/>
                            <w:right w:val="none" w:sz="0" w:space="0" w:color="auto"/>
                          </w:divBdr>
                          <w:divsChild>
                            <w:div w:id="268895804">
                              <w:marLeft w:val="0"/>
                              <w:marRight w:val="0"/>
                              <w:marTop w:val="0"/>
                              <w:marBottom w:val="0"/>
                              <w:divBdr>
                                <w:top w:val="none" w:sz="0" w:space="0" w:color="auto"/>
                                <w:left w:val="none" w:sz="0" w:space="0" w:color="auto"/>
                                <w:bottom w:val="none" w:sz="0" w:space="0" w:color="auto"/>
                                <w:right w:val="none" w:sz="0" w:space="0" w:color="auto"/>
                              </w:divBdr>
                              <w:divsChild>
                                <w:div w:id="1026250211">
                                  <w:marLeft w:val="0"/>
                                  <w:marRight w:val="0"/>
                                  <w:marTop w:val="0"/>
                                  <w:marBottom w:val="0"/>
                                  <w:divBdr>
                                    <w:top w:val="none" w:sz="0" w:space="0" w:color="auto"/>
                                    <w:left w:val="none" w:sz="0" w:space="0" w:color="auto"/>
                                    <w:bottom w:val="none" w:sz="0" w:space="0" w:color="auto"/>
                                    <w:right w:val="none" w:sz="0" w:space="0" w:color="auto"/>
                                  </w:divBdr>
                                  <w:divsChild>
                                    <w:div w:id="911112946">
                                      <w:marLeft w:val="0"/>
                                      <w:marRight w:val="0"/>
                                      <w:marTop w:val="0"/>
                                      <w:marBottom w:val="0"/>
                                      <w:divBdr>
                                        <w:top w:val="none" w:sz="0" w:space="0" w:color="auto"/>
                                        <w:left w:val="none" w:sz="0" w:space="0" w:color="auto"/>
                                        <w:bottom w:val="none" w:sz="0" w:space="0" w:color="auto"/>
                                        <w:right w:val="none" w:sz="0" w:space="0" w:color="auto"/>
                                      </w:divBdr>
                                      <w:divsChild>
                                        <w:div w:id="1954824798">
                                          <w:marLeft w:val="0"/>
                                          <w:marRight w:val="0"/>
                                          <w:marTop w:val="0"/>
                                          <w:marBottom w:val="0"/>
                                          <w:divBdr>
                                            <w:top w:val="none" w:sz="0" w:space="0" w:color="auto"/>
                                            <w:left w:val="none" w:sz="0" w:space="0" w:color="auto"/>
                                            <w:bottom w:val="none" w:sz="0" w:space="0" w:color="auto"/>
                                            <w:right w:val="none" w:sz="0" w:space="0" w:color="auto"/>
                                          </w:divBdr>
                                          <w:divsChild>
                                            <w:div w:id="1059520815">
                                              <w:marLeft w:val="0"/>
                                              <w:marRight w:val="0"/>
                                              <w:marTop w:val="0"/>
                                              <w:marBottom w:val="0"/>
                                              <w:divBdr>
                                                <w:top w:val="none" w:sz="0" w:space="0" w:color="auto"/>
                                                <w:left w:val="none" w:sz="0" w:space="0" w:color="auto"/>
                                                <w:bottom w:val="none" w:sz="0" w:space="0" w:color="auto"/>
                                                <w:right w:val="none" w:sz="0" w:space="0" w:color="auto"/>
                                              </w:divBdr>
                                              <w:divsChild>
                                                <w:div w:id="1212962897">
                                                  <w:marLeft w:val="0"/>
                                                  <w:marRight w:val="0"/>
                                                  <w:marTop w:val="0"/>
                                                  <w:marBottom w:val="0"/>
                                                  <w:divBdr>
                                                    <w:top w:val="none" w:sz="0" w:space="0" w:color="auto"/>
                                                    <w:left w:val="none" w:sz="0" w:space="0" w:color="auto"/>
                                                    <w:bottom w:val="none" w:sz="0" w:space="0" w:color="auto"/>
                                                    <w:right w:val="none" w:sz="0" w:space="0" w:color="auto"/>
                                                  </w:divBdr>
                                                  <w:divsChild>
                                                    <w:div w:id="1652950045">
                                                      <w:marLeft w:val="0"/>
                                                      <w:marRight w:val="0"/>
                                                      <w:marTop w:val="0"/>
                                                      <w:marBottom w:val="0"/>
                                                      <w:divBdr>
                                                        <w:top w:val="none" w:sz="0" w:space="0" w:color="auto"/>
                                                        <w:left w:val="none" w:sz="0" w:space="0" w:color="auto"/>
                                                        <w:bottom w:val="none" w:sz="0" w:space="0" w:color="auto"/>
                                                        <w:right w:val="none" w:sz="0" w:space="0" w:color="auto"/>
                                                      </w:divBdr>
                                                      <w:divsChild>
                                                        <w:div w:id="150589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4050025">
          <w:marLeft w:val="0"/>
          <w:marRight w:val="0"/>
          <w:marTop w:val="0"/>
          <w:marBottom w:val="0"/>
          <w:divBdr>
            <w:top w:val="none" w:sz="0" w:space="0" w:color="auto"/>
            <w:left w:val="none" w:sz="0" w:space="0" w:color="auto"/>
            <w:bottom w:val="none" w:sz="0" w:space="0" w:color="auto"/>
            <w:right w:val="none" w:sz="0" w:space="0" w:color="auto"/>
          </w:divBdr>
          <w:divsChild>
            <w:div w:id="1253975117">
              <w:marLeft w:val="0"/>
              <w:marRight w:val="0"/>
              <w:marTop w:val="0"/>
              <w:marBottom w:val="0"/>
              <w:divBdr>
                <w:top w:val="none" w:sz="0" w:space="0" w:color="auto"/>
                <w:left w:val="none" w:sz="0" w:space="0" w:color="auto"/>
                <w:bottom w:val="none" w:sz="0" w:space="0" w:color="auto"/>
                <w:right w:val="none" w:sz="0" w:space="0" w:color="auto"/>
              </w:divBdr>
            </w:div>
          </w:divsChild>
        </w:div>
        <w:div w:id="1215577446">
          <w:marLeft w:val="0"/>
          <w:marRight w:val="0"/>
          <w:marTop w:val="0"/>
          <w:marBottom w:val="0"/>
          <w:divBdr>
            <w:top w:val="none" w:sz="0" w:space="0" w:color="auto"/>
            <w:left w:val="none" w:sz="0" w:space="0" w:color="auto"/>
            <w:bottom w:val="none" w:sz="0" w:space="0" w:color="auto"/>
            <w:right w:val="none" w:sz="0" w:space="0" w:color="auto"/>
          </w:divBdr>
          <w:divsChild>
            <w:div w:id="19053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740325">
      <w:bodyDiv w:val="1"/>
      <w:marLeft w:val="0"/>
      <w:marRight w:val="0"/>
      <w:marTop w:val="0"/>
      <w:marBottom w:val="0"/>
      <w:divBdr>
        <w:top w:val="none" w:sz="0" w:space="0" w:color="auto"/>
        <w:left w:val="none" w:sz="0" w:space="0" w:color="auto"/>
        <w:bottom w:val="none" w:sz="0" w:space="0" w:color="auto"/>
        <w:right w:val="none" w:sz="0" w:space="0" w:color="auto"/>
      </w:divBdr>
      <w:divsChild>
        <w:div w:id="417094814">
          <w:marLeft w:val="0"/>
          <w:marRight w:val="0"/>
          <w:marTop w:val="0"/>
          <w:marBottom w:val="0"/>
          <w:divBdr>
            <w:top w:val="none" w:sz="0" w:space="0" w:color="auto"/>
            <w:left w:val="none" w:sz="0" w:space="0" w:color="auto"/>
            <w:bottom w:val="none" w:sz="0" w:space="0" w:color="auto"/>
            <w:right w:val="none" w:sz="0" w:space="0" w:color="auto"/>
          </w:divBdr>
          <w:divsChild>
            <w:div w:id="928152232">
              <w:marLeft w:val="0"/>
              <w:marRight w:val="0"/>
              <w:marTop w:val="0"/>
              <w:marBottom w:val="0"/>
              <w:divBdr>
                <w:top w:val="none" w:sz="0" w:space="0" w:color="auto"/>
                <w:left w:val="none" w:sz="0" w:space="0" w:color="auto"/>
                <w:bottom w:val="none" w:sz="0" w:space="0" w:color="auto"/>
                <w:right w:val="none" w:sz="0" w:space="0" w:color="auto"/>
              </w:divBdr>
            </w:div>
          </w:divsChild>
        </w:div>
        <w:div w:id="1703553353">
          <w:marLeft w:val="0"/>
          <w:marRight w:val="0"/>
          <w:marTop w:val="0"/>
          <w:marBottom w:val="0"/>
          <w:divBdr>
            <w:top w:val="none" w:sz="0" w:space="0" w:color="auto"/>
            <w:left w:val="none" w:sz="0" w:space="0" w:color="auto"/>
            <w:bottom w:val="none" w:sz="0" w:space="0" w:color="auto"/>
            <w:right w:val="none" w:sz="0" w:space="0" w:color="auto"/>
          </w:divBdr>
          <w:divsChild>
            <w:div w:id="1798066618">
              <w:marLeft w:val="0"/>
              <w:marRight w:val="0"/>
              <w:marTop w:val="0"/>
              <w:marBottom w:val="0"/>
              <w:divBdr>
                <w:top w:val="none" w:sz="0" w:space="0" w:color="auto"/>
                <w:left w:val="none" w:sz="0" w:space="0" w:color="auto"/>
                <w:bottom w:val="none" w:sz="0" w:space="0" w:color="auto"/>
                <w:right w:val="none" w:sz="0" w:space="0" w:color="auto"/>
              </w:divBdr>
            </w:div>
          </w:divsChild>
        </w:div>
        <w:div w:id="2012751847">
          <w:marLeft w:val="0"/>
          <w:marRight w:val="0"/>
          <w:marTop w:val="0"/>
          <w:marBottom w:val="0"/>
          <w:divBdr>
            <w:top w:val="none" w:sz="0" w:space="0" w:color="auto"/>
            <w:left w:val="none" w:sz="0" w:space="0" w:color="auto"/>
            <w:bottom w:val="none" w:sz="0" w:space="0" w:color="auto"/>
            <w:right w:val="none" w:sz="0" w:space="0" w:color="auto"/>
          </w:divBdr>
          <w:divsChild>
            <w:div w:id="948780720">
              <w:marLeft w:val="0"/>
              <w:marRight w:val="0"/>
              <w:marTop w:val="0"/>
              <w:marBottom w:val="0"/>
              <w:divBdr>
                <w:top w:val="none" w:sz="0" w:space="0" w:color="auto"/>
                <w:left w:val="none" w:sz="0" w:space="0" w:color="auto"/>
                <w:bottom w:val="none" w:sz="0" w:space="0" w:color="auto"/>
                <w:right w:val="none" w:sz="0" w:space="0" w:color="auto"/>
              </w:divBdr>
            </w:div>
          </w:divsChild>
        </w:div>
        <w:div w:id="1926066120">
          <w:marLeft w:val="0"/>
          <w:marRight w:val="0"/>
          <w:marTop w:val="0"/>
          <w:marBottom w:val="0"/>
          <w:divBdr>
            <w:top w:val="none" w:sz="0" w:space="0" w:color="auto"/>
            <w:left w:val="none" w:sz="0" w:space="0" w:color="auto"/>
            <w:bottom w:val="none" w:sz="0" w:space="0" w:color="auto"/>
            <w:right w:val="none" w:sz="0" w:space="0" w:color="auto"/>
          </w:divBdr>
          <w:divsChild>
            <w:div w:id="83422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84627">
      <w:bodyDiv w:val="1"/>
      <w:marLeft w:val="0"/>
      <w:marRight w:val="0"/>
      <w:marTop w:val="0"/>
      <w:marBottom w:val="0"/>
      <w:divBdr>
        <w:top w:val="none" w:sz="0" w:space="0" w:color="auto"/>
        <w:left w:val="none" w:sz="0" w:space="0" w:color="auto"/>
        <w:bottom w:val="none" w:sz="0" w:space="0" w:color="auto"/>
        <w:right w:val="none" w:sz="0" w:space="0" w:color="auto"/>
      </w:divBdr>
      <w:divsChild>
        <w:div w:id="1686783008">
          <w:marLeft w:val="0"/>
          <w:marRight w:val="0"/>
          <w:marTop w:val="0"/>
          <w:marBottom w:val="0"/>
          <w:divBdr>
            <w:top w:val="none" w:sz="0" w:space="0" w:color="auto"/>
            <w:left w:val="none" w:sz="0" w:space="0" w:color="auto"/>
            <w:bottom w:val="none" w:sz="0" w:space="0" w:color="auto"/>
            <w:right w:val="none" w:sz="0" w:space="0" w:color="auto"/>
          </w:divBdr>
          <w:divsChild>
            <w:div w:id="1601373624">
              <w:marLeft w:val="0"/>
              <w:marRight w:val="0"/>
              <w:marTop w:val="0"/>
              <w:marBottom w:val="0"/>
              <w:divBdr>
                <w:top w:val="none" w:sz="0" w:space="0" w:color="auto"/>
                <w:left w:val="none" w:sz="0" w:space="0" w:color="auto"/>
                <w:bottom w:val="none" w:sz="0" w:space="0" w:color="auto"/>
                <w:right w:val="none" w:sz="0" w:space="0" w:color="auto"/>
              </w:divBdr>
              <w:divsChild>
                <w:div w:id="1540780079">
                  <w:marLeft w:val="0"/>
                  <w:marRight w:val="0"/>
                  <w:marTop w:val="0"/>
                  <w:marBottom w:val="0"/>
                  <w:divBdr>
                    <w:top w:val="none" w:sz="0" w:space="0" w:color="auto"/>
                    <w:left w:val="none" w:sz="0" w:space="0" w:color="auto"/>
                    <w:bottom w:val="none" w:sz="0" w:space="0" w:color="auto"/>
                    <w:right w:val="none" w:sz="0" w:space="0" w:color="auto"/>
                  </w:divBdr>
                  <w:divsChild>
                    <w:div w:id="1006710276">
                      <w:marLeft w:val="0"/>
                      <w:marRight w:val="0"/>
                      <w:marTop w:val="0"/>
                      <w:marBottom w:val="0"/>
                      <w:divBdr>
                        <w:top w:val="none" w:sz="0" w:space="0" w:color="auto"/>
                        <w:left w:val="none" w:sz="0" w:space="0" w:color="auto"/>
                        <w:bottom w:val="none" w:sz="0" w:space="0" w:color="auto"/>
                        <w:right w:val="none" w:sz="0" w:space="0" w:color="auto"/>
                      </w:divBdr>
                      <w:divsChild>
                        <w:div w:id="603146734">
                          <w:marLeft w:val="0"/>
                          <w:marRight w:val="0"/>
                          <w:marTop w:val="0"/>
                          <w:marBottom w:val="0"/>
                          <w:divBdr>
                            <w:top w:val="none" w:sz="0" w:space="0" w:color="auto"/>
                            <w:left w:val="none" w:sz="0" w:space="0" w:color="auto"/>
                            <w:bottom w:val="none" w:sz="0" w:space="0" w:color="auto"/>
                            <w:right w:val="none" w:sz="0" w:space="0" w:color="auto"/>
                          </w:divBdr>
                          <w:divsChild>
                            <w:div w:id="1379934274">
                              <w:marLeft w:val="0"/>
                              <w:marRight w:val="0"/>
                              <w:marTop w:val="0"/>
                              <w:marBottom w:val="0"/>
                              <w:divBdr>
                                <w:top w:val="none" w:sz="0" w:space="0" w:color="auto"/>
                                <w:left w:val="none" w:sz="0" w:space="0" w:color="auto"/>
                                <w:bottom w:val="none" w:sz="0" w:space="0" w:color="auto"/>
                                <w:right w:val="none" w:sz="0" w:space="0" w:color="auto"/>
                              </w:divBdr>
                              <w:divsChild>
                                <w:div w:id="502235017">
                                  <w:marLeft w:val="0"/>
                                  <w:marRight w:val="0"/>
                                  <w:marTop w:val="0"/>
                                  <w:marBottom w:val="0"/>
                                  <w:divBdr>
                                    <w:top w:val="none" w:sz="0" w:space="0" w:color="auto"/>
                                    <w:left w:val="none" w:sz="0" w:space="0" w:color="auto"/>
                                    <w:bottom w:val="none" w:sz="0" w:space="0" w:color="auto"/>
                                    <w:right w:val="none" w:sz="0" w:space="0" w:color="auto"/>
                                  </w:divBdr>
                                  <w:divsChild>
                                    <w:div w:id="648947795">
                                      <w:marLeft w:val="0"/>
                                      <w:marRight w:val="0"/>
                                      <w:marTop w:val="0"/>
                                      <w:marBottom w:val="0"/>
                                      <w:divBdr>
                                        <w:top w:val="none" w:sz="0" w:space="0" w:color="auto"/>
                                        <w:left w:val="none" w:sz="0" w:space="0" w:color="auto"/>
                                        <w:bottom w:val="none" w:sz="0" w:space="0" w:color="auto"/>
                                        <w:right w:val="none" w:sz="0" w:space="0" w:color="auto"/>
                                      </w:divBdr>
                                      <w:divsChild>
                                        <w:div w:id="333653522">
                                          <w:marLeft w:val="0"/>
                                          <w:marRight w:val="0"/>
                                          <w:marTop w:val="0"/>
                                          <w:marBottom w:val="0"/>
                                          <w:divBdr>
                                            <w:top w:val="none" w:sz="0" w:space="0" w:color="auto"/>
                                            <w:left w:val="none" w:sz="0" w:space="0" w:color="auto"/>
                                            <w:bottom w:val="none" w:sz="0" w:space="0" w:color="auto"/>
                                            <w:right w:val="none" w:sz="0" w:space="0" w:color="auto"/>
                                          </w:divBdr>
                                          <w:divsChild>
                                            <w:div w:id="1805007076">
                                              <w:marLeft w:val="0"/>
                                              <w:marRight w:val="0"/>
                                              <w:marTop w:val="0"/>
                                              <w:marBottom w:val="0"/>
                                              <w:divBdr>
                                                <w:top w:val="none" w:sz="0" w:space="0" w:color="auto"/>
                                                <w:left w:val="none" w:sz="0" w:space="0" w:color="auto"/>
                                                <w:bottom w:val="none" w:sz="0" w:space="0" w:color="auto"/>
                                                <w:right w:val="none" w:sz="0" w:space="0" w:color="auto"/>
                                              </w:divBdr>
                                              <w:divsChild>
                                                <w:div w:id="269555666">
                                                  <w:marLeft w:val="0"/>
                                                  <w:marRight w:val="0"/>
                                                  <w:marTop w:val="0"/>
                                                  <w:marBottom w:val="0"/>
                                                  <w:divBdr>
                                                    <w:top w:val="none" w:sz="0" w:space="0" w:color="auto"/>
                                                    <w:left w:val="none" w:sz="0" w:space="0" w:color="auto"/>
                                                    <w:bottom w:val="none" w:sz="0" w:space="0" w:color="auto"/>
                                                    <w:right w:val="none" w:sz="0" w:space="0" w:color="auto"/>
                                                  </w:divBdr>
                                                  <w:divsChild>
                                                    <w:div w:id="988362649">
                                                      <w:marLeft w:val="0"/>
                                                      <w:marRight w:val="0"/>
                                                      <w:marTop w:val="0"/>
                                                      <w:marBottom w:val="0"/>
                                                      <w:divBdr>
                                                        <w:top w:val="none" w:sz="0" w:space="0" w:color="auto"/>
                                                        <w:left w:val="none" w:sz="0" w:space="0" w:color="auto"/>
                                                        <w:bottom w:val="none" w:sz="0" w:space="0" w:color="auto"/>
                                                        <w:right w:val="none" w:sz="0" w:space="0" w:color="auto"/>
                                                      </w:divBdr>
                                                      <w:divsChild>
                                                        <w:div w:id="40090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5823890">
          <w:marLeft w:val="0"/>
          <w:marRight w:val="0"/>
          <w:marTop w:val="0"/>
          <w:marBottom w:val="0"/>
          <w:divBdr>
            <w:top w:val="none" w:sz="0" w:space="0" w:color="auto"/>
            <w:left w:val="none" w:sz="0" w:space="0" w:color="auto"/>
            <w:bottom w:val="none" w:sz="0" w:space="0" w:color="auto"/>
            <w:right w:val="none" w:sz="0" w:space="0" w:color="auto"/>
          </w:divBdr>
          <w:divsChild>
            <w:div w:id="1024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027121">
      <w:bodyDiv w:val="1"/>
      <w:marLeft w:val="0"/>
      <w:marRight w:val="0"/>
      <w:marTop w:val="0"/>
      <w:marBottom w:val="0"/>
      <w:divBdr>
        <w:top w:val="none" w:sz="0" w:space="0" w:color="auto"/>
        <w:left w:val="none" w:sz="0" w:space="0" w:color="auto"/>
        <w:bottom w:val="none" w:sz="0" w:space="0" w:color="auto"/>
        <w:right w:val="none" w:sz="0" w:space="0" w:color="auto"/>
      </w:divBdr>
      <w:divsChild>
        <w:div w:id="1884757020">
          <w:marLeft w:val="0"/>
          <w:marRight w:val="0"/>
          <w:marTop w:val="0"/>
          <w:marBottom w:val="0"/>
          <w:divBdr>
            <w:top w:val="none" w:sz="0" w:space="0" w:color="auto"/>
            <w:left w:val="none" w:sz="0" w:space="0" w:color="auto"/>
            <w:bottom w:val="none" w:sz="0" w:space="0" w:color="auto"/>
            <w:right w:val="none" w:sz="0" w:space="0" w:color="auto"/>
          </w:divBdr>
          <w:divsChild>
            <w:div w:id="1136920015">
              <w:marLeft w:val="0"/>
              <w:marRight w:val="0"/>
              <w:marTop w:val="0"/>
              <w:marBottom w:val="0"/>
              <w:divBdr>
                <w:top w:val="none" w:sz="0" w:space="0" w:color="auto"/>
                <w:left w:val="none" w:sz="0" w:space="0" w:color="auto"/>
                <w:bottom w:val="none" w:sz="0" w:space="0" w:color="auto"/>
                <w:right w:val="none" w:sz="0" w:space="0" w:color="auto"/>
              </w:divBdr>
              <w:divsChild>
                <w:div w:id="1274284294">
                  <w:marLeft w:val="0"/>
                  <w:marRight w:val="0"/>
                  <w:marTop w:val="0"/>
                  <w:marBottom w:val="0"/>
                  <w:divBdr>
                    <w:top w:val="none" w:sz="0" w:space="0" w:color="auto"/>
                    <w:left w:val="none" w:sz="0" w:space="0" w:color="auto"/>
                    <w:bottom w:val="none" w:sz="0" w:space="0" w:color="auto"/>
                    <w:right w:val="none" w:sz="0" w:space="0" w:color="auto"/>
                  </w:divBdr>
                  <w:divsChild>
                    <w:div w:id="1704551803">
                      <w:marLeft w:val="0"/>
                      <w:marRight w:val="0"/>
                      <w:marTop w:val="0"/>
                      <w:marBottom w:val="0"/>
                      <w:divBdr>
                        <w:top w:val="none" w:sz="0" w:space="0" w:color="auto"/>
                        <w:left w:val="none" w:sz="0" w:space="0" w:color="auto"/>
                        <w:bottom w:val="none" w:sz="0" w:space="0" w:color="auto"/>
                        <w:right w:val="none" w:sz="0" w:space="0" w:color="auto"/>
                      </w:divBdr>
                      <w:divsChild>
                        <w:div w:id="983704421">
                          <w:marLeft w:val="0"/>
                          <w:marRight w:val="0"/>
                          <w:marTop w:val="0"/>
                          <w:marBottom w:val="0"/>
                          <w:divBdr>
                            <w:top w:val="none" w:sz="0" w:space="0" w:color="auto"/>
                            <w:left w:val="none" w:sz="0" w:space="0" w:color="auto"/>
                            <w:bottom w:val="none" w:sz="0" w:space="0" w:color="auto"/>
                            <w:right w:val="none" w:sz="0" w:space="0" w:color="auto"/>
                          </w:divBdr>
                          <w:divsChild>
                            <w:div w:id="714812177">
                              <w:marLeft w:val="0"/>
                              <w:marRight w:val="0"/>
                              <w:marTop w:val="0"/>
                              <w:marBottom w:val="0"/>
                              <w:divBdr>
                                <w:top w:val="none" w:sz="0" w:space="0" w:color="auto"/>
                                <w:left w:val="none" w:sz="0" w:space="0" w:color="auto"/>
                                <w:bottom w:val="none" w:sz="0" w:space="0" w:color="auto"/>
                                <w:right w:val="none" w:sz="0" w:space="0" w:color="auto"/>
                              </w:divBdr>
                              <w:divsChild>
                                <w:div w:id="48116317">
                                  <w:marLeft w:val="0"/>
                                  <w:marRight w:val="0"/>
                                  <w:marTop w:val="0"/>
                                  <w:marBottom w:val="0"/>
                                  <w:divBdr>
                                    <w:top w:val="none" w:sz="0" w:space="0" w:color="auto"/>
                                    <w:left w:val="none" w:sz="0" w:space="0" w:color="auto"/>
                                    <w:bottom w:val="none" w:sz="0" w:space="0" w:color="auto"/>
                                    <w:right w:val="none" w:sz="0" w:space="0" w:color="auto"/>
                                  </w:divBdr>
                                  <w:divsChild>
                                    <w:div w:id="251745549">
                                      <w:marLeft w:val="0"/>
                                      <w:marRight w:val="0"/>
                                      <w:marTop w:val="0"/>
                                      <w:marBottom w:val="0"/>
                                      <w:divBdr>
                                        <w:top w:val="none" w:sz="0" w:space="0" w:color="auto"/>
                                        <w:left w:val="none" w:sz="0" w:space="0" w:color="auto"/>
                                        <w:bottom w:val="none" w:sz="0" w:space="0" w:color="auto"/>
                                        <w:right w:val="none" w:sz="0" w:space="0" w:color="auto"/>
                                      </w:divBdr>
                                      <w:divsChild>
                                        <w:div w:id="2049646808">
                                          <w:marLeft w:val="0"/>
                                          <w:marRight w:val="0"/>
                                          <w:marTop w:val="0"/>
                                          <w:marBottom w:val="0"/>
                                          <w:divBdr>
                                            <w:top w:val="none" w:sz="0" w:space="0" w:color="auto"/>
                                            <w:left w:val="none" w:sz="0" w:space="0" w:color="auto"/>
                                            <w:bottom w:val="none" w:sz="0" w:space="0" w:color="auto"/>
                                            <w:right w:val="none" w:sz="0" w:space="0" w:color="auto"/>
                                          </w:divBdr>
                                          <w:divsChild>
                                            <w:div w:id="1926840765">
                                              <w:marLeft w:val="0"/>
                                              <w:marRight w:val="0"/>
                                              <w:marTop w:val="0"/>
                                              <w:marBottom w:val="0"/>
                                              <w:divBdr>
                                                <w:top w:val="none" w:sz="0" w:space="0" w:color="auto"/>
                                                <w:left w:val="none" w:sz="0" w:space="0" w:color="auto"/>
                                                <w:bottom w:val="none" w:sz="0" w:space="0" w:color="auto"/>
                                                <w:right w:val="none" w:sz="0" w:space="0" w:color="auto"/>
                                              </w:divBdr>
                                              <w:divsChild>
                                                <w:div w:id="516578103">
                                                  <w:marLeft w:val="0"/>
                                                  <w:marRight w:val="0"/>
                                                  <w:marTop w:val="0"/>
                                                  <w:marBottom w:val="0"/>
                                                  <w:divBdr>
                                                    <w:top w:val="none" w:sz="0" w:space="0" w:color="auto"/>
                                                    <w:left w:val="none" w:sz="0" w:space="0" w:color="auto"/>
                                                    <w:bottom w:val="none" w:sz="0" w:space="0" w:color="auto"/>
                                                    <w:right w:val="none" w:sz="0" w:space="0" w:color="auto"/>
                                                  </w:divBdr>
                                                  <w:divsChild>
                                                    <w:div w:id="539442952">
                                                      <w:marLeft w:val="0"/>
                                                      <w:marRight w:val="0"/>
                                                      <w:marTop w:val="0"/>
                                                      <w:marBottom w:val="0"/>
                                                      <w:divBdr>
                                                        <w:top w:val="none" w:sz="0" w:space="0" w:color="auto"/>
                                                        <w:left w:val="none" w:sz="0" w:space="0" w:color="auto"/>
                                                        <w:bottom w:val="none" w:sz="0" w:space="0" w:color="auto"/>
                                                        <w:right w:val="none" w:sz="0" w:space="0" w:color="auto"/>
                                                      </w:divBdr>
                                                      <w:divsChild>
                                                        <w:div w:id="196727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8408418">
          <w:marLeft w:val="0"/>
          <w:marRight w:val="0"/>
          <w:marTop w:val="0"/>
          <w:marBottom w:val="0"/>
          <w:divBdr>
            <w:top w:val="none" w:sz="0" w:space="0" w:color="auto"/>
            <w:left w:val="none" w:sz="0" w:space="0" w:color="auto"/>
            <w:bottom w:val="none" w:sz="0" w:space="0" w:color="auto"/>
            <w:right w:val="none" w:sz="0" w:space="0" w:color="auto"/>
          </w:divBdr>
          <w:divsChild>
            <w:div w:id="107809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17857">
      <w:bodyDiv w:val="1"/>
      <w:marLeft w:val="0"/>
      <w:marRight w:val="0"/>
      <w:marTop w:val="0"/>
      <w:marBottom w:val="0"/>
      <w:divBdr>
        <w:top w:val="none" w:sz="0" w:space="0" w:color="auto"/>
        <w:left w:val="none" w:sz="0" w:space="0" w:color="auto"/>
        <w:bottom w:val="none" w:sz="0" w:space="0" w:color="auto"/>
        <w:right w:val="none" w:sz="0" w:space="0" w:color="auto"/>
      </w:divBdr>
      <w:divsChild>
        <w:div w:id="1552183384">
          <w:marLeft w:val="0"/>
          <w:marRight w:val="0"/>
          <w:marTop w:val="0"/>
          <w:marBottom w:val="0"/>
          <w:divBdr>
            <w:top w:val="none" w:sz="0" w:space="0" w:color="auto"/>
            <w:left w:val="none" w:sz="0" w:space="0" w:color="auto"/>
            <w:bottom w:val="none" w:sz="0" w:space="0" w:color="auto"/>
            <w:right w:val="none" w:sz="0" w:space="0" w:color="auto"/>
          </w:divBdr>
          <w:divsChild>
            <w:div w:id="172891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487311">
      <w:bodyDiv w:val="1"/>
      <w:marLeft w:val="0"/>
      <w:marRight w:val="0"/>
      <w:marTop w:val="0"/>
      <w:marBottom w:val="0"/>
      <w:divBdr>
        <w:top w:val="none" w:sz="0" w:space="0" w:color="auto"/>
        <w:left w:val="none" w:sz="0" w:space="0" w:color="auto"/>
        <w:bottom w:val="none" w:sz="0" w:space="0" w:color="auto"/>
        <w:right w:val="none" w:sz="0" w:space="0" w:color="auto"/>
      </w:divBdr>
      <w:divsChild>
        <w:div w:id="1283922115">
          <w:marLeft w:val="0"/>
          <w:marRight w:val="0"/>
          <w:marTop w:val="0"/>
          <w:marBottom w:val="0"/>
          <w:divBdr>
            <w:top w:val="none" w:sz="0" w:space="0" w:color="auto"/>
            <w:left w:val="none" w:sz="0" w:space="0" w:color="auto"/>
            <w:bottom w:val="none" w:sz="0" w:space="0" w:color="auto"/>
            <w:right w:val="none" w:sz="0" w:space="0" w:color="auto"/>
          </w:divBdr>
          <w:divsChild>
            <w:div w:id="742528340">
              <w:marLeft w:val="0"/>
              <w:marRight w:val="0"/>
              <w:marTop w:val="0"/>
              <w:marBottom w:val="0"/>
              <w:divBdr>
                <w:top w:val="none" w:sz="0" w:space="0" w:color="auto"/>
                <w:left w:val="none" w:sz="0" w:space="0" w:color="auto"/>
                <w:bottom w:val="none" w:sz="0" w:space="0" w:color="auto"/>
                <w:right w:val="none" w:sz="0" w:space="0" w:color="auto"/>
              </w:divBdr>
              <w:divsChild>
                <w:div w:id="1408185706">
                  <w:marLeft w:val="0"/>
                  <w:marRight w:val="0"/>
                  <w:marTop w:val="0"/>
                  <w:marBottom w:val="0"/>
                  <w:divBdr>
                    <w:top w:val="none" w:sz="0" w:space="0" w:color="auto"/>
                    <w:left w:val="none" w:sz="0" w:space="0" w:color="auto"/>
                    <w:bottom w:val="none" w:sz="0" w:space="0" w:color="auto"/>
                    <w:right w:val="none" w:sz="0" w:space="0" w:color="auto"/>
                  </w:divBdr>
                  <w:divsChild>
                    <w:div w:id="706570219">
                      <w:marLeft w:val="0"/>
                      <w:marRight w:val="0"/>
                      <w:marTop w:val="0"/>
                      <w:marBottom w:val="0"/>
                      <w:divBdr>
                        <w:top w:val="none" w:sz="0" w:space="0" w:color="auto"/>
                        <w:left w:val="none" w:sz="0" w:space="0" w:color="auto"/>
                        <w:bottom w:val="none" w:sz="0" w:space="0" w:color="auto"/>
                        <w:right w:val="none" w:sz="0" w:space="0" w:color="auto"/>
                      </w:divBdr>
                      <w:divsChild>
                        <w:div w:id="132263126">
                          <w:marLeft w:val="0"/>
                          <w:marRight w:val="0"/>
                          <w:marTop w:val="0"/>
                          <w:marBottom w:val="0"/>
                          <w:divBdr>
                            <w:top w:val="none" w:sz="0" w:space="0" w:color="auto"/>
                            <w:left w:val="none" w:sz="0" w:space="0" w:color="auto"/>
                            <w:bottom w:val="none" w:sz="0" w:space="0" w:color="auto"/>
                            <w:right w:val="none" w:sz="0" w:space="0" w:color="auto"/>
                          </w:divBdr>
                          <w:divsChild>
                            <w:div w:id="1194687800">
                              <w:marLeft w:val="0"/>
                              <w:marRight w:val="0"/>
                              <w:marTop w:val="0"/>
                              <w:marBottom w:val="0"/>
                              <w:divBdr>
                                <w:top w:val="none" w:sz="0" w:space="0" w:color="auto"/>
                                <w:left w:val="none" w:sz="0" w:space="0" w:color="auto"/>
                                <w:bottom w:val="none" w:sz="0" w:space="0" w:color="auto"/>
                                <w:right w:val="none" w:sz="0" w:space="0" w:color="auto"/>
                              </w:divBdr>
                              <w:divsChild>
                                <w:div w:id="1779519962">
                                  <w:marLeft w:val="0"/>
                                  <w:marRight w:val="0"/>
                                  <w:marTop w:val="0"/>
                                  <w:marBottom w:val="0"/>
                                  <w:divBdr>
                                    <w:top w:val="none" w:sz="0" w:space="0" w:color="auto"/>
                                    <w:left w:val="none" w:sz="0" w:space="0" w:color="auto"/>
                                    <w:bottom w:val="none" w:sz="0" w:space="0" w:color="auto"/>
                                    <w:right w:val="none" w:sz="0" w:space="0" w:color="auto"/>
                                  </w:divBdr>
                                  <w:divsChild>
                                    <w:div w:id="133838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4491385">
          <w:marLeft w:val="0"/>
          <w:marRight w:val="0"/>
          <w:marTop w:val="0"/>
          <w:marBottom w:val="0"/>
          <w:divBdr>
            <w:top w:val="none" w:sz="0" w:space="0" w:color="auto"/>
            <w:left w:val="none" w:sz="0" w:space="0" w:color="auto"/>
            <w:bottom w:val="none" w:sz="0" w:space="0" w:color="auto"/>
            <w:right w:val="none" w:sz="0" w:space="0" w:color="auto"/>
          </w:divBdr>
          <w:divsChild>
            <w:div w:id="699164091">
              <w:marLeft w:val="0"/>
              <w:marRight w:val="0"/>
              <w:marTop w:val="0"/>
              <w:marBottom w:val="0"/>
              <w:divBdr>
                <w:top w:val="none" w:sz="0" w:space="0" w:color="auto"/>
                <w:left w:val="none" w:sz="0" w:space="0" w:color="auto"/>
                <w:bottom w:val="none" w:sz="0" w:space="0" w:color="auto"/>
                <w:right w:val="none" w:sz="0" w:space="0" w:color="auto"/>
              </w:divBdr>
              <w:divsChild>
                <w:div w:id="458914642">
                  <w:marLeft w:val="0"/>
                  <w:marRight w:val="0"/>
                  <w:marTop w:val="0"/>
                  <w:marBottom w:val="0"/>
                  <w:divBdr>
                    <w:top w:val="none" w:sz="0" w:space="0" w:color="auto"/>
                    <w:left w:val="none" w:sz="0" w:space="0" w:color="auto"/>
                    <w:bottom w:val="none" w:sz="0" w:space="0" w:color="auto"/>
                    <w:right w:val="none" w:sz="0" w:space="0" w:color="auto"/>
                  </w:divBdr>
                  <w:divsChild>
                    <w:div w:id="1674451393">
                      <w:marLeft w:val="0"/>
                      <w:marRight w:val="0"/>
                      <w:marTop w:val="0"/>
                      <w:marBottom w:val="0"/>
                      <w:divBdr>
                        <w:top w:val="none" w:sz="0" w:space="0" w:color="auto"/>
                        <w:left w:val="none" w:sz="0" w:space="0" w:color="auto"/>
                        <w:bottom w:val="none" w:sz="0" w:space="0" w:color="auto"/>
                        <w:right w:val="none" w:sz="0" w:space="0" w:color="auto"/>
                      </w:divBdr>
                      <w:divsChild>
                        <w:div w:id="372001883">
                          <w:marLeft w:val="0"/>
                          <w:marRight w:val="0"/>
                          <w:marTop w:val="0"/>
                          <w:marBottom w:val="0"/>
                          <w:divBdr>
                            <w:top w:val="none" w:sz="0" w:space="0" w:color="auto"/>
                            <w:left w:val="none" w:sz="0" w:space="0" w:color="auto"/>
                            <w:bottom w:val="none" w:sz="0" w:space="0" w:color="auto"/>
                            <w:right w:val="none" w:sz="0" w:space="0" w:color="auto"/>
                          </w:divBdr>
                          <w:divsChild>
                            <w:div w:id="1346327251">
                              <w:marLeft w:val="0"/>
                              <w:marRight w:val="0"/>
                              <w:marTop w:val="0"/>
                              <w:marBottom w:val="0"/>
                              <w:divBdr>
                                <w:top w:val="none" w:sz="0" w:space="0" w:color="auto"/>
                                <w:left w:val="none" w:sz="0" w:space="0" w:color="auto"/>
                                <w:bottom w:val="none" w:sz="0" w:space="0" w:color="auto"/>
                                <w:right w:val="none" w:sz="0" w:space="0" w:color="auto"/>
                              </w:divBdr>
                              <w:divsChild>
                                <w:div w:id="46925880">
                                  <w:marLeft w:val="0"/>
                                  <w:marRight w:val="0"/>
                                  <w:marTop w:val="0"/>
                                  <w:marBottom w:val="0"/>
                                  <w:divBdr>
                                    <w:top w:val="none" w:sz="0" w:space="0" w:color="auto"/>
                                    <w:left w:val="none" w:sz="0" w:space="0" w:color="auto"/>
                                    <w:bottom w:val="none" w:sz="0" w:space="0" w:color="auto"/>
                                    <w:right w:val="none" w:sz="0" w:space="0" w:color="auto"/>
                                  </w:divBdr>
                                  <w:divsChild>
                                    <w:div w:id="34737544">
                                      <w:marLeft w:val="0"/>
                                      <w:marRight w:val="0"/>
                                      <w:marTop w:val="0"/>
                                      <w:marBottom w:val="0"/>
                                      <w:divBdr>
                                        <w:top w:val="none" w:sz="0" w:space="0" w:color="auto"/>
                                        <w:left w:val="none" w:sz="0" w:space="0" w:color="auto"/>
                                        <w:bottom w:val="none" w:sz="0" w:space="0" w:color="auto"/>
                                        <w:right w:val="none" w:sz="0" w:space="0" w:color="auto"/>
                                      </w:divBdr>
                                      <w:divsChild>
                                        <w:div w:id="651326272">
                                          <w:marLeft w:val="0"/>
                                          <w:marRight w:val="0"/>
                                          <w:marTop w:val="0"/>
                                          <w:marBottom w:val="0"/>
                                          <w:divBdr>
                                            <w:top w:val="none" w:sz="0" w:space="0" w:color="auto"/>
                                            <w:left w:val="none" w:sz="0" w:space="0" w:color="auto"/>
                                            <w:bottom w:val="none" w:sz="0" w:space="0" w:color="auto"/>
                                            <w:right w:val="none" w:sz="0" w:space="0" w:color="auto"/>
                                          </w:divBdr>
                                          <w:divsChild>
                                            <w:div w:id="1953585179">
                                              <w:marLeft w:val="0"/>
                                              <w:marRight w:val="0"/>
                                              <w:marTop w:val="0"/>
                                              <w:marBottom w:val="0"/>
                                              <w:divBdr>
                                                <w:top w:val="none" w:sz="0" w:space="0" w:color="auto"/>
                                                <w:left w:val="none" w:sz="0" w:space="0" w:color="auto"/>
                                                <w:bottom w:val="none" w:sz="0" w:space="0" w:color="auto"/>
                                                <w:right w:val="none" w:sz="0" w:space="0" w:color="auto"/>
                                              </w:divBdr>
                                              <w:divsChild>
                                                <w:div w:id="281543363">
                                                  <w:marLeft w:val="0"/>
                                                  <w:marRight w:val="0"/>
                                                  <w:marTop w:val="0"/>
                                                  <w:marBottom w:val="0"/>
                                                  <w:divBdr>
                                                    <w:top w:val="none" w:sz="0" w:space="0" w:color="auto"/>
                                                    <w:left w:val="none" w:sz="0" w:space="0" w:color="auto"/>
                                                    <w:bottom w:val="none" w:sz="0" w:space="0" w:color="auto"/>
                                                    <w:right w:val="none" w:sz="0" w:space="0" w:color="auto"/>
                                                  </w:divBdr>
                                                  <w:divsChild>
                                                    <w:div w:id="1816489902">
                                                      <w:marLeft w:val="0"/>
                                                      <w:marRight w:val="0"/>
                                                      <w:marTop w:val="0"/>
                                                      <w:marBottom w:val="0"/>
                                                      <w:divBdr>
                                                        <w:top w:val="none" w:sz="0" w:space="0" w:color="auto"/>
                                                        <w:left w:val="none" w:sz="0" w:space="0" w:color="auto"/>
                                                        <w:bottom w:val="none" w:sz="0" w:space="0" w:color="auto"/>
                                                        <w:right w:val="none" w:sz="0" w:space="0" w:color="auto"/>
                                                      </w:divBdr>
                                                      <w:divsChild>
                                                        <w:div w:id="1954969918">
                                                          <w:marLeft w:val="0"/>
                                                          <w:marRight w:val="0"/>
                                                          <w:marTop w:val="0"/>
                                                          <w:marBottom w:val="0"/>
                                                          <w:divBdr>
                                                            <w:top w:val="none" w:sz="0" w:space="0" w:color="auto"/>
                                                            <w:left w:val="none" w:sz="0" w:space="0" w:color="auto"/>
                                                            <w:bottom w:val="none" w:sz="0" w:space="0" w:color="auto"/>
                                                            <w:right w:val="none" w:sz="0" w:space="0" w:color="auto"/>
                                                          </w:divBdr>
                                                          <w:divsChild>
                                                            <w:div w:id="1644234715">
                                                              <w:marLeft w:val="0"/>
                                                              <w:marRight w:val="0"/>
                                                              <w:marTop w:val="0"/>
                                                              <w:marBottom w:val="0"/>
                                                              <w:divBdr>
                                                                <w:top w:val="none" w:sz="0" w:space="0" w:color="auto"/>
                                                                <w:left w:val="none" w:sz="0" w:space="0" w:color="auto"/>
                                                                <w:bottom w:val="none" w:sz="0" w:space="0" w:color="auto"/>
                                                                <w:right w:val="none" w:sz="0" w:space="0" w:color="auto"/>
                                                              </w:divBdr>
                                                              <w:divsChild>
                                                                <w:div w:id="295644609">
                                                                  <w:marLeft w:val="0"/>
                                                                  <w:marRight w:val="0"/>
                                                                  <w:marTop w:val="0"/>
                                                                  <w:marBottom w:val="0"/>
                                                                  <w:divBdr>
                                                                    <w:top w:val="none" w:sz="0" w:space="0" w:color="auto"/>
                                                                    <w:left w:val="none" w:sz="0" w:space="0" w:color="auto"/>
                                                                    <w:bottom w:val="none" w:sz="0" w:space="0" w:color="auto"/>
                                                                    <w:right w:val="none" w:sz="0" w:space="0" w:color="auto"/>
                                                                  </w:divBdr>
                                                                  <w:divsChild>
                                                                    <w:div w:id="1273050176">
                                                                      <w:marLeft w:val="0"/>
                                                                      <w:marRight w:val="0"/>
                                                                      <w:marTop w:val="0"/>
                                                                      <w:marBottom w:val="0"/>
                                                                      <w:divBdr>
                                                                        <w:top w:val="none" w:sz="0" w:space="0" w:color="auto"/>
                                                                        <w:left w:val="none" w:sz="0" w:space="0" w:color="auto"/>
                                                                        <w:bottom w:val="none" w:sz="0" w:space="0" w:color="auto"/>
                                                                        <w:right w:val="none" w:sz="0" w:space="0" w:color="auto"/>
                                                                      </w:divBdr>
                                                                      <w:divsChild>
                                                                        <w:div w:id="1865825086">
                                                                          <w:marLeft w:val="0"/>
                                                                          <w:marRight w:val="0"/>
                                                                          <w:marTop w:val="0"/>
                                                                          <w:marBottom w:val="0"/>
                                                                          <w:divBdr>
                                                                            <w:top w:val="none" w:sz="0" w:space="0" w:color="auto"/>
                                                                            <w:left w:val="none" w:sz="0" w:space="0" w:color="auto"/>
                                                                            <w:bottom w:val="none" w:sz="0" w:space="0" w:color="auto"/>
                                                                            <w:right w:val="none" w:sz="0" w:space="0" w:color="auto"/>
                                                                          </w:divBdr>
                                                                          <w:divsChild>
                                                                            <w:div w:id="1571422558">
                                                                              <w:marLeft w:val="0"/>
                                                                              <w:marRight w:val="0"/>
                                                                              <w:marTop w:val="0"/>
                                                                              <w:marBottom w:val="0"/>
                                                                              <w:divBdr>
                                                                                <w:top w:val="none" w:sz="0" w:space="0" w:color="auto"/>
                                                                                <w:left w:val="none" w:sz="0" w:space="0" w:color="auto"/>
                                                                                <w:bottom w:val="none" w:sz="0" w:space="0" w:color="auto"/>
                                                                                <w:right w:val="none" w:sz="0" w:space="0" w:color="auto"/>
                                                                              </w:divBdr>
                                                                              <w:divsChild>
                                                                                <w:div w:id="1805467058">
                                                                                  <w:marLeft w:val="0"/>
                                                                                  <w:marRight w:val="0"/>
                                                                                  <w:marTop w:val="0"/>
                                                                                  <w:marBottom w:val="0"/>
                                                                                  <w:divBdr>
                                                                                    <w:top w:val="none" w:sz="0" w:space="0" w:color="auto"/>
                                                                                    <w:left w:val="none" w:sz="0" w:space="0" w:color="auto"/>
                                                                                    <w:bottom w:val="none" w:sz="0" w:space="0" w:color="auto"/>
                                                                                    <w:right w:val="none" w:sz="0" w:space="0" w:color="auto"/>
                                                                                  </w:divBdr>
                                                                                  <w:divsChild>
                                                                                    <w:div w:id="22225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5561199">
                                      <w:marLeft w:val="0"/>
                                      <w:marRight w:val="0"/>
                                      <w:marTop w:val="0"/>
                                      <w:marBottom w:val="0"/>
                                      <w:divBdr>
                                        <w:top w:val="none" w:sz="0" w:space="0" w:color="auto"/>
                                        <w:left w:val="none" w:sz="0" w:space="0" w:color="auto"/>
                                        <w:bottom w:val="none" w:sz="0" w:space="0" w:color="auto"/>
                                        <w:right w:val="none" w:sz="0" w:space="0" w:color="auto"/>
                                      </w:divBdr>
                                      <w:divsChild>
                                        <w:div w:id="282661595">
                                          <w:marLeft w:val="0"/>
                                          <w:marRight w:val="0"/>
                                          <w:marTop w:val="0"/>
                                          <w:marBottom w:val="0"/>
                                          <w:divBdr>
                                            <w:top w:val="none" w:sz="0" w:space="0" w:color="auto"/>
                                            <w:left w:val="none" w:sz="0" w:space="0" w:color="auto"/>
                                            <w:bottom w:val="none" w:sz="0" w:space="0" w:color="auto"/>
                                            <w:right w:val="none" w:sz="0" w:space="0" w:color="auto"/>
                                          </w:divBdr>
                                        </w:div>
                                      </w:divsChild>
                                    </w:div>
                                    <w:div w:id="1329283220">
                                      <w:marLeft w:val="0"/>
                                      <w:marRight w:val="0"/>
                                      <w:marTop w:val="0"/>
                                      <w:marBottom w:val="0"/>
                                      <w:divBdr>
                                        <w:top w:val="none" w:sz="0" w:space="0" w:color="auto"/>
                                        <w:left w:val="none" w:sz="0" w:space="0" w:color="auto"/>
                                        <w:bottom w:val="none" w:sz="0" w:space="0" w:color="auto"/>
                                        <w:right w:val="none" w:sz="0" w:space="0" w:color="auto"/>
                                      </w:divBdr>
                                      <w:divsChild>
                                        <w:div w:id="9632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7009958">
      <w:bodyDiv w:val="1"/>
      <w:marLeft w:val="0"/>
      <w:marRight w:val="0"/>
      <w:marTop w:val="0"/>
      <w:marBottom w:val="0"/>
      <w:divBdr>
        <w:top w:val="none" w:sz="0" w:space="0" w:color="auto"/>
        <w:left w:val="none" w:sz="0" w:space="0" w:color="auto"/>
        <w:bottom w:val="none" w:sz="0" w:space="0" w:color="auto"/>
        <w:right w:val="none" w:sz="0" w:space="0" w:color="auto"/>
      </w:divBdr>
      <w:divsChild>
        <w:div w:id="107046500">
          <w:marLeft w:val="0"/>
          <w:marRight w:val="0"/>
          <w:marTop w:val="0"/>
          <w:marBottom w:val="0"/>
          <w:divBdr>
            <w:top w:val="none" w:sz="0" w:space="0" w:color="auto"/>
            <w:left w:val="none" w:sz="0" w:space="0" w:color="auto"/>
            <w:bottom w:val="none" w:sz="0" w:space="0" w:color="auto"/>
            <w:right w:val="none" w:sz="0" w:space="0" w:color="auto"/>
          </w:divBdr>
          <w:divsChild>
            <w:div w:id="36899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89482">
      <w:bodyDiv w:val="1"/>
      <w:marLeft w:val="0"/>
      <w:marRight w:val="0"/>
      <w:marTop w:val="0"/>
      <w:marBottom w:val="0"/>
      <w:divBdr>
        <w:top w:val="none" w:sz="0" w:space="0" w:color="auto"/>
        <w:left w:val="none" w:sz="0" w:space="0" w:color="auto"/>
        <w:bottom w:val="none" w:sz="0" w:space="0" w:color="auto"/>
        <w:right w:val="none" w:sz="0" w:space="0" w:color="auto"/>
      </w:divBdr>
      <w:divsChild>
        <w:div w:id="1955021297">
          <w:marLeft w:val="0"/>
          <w:marRight w:val="0"/>
          <w:marTop w:val="0"/>
          <w:marBottom w:val="0"/>
          <w:divBdr>
            <w:top w:val="none" w:sz="0" w:space="0" w:color="auto"/>
            <w:left w:val="none" w:sz="0" w:space="0" w:color="auto"/>
            <w:bottom w:val="none" w:sz="0" w:space="0" w:color="auto"/>
            <w:right w:val="none" w:sz="0" w:space="0" w:color="auto"/>
          </w:divBdr>
          <w:divsChild>
            <w:div w:id="1635020721">
              <w:marLeft w:val="0"/>
              <w:marRight w:val="0"/>
              <w:marTop w:val="0"/>
              <w:marBottom w:val="0"/>
              <w:divBdr>
                <w:top w:val="none" w:sz="0" w:space="0" w:color="auto"/>
                <w:left w:val="none" w:sz="0" w:space="0" w:color="auto"/>
                <w:bottom w:val="none" w:sz="0" w:space="0" w:color="auto"/>
                <w:right w:val="none" w:sz="0" w:space="0" w:color="auto"/>
              </w:divBdr>
            </w:div>
          </w:divsChild>
        </w:div>
        <w:div w:id="1661226289">
          <w:marLeft w:val="0"/>
          <w:marRight w:val="0"/>
          <w:marTop w:val="0"/>
          <w:marBottom w:val="0"/>
          <w:divBdr>
            <w:top w:val="none" w:sz="0" w:space="0" w:color="auto"/>
            <w:left w:val="none" w:sz="0" w:space="0" w:color="auto"/>
            <w:bottom w:val="none" w:sz="0" w:space="0" w:color="auto"/>
            <w:right w:val="none" w:sz="0" w:space="0" w:color="auto"/>
          </w:divBdr>
          <w:divsChild>
            <w:div w:id="888146657">
              <w:marLeft w:val="0"/>
              <w:marRight w:val="0"/>
              <w:marTop w:val="0"/>
              <w:marBottom w:val="0"/>
              <w:divBdr>
                <w:top w:val="none" w:sz="0" w:space="0" w:color="auto"/>
                <w:left w:val="none" w:sz="0" w:space="0" w:color="auto"/>
                <w:bottom w:val="none" w:sz="0" w:space="0" w:color="auto"/>
                <w:right w:val="none" w:sz="0" w:space="0" w:color="auto"/>
              </w:divBdr>
            </w:div>
          </w:divsChild>
        </w:div>
        <w:div w:id="306326160">
          <w:marLeft w:val="0"/>
          <w:marRight w:val="0"/>
          <w:marTop w:val="0"/>
          <w:marBottom w:val="0"/>
          <w:divBdr>
            <w:top w:val="none" w:sz="0" w:space="0" w:color="auto"/>
            <w:left w:val="none" w:sz="0" w:space="0" w:color="auto"/>
            <w:bottom w:val="none" w:sz="0" w:space="0" w:color="auto"/>
            <w:right w:val="none" w:sz="0" w:space="0" w:color="auto"/>
          </w:divBdr>
          <w:divsChild>
            <w:div w:id="43355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577549">
      <w:bodyDiv w:val="1"/>
      <w:marLeft w:val="0"/>
      <w:marRight w:val="0"/>
      <w:marTop w:val="0"/>
      <w:marBottom w:val="0"/>
      <w:divBdr>
        <w:top w:val="none" w:sz="0" w:space="0" w:color="auto"/>
        <w:left w:val="none" w:sz="0" w:space="0" w:color="auto"/>
        <w:bottom w:val="none" w:sz="0" w:space="0" w:color="auto"/>
        <w:right w:val="none" w:sz="0" w:space="0" w:color="auto"/>
      </w:divBdr>
      <w:divsChild>
        <w:div w:id="1542933292">
          <w:marLeft w:val="0"/>
          <w:marRight w:val="0"/>
          <w:marTop w:val="0"/>
          <w:marBottom w:val="0"/>
          <w:divBdr>
            <w:top w:val="none" w:sz="0" w:space="0" w:color="auto"/>
            <w:left w:val="none" w:sz="0" w:space="0" w:color="auto"/>
            <w:bottom w:val="none" w:sz="0" w:space="0" w:color="auto"/>
            <w:right w:val="none" w:sz="0" w:space="0" w:color="auto"/>
          </w:divBdr>
          <w:divsChild>
            <w:div w:id="1382439818">
              <w:marLeft w:val="0"/>
              <w:marRight w:val="0"/>
              <w:marTop w:val="0"/>
              <w:marBottom w:val="0"/>
              <w:divBdr>
                <w:top w:val="none" w:sz="0" w:space="0" w:color="auto"/>
                <w:left w:val="none" w:sz="0" w:space="0" w:color="auto"/>
                <w:bottom w:val="none" w:sz="0" w:space="0" w:color="auto"/>
                <w:right w:val="none" w:sz="0" w:space="0" w:color="auto"/>
              </w:divBdr>
              <w:divsChild>
                <w:div w:id="491264060">
                  <w:marLeft w:val="0"/>
                  <w:marRight w:val="0"/>
                  <w:marTop w:val="0"/>
                  <w:marBottom w:val="0"/>
                  <w:divBdr>
                    <w:top w:val="none" w:sz="0" w:space="0" w:color="auto"/>
                    <w:left w:val="none" w:sz="0" w:space="0" w:color="auto"/>
                    <w:bottom w:val="none" w:sz="0" w:space="0" w:color="auto"/>
                    <w:right w:val="none" w:sz="0" w:space="0" w:color="auto"/>
                  </w:divBdr>
                  <w:divsChild>
                    <w:div w:id="810950539">
                      <w:marLeft w:val="0"/>
                      <w:marRight w:val="0"/>
                      <w:marTop w:val="0"/>
                      <w:marBottom w:val="0"/>
                      <w:divBdr>
                        <w:top w:val="none" w:sz="0" w:space="0" w:color="auto"/>
                        <w:left w:val="none" w:sz="0" w:space="0" w:color="auto"/>
                        <w:bottom w:val="none" w:sz="0" w:space="0" w:color="auto"/>
                        <w:right w:val="none" w:sz="0" w:space="0" w:color="auto"/>
                      </w:divBdr>
                      <w:divsChild>
                        <w:div w:id="535314881">
                          <w:marLeft w:val="0"/>
                          <w:marRight w:val="0"/>
                          <w:marTop w:val="0"/>
                          <w:marBottom w:val="0"/>
                          <w:divBdr>
                            <w:top w:val="none" w:sz="0" w:space="0" w:color="auto"/>
                            <w:left w:val="none" w:sz="0" w:space="0" w:color="auto"/>
                            <w:bottom w:val="none" w:sz="0" w:space="0" w:color="auto"/>
                            <w:right w:val="none" w:sz="0" w:space="0" w:color="auto"/>
                          </w:divBdr>
                          <w:divsChild>
                            <w:div w:id="686298868">
                              <w:marLeft w:val="0"/>
                              <w:marRight w:val="0"/>
                              <w:marTop w:val="0"/>
                              <w:marBottom w:val="0"/>
                              <w:divBdr>
                                <w:top w:val="none" w:sz="0" w:space="0" w:color="auto"/>
                                <w:left w:val="none" w:sz="0" w:space="0" w:color="auto"/>
                                <w:bottom w:val="none" w:sz="0" w:space="0" w:color="auto"/>
                                <w:right w:val="none" w:sz="0" w:space="0" w:color="auto"/>
                              </w:divBdr>
                              <w:divsChild>
                                <w:div w:id="676467457">
                                  <w:marLeft w:val="0"/>
                                  <w:marRight w:val="0"/>
                                  <w:marTop w:val="0"/>
                                  <w:marBottom w:val="0"/>
                                  <w:divBdr>
                                    <w:top w:val="none" w:sz="0" w:space="0" w:color="auto"/>
                                    <w:left w:val="none" w:sz="0" w:space="0" w:color="auto"/>
                                    <w:bottom w:val="none" w:sz="0" w:space="0" w:color="auto"/>
                                    <w:right w:val="none" w:sz="0" w:space="0" w:color="auto"/>
                                  </w:divBdr>
                                  <w:divsChild>
                                    <w:div w:id="644161394">
                                      <w:marLeft w:val="0"/>
                                      <w:marRight w:val="0"/>
                                      <w:marTop w:val="0"/>
                                      <w:marBottom w:val="0"/>
                                      <w:divBdr>
                                        <w:top w:val="none" w:sz="0" w:space="0" w:color="auto"/>
                                        <w:left w:val="none" w:sz="0" w:space="0" w:color="auto"/>
                                        <w:bottom w:val="none" w:sz="0" w:space="0" w:color="auto"/>
                                        <w:right w:val="none" w:sz="0" w:space="0" w:color="auto"/>
                                      </w:divBdr>
                                      <w:divsChild>
                                        <w:div w:id="1074281027">
                                          <w:marLeft w:val="0"/>
                                          <w:marRight w:val="0"/>
                                          <w:marTop w:val="0"/>
                                          <w:marBottom w:val="0"/>
                                          <w:divBdr>
                                            <w:top w:val="none" w:sz="0" w:space="0" w:color="auto"/>
                                            <w:left w:val="none" w:sz="0" w:space="0" w:color="auto"/>
                                            <w:bottom w:val="none" w:sz="0" w:space="0" w:color="auto"/>
                                            <w:right w:val="none" w:sz="0" w:space="0" w:color="auto"/>
                                          </w:divBdr>
                                          <w:divsChild>
                                            <w:div w:id="1805387571">
                                              <w:marLeft w:val="0"/>
                                              <w:marRight w:val="0"/>
                                              <w:marTop w:val="0"/>
                                              <w:marBottom w:val="0"/>
                                              <w:divBdr>
                                                <w:top w:val="none" w:sz="0" w:space="0" w:color="auto"/>
                                                <w:left w:val="none" w:sz="0" w:space="0" w:color="auto"/>
                                                <w:bottom w:val="none" w:sz="0" w:space="0" w:color="auto"/>
                                                <w:right w:val="none" w:sz="0" w:space="0" w:color="auto"/>
                                              </w:divBdr>
                                              <w:divsChild>
                                                <w:div w:id="1874033365">
                                                  <w:marLeft w:val="0"/>
                                                  <w:marRight w:val="0"/>
                                                  <w:marTop w:val="0"/>
                                                  <w:marBottom w:val="0"/>
                                                  <w:divBdr>
                                                    <w:top w:val="none" w:sz="0" w:space="0" w:color="auto"/>
                                                    <w:left w:val="none" w:sz="0" w:space="0" w:color="auto"/>
                                                    <w:bottom w:val="none" w:sz="0" w:space="0" w:color="auto"/>
                                                    <w:right w:val="none" w:sz="0" w:space="0" w:color="auto"/>
                                                  </w:divBdr>
                                                  <w:divsChild>
                                                    <w:div w:id="1562524876">
                                                      <w:marLeft w:val="0"/>
                                                      <w:marRight w:val="0"/>
                                                      <w:marTop w:val="0"/>
                                                      <w:marBottom w:val="0"/>
                                                      <w:divBdr>
                                                        <w:top w:val="none" w:sz="0" w:space="0" w:color="auto"/>
                                                        <w:left w:val="none" w:sz="0" w:space="0" w:color="auto"/>
                                                        <w:bottom w:val="none" w:sz="0" w:space="0" w:color="auto"/>
                                                        <w:right w:val="none" w:sz="0" w:space="0" w:color="auto"/>
                                                      </w:divBdr>
                                                      <w:divsChild>
                                                        <w:div w:id="399258383">
                                                          <w:marLeft w:val="0"/>
                                                          <w:marRight w:val="0"/>
                                                          <w:marTop w:val="0"/>
                                                          <w:marBottom w:val="0"/>
                                                          <w:divBdr>
                                                            <w:top w:val="none" w:sz="0" w:space="0" w:color="auto"/>
                                                            <w:left w:val="none" w:sz="0" w:space="0" w:color="auto"/>
                                                            <w:bottom w:val="none" w:sz="0" w:space="0" w:color="auto"/>
                                                            <w:right w:val="none" w:sz="0" w:space="0" w:color="auto"/>
                                                          </w:divBdr>
                                                          <w:divsChild>
                                                            <w:div w:id="1110201067">
                                                              <w:marLeft w:val="0"/>
                                                              <w:marRight w:val="0"/>
                                                              <w:marTop w:val="0"/>
                                                              <w:marBottom w:val="0"/>
                                                              <w:divBdr>
                                                                <w:top w:val="none" w:sz="0" w:space="0" w:color="auto"/>
                                                                <w:left w:val="none" w:sz="0" w:space="0" w:color="auto"/>
                                                                <w:bottom w:val="none" w:sz="0" w:space="0" w:color="auto"/>
                                                                <w:right w:val="none" w:sz="0" w:space="0" w:color="auto"/>
                                                              </w:divBdr>
                                                              <w:divsChild>
                                                                <w:div w:id="2118675495">
                                                                  <w:marLeft w:val="0"/>
                                                                  <w:marRight w:val="0"/>
                                                                  <w:marTop w:val="0"/>
                                                                  <w:marBottom w:val="0"/>
                                                                  <w:divBdr>
                                                                    <w:top w:val="none" w:sz="0" w:space="0" w:color="auto"/>
                                                                    <w:left w:val="none" w:sz="0" w:space="0" w:color="auto"/>
                                                                    <w:bottom w:val="none" w:sz="0" w:space="0" w:color="auto"/>
                                                                    <w:right w:val="none" w:sz="0" w:space="0" w:color="auto"/>
                                                                  </w:divBdr>
                                                                  <w:divsChild>
                                                                    <w:div w:id="1421873870">
                                                                      <w:marLeft w:val="0"/>
                                                                      <w:marRight w:val="0"/>
                                                                      <w:marTop w:val="0"/>
                                                                      <w:marBottom w:val="0"/>
                                                                      <w:divBdr>
                                                                        <w:top w:val="none" w:sz="0" w:space="0" w:color="auto"/>
                                                                        <w:left w:val="none" w:sz="0" w:space="0" w:color="auto"/>
                                                                        <w:bottom w:val="none" w:sz="0" w:space="0" w:color="auto"/>
                                                                        <w:right w:val="none" w:sz="0" w:space="0" w:color="auto"/>
                                                                      </w:divBdr>
                                                                      <w:divsChild>
                                                                        <w:div w:id="168495370">
                                                                          <w:marLeft w:val="0"/>
                                                                          <w:marRight w:val="0"/>
                                                                          <w:marTop w:val="0"/>
                                                                          <w:marBottom w:val="0"/>
                                                                          <w:divBdr>
                                                                            <w:top w:val="none" w:sz="0" w:space="0" w:color="auto"/>
                                                                            <w:left w:val="none" w:sz="0" w:space="0" w:color="auto"/>
                                                                            <w:bottom w:val="none" w:sz="0" w:space="0" w:color="auto"/>
                                                                            <w:right w:val="none" w:sz="0" w:space="0" w:color="auto"/>
                                                                          </w:divBdr>
                                                                          <w:divsChild>
                                                                            <w:div w:id="1221399734">
                                                                              <w:marLeft w:val="0"/>
                                                                              <w:marRight w:val="0"/>
                                                                              <w:marTop w:val="0"/>
                                                                              <w:marBottom w:val="0"/>
                                                                              <w:divBdr>
                                                                                <w:top w:val="none" w:sz="0" w:space="0" w:color="auto"/>
                                                                                <w:left w:val="none" w:sz="0" w:space="0" w:color="auto"/>
                                                                                <w:bottom w:val="none" w:sz="0" w:space="0" w:color="auto"/>
                                                                                <w:right w:val="none" w:sz="0" w:space="0" w:color="auto"/>
                                                                              </w:divBdr>
                                                                              <w:divsChild>
                                                                                <w:div w:id="2051612129">
                                                                                  <w:marLeft w:val="0"/>
                                                                                  <w:marRight w:val="0"/>
                                                                                  <w:marTop w:val="0"/>
                                                                                  <w:marBottom w:val="0"/>
                                                                                  <w:divBdr>
                                                                                    <w:top w:val="none" w:sz="0" w:space="0" w:color="auto"/>
                                                                                    <w:left w:val="none" w:sz="0" w:space="0" w:color="auto"/>
                                                                                    <w:bottom w:val="none" w:sz="0" w:space="0" w:color="auto"/>
                                                                                    <w:right w:val="none" w:sz="0" w:space="0" w:color="auto"/>
                                                                                  </w:divBdr>
                                                                                  <w:divsChild>
                                                                                    <w:div w:id="18645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502696">
                                      <w:marLeft w:val="0"/>
                                      <w:marRight w:val="0"/>
                                      <w:marTop w:val="0"/>
                                      <w:marBottom w:val="0"/>
                                      <w:divBdr>
                                        <w:top w:val="none" w:sz="0" w:space="0" w:color="auto"/>
                                        <w:left w:val="none" w:sz="0" w:space="0" w:color="auto"/>
                                        <w:bottom w:val="none" w:sz="0" w:space="0" w:color="auto"/>
                                        <w:right w:val="none" w:sz="0" w:space="0" w:color="auto"/>
                                      </w:divBdr>
                                      <w:divsChild>
                                        <w:div w:id="22953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0915698">
      <w:bodyDiv w:val="1"/>
      <w:marLeft w:val="0"/>
      <w:marRight w:val="0"/>
      <w:marTop w:val="0"/>
      <w:marBottom w:val="0"/>
      <w:divBdr>
        <w:top w:val="none" w:sz="0" w:space="0" w:color="auto"/>
        <w:left w:val="none" w:sz="0" w:space="0" w:color="auto"/>
        <w:bottom w:val="none" w:sz="0" w:space="0" w:color="auto"/>
        <w:right w:val="none" w:sz="0" w:space="0" w:color="auto"/>
      </w:divBdr>
      <w:divsChild>
        <w:div w:id="662975019">
          <w:marLeft w:val="0"/>
          <w:marRight w:val="0"/>
          <w:marTop w:val="0"/>
          <w:marBottom w:val="0"/>
          <w:divBdr>
            <w:top w:val="none" w:sz="0" w:space="0" w:color="auto"/>
            <w:left w:val="none" w:sz="0" w:space="0" w:color="auto"/>
            <w:bottom w:val="none" w:sz="0" w:space="0" w:color="auto"/>
            <w:right w:val="none" w:sz="0" w:space="0" w:color="auto"/>
          </w:divBdr>
          <w:divsChild>
            <w:div w:id="47441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76731">
      <w:bodyDiv w:val="1"/>
      <w:marLeft w:val="0"/>
      <w:marRight w:val="0"/>
      <w:marTop w:val="0"/>
      <w:marBottom w:val="0"/>
      <w:divBdr>
        <w:top w:val="none" w:sz="0" w:space="0" w:color="auto"/>
        <w:left w:val="none" w:sz="0" w:space="0" w:color="auto"/>
        <w:bottom w:val="none" w:sz="0" w:space="0" w:color="auto"/>
        <w:right w:val="none" w:sz="0" w:space="0" w:color="auto"/>
      </w:divBdr>
      <w:divsChild>
        <w:div w:id="1998531984">
          <w:marLeft w:val="0"/>
          <w:marRight w:val="0"/>
          <w:marTop w:val="0"/>
          <w:marBottom w:val="0"/>
          <w:divBdr>
            <w:top w:val="none" w:sz="0" w:space="0" w:color="auto"/>
            <w:left w:val="none" w:sz="0" w:space="0" w:color="auto"/>
            <w:bottom w:val="none" w:sz="0" w:space="0" w:color="auto"/>
            <w:right w:val="none" w:sz="0" w:space="0" w:color="auto"/>
          </w:divBdr>
          <w:divsChild>
            <w:div w:id="775052651">
              <w:marLeft w:val="0"/>
              <w:marRight w:val="0"/>
              <w:marTop w:val="0"/>
              <w:marBottom w:val="0"/>
              <w:divBdr>
                <w:top w:val="none" w:sz="0" w:space="0" w:color="auto"/>
                <w:left w:val="none" w:sz="0" w:space="0" w:color="auto"/>
                <w:bottom w:val="none" w:sz="0" w:space="0" w:color="auto"/>
                <w:right w:val="none" w:sz="0" w:space="0" w:color="auto"/>
              </w:divBdr>
              <w:divsChild>
                <w:div w:id="1343242919">
                  <w:marLeft w:val="0"/>
                  <w:marRight w:val="0"/>
                  <w:marTop w:val="0"/>
                  <w:marBottom w:val="0"/>
                  <w:divBdr>
                    <w:top w:val="none" w:sz="0" w:space="0" w:color="auto"/>
                    <w:left w:val="none" w:sz="0" w:space="0" w:color="auto"/>
                    <w:bottom w:val="none" w:sz="0" w:space="0" w:color="auto"/>
                    <w:right w:val="none" w:sz="0" w:space="0" w:color="auto"/>
                  </w:divBdr>
                  <w:divsChild>
                    <w:div w:id="1060254762">
                      <w:marLeft w:val="0"/>
                      <w:marRight w:val="0"/>
                      <w:marTop w:val="0"/>
                      <w:marBottom w:val="0"/>
                      <w:divBdr>
                        <w:top w:val="none" w:sz="0" w:space="0" w:color="auto"/>
                        <w:left w:val="none" w:sz="0" w:space="0" w:color="auto"/>
                        <w:bottom w:val="none" w:sz="0" w:space="0" w:color="auto"/>
                        <w:right w:val="none" w:sz="0" w:space="0" w:color="auto"/>
                      </w:divBdr>
                      <w:divsChild>
                        <w:div w:id="1982542006">
                          <w:marLeft w:val="0"/>
                          <w:marRight w:val="0"/>
                          <w:marTop w:val="0"/>
                          <w:marBottom w:val="0"/>
                          <w:divBdr>
                            <w:top w:val="none" w:sz="0" w:space="0" w:color="auto"/>
                            <w:left w:val="none" w:sz="0" w:space="0" w:color="auto"/>
                            <w:bottom w:val="none" w:sz="0" w:space="0" w:color="auto"/>
                            <w:right w:val="none" w:sz="0" w:space="0" w:color="auto"/>
                          </w:divBdr>
                          <w:divsChild>
                            <w:div w:id="15008731">
                              <w:marLeft w:val="0"/>
                              <w:marRight w:val="0"/>
                              <w:marTop w:val="0"/>
                              <w:marBottom w:val="0"/>
                              <w:divBdr>
                                <w:top w:val="none" w:sz="0" w:space="0" w:color="auto"/>
                                <w:left w:val="none" w:sz="0" w:space="0" w:color="auto"/>
                                <w:bottom w:val="none" w:sz="0" w:space="0" w:color="auto"/>
                                <w:right w:val="none" w:sz="0" w:space="0" w:color="auto"/>
                              </w:divBdr>
                              <w:divsChild>
                                <w:div w:id="1228110059">
                                  <w:marLeft w:val="0"/>
                                  <w:marRight w:val="0"/>
                                  <w:marTop w:val="0"/>
                                  <w:marBottom w:val="0"/>
                                  <w:divBdr>
                                    <w:top w:val="none" w:sz="0" w:space="0" w:color="auto"/>
                                    <w:left w:val="none" w:sz="0" w:space="0" w:color="auto"/>
                                    <w:bottom w:val="none" w:sz="0" w:space="0" w:color="auto"/>
                                    <w:right w:val="none" w:sz="0" w:space="0" w:color="auto"/>
                                  </w:divBdr>
                                  <w:divsChild>
                                    <w:div w:id="1073089812">
                                      <w:marLeft w:val="0"/>
                                      <w:marRight w:val="0"/>
                                      <w:marTop w:val="0"/>
                                      <w:marBottom w:val="0"/>
                                      <w:divBdr>
                                        <w:top w:val="none" w:sz="0" w:space="0" w:color="auto"/>
                                        <w:left w:val="none" w:sz="0" w:space="0" w:color="auto"/>
                                        <w:bottom w:val="none" w:sz="0" w:space="0" w:color="auto"/>
                                        <w:right w:val="none" w:sz="0" w:space="0" w:color="auto"/>
                                      </w:divBdr>
                                      <w:divsChild>
                                        <w:div w:id="261689720">
                                          <w:marLeft w:val="0"/>
                                          <w:marRight w:val="0"/>
                                          <w:marTop w:val="0"/>
                                          <w:marBottom w:val="0"/>
                                          <w:divBdr>
                                            <w:top w:val="none" w:sz="0" w:space="0" w:color="auto"/>
                                            <w:left w:val="none" w:sz="0" w:space="0" w:color="auto"/>
                                            <w:bottom w:val="none" w:sz="0" w:space="0" w:color="auto"/>
                                            <w:right w:val="none" w:sz="0" w:space="0" w:color="auto"/>
                                          </w:divBdr>
                                          <w:divsChild>
                                            <w:div w:id="272595260">
                                              <w:marLeft w:val="0"/>
                                              <w:marRight w:val="0"/>
                                              <w:marTop w:val="0"/>
                                              <w:marBottom w:val="0"/>
                                              <w:divBdr>
                                                <w:top w:val="none" w:sz="0" w:space="0" w:color="auto"/>
                                                <w:left w:val="none" w:sz="0" w:space="0" w:color="auto"/>
                                                <w:bottom w:val="none" w:sz="0" w:space="0" w:color="auto"/>
                                                <w:right w:val="none" w:sz="0" w:space="0" w:color="auto"/>
                                              </w:divBdr>
                                              <w:divsChild>
                                                <w:div w:id="163975123">
                                                  <w:marLeft w:val="0"/>
                                                  <w:marRight w:val="0"/>
                                                  <w:marTop w:val="0"/>
                                                  <w:marBottom w:val="0"/>
                                                  <w:divBdr>
                                                    <w:top w:val="none" w:sz="0" w:space="0" w:color="auto"/>
                                                    <w:left w:val="none" w:sz="0" w:space="0" w:color="auto"/>
                                                    <w:bottom w:val="none" w:sz="0" w:space="0" w:color="auto"/>
                                                    <w:right w:val="none" w:sz="0" w:space="0" w:color="auto"/>
                                                  </w:divBdr>
                                                  <w:divsChild>
                                                    <w:div w:id="1769278422">
                                                      <w:marLeft w:val="0"/>
                                                      <w:marRight w:val="0"/>
                                                      <w:marTop w:val="0"/>
                                                      <w:marBottom w:val="0"/>
                                                      <w:divBdr>
                                                        <w:top w:val="none" w:sz="0" w:space="0" w:color="auto"/>
                                                        <w:left w:val="none" w:sz="0" w:space="0" w:color="auto"/>
                                                        <w:bottom w:val="none" w:sz="0" w:space="0" w:color="auto"/>
                                                        <w:right w:val="none" w:sz="0" w:space="0" w:color="auto"/>
                                                      </w:divBdr>
                                                      <w:divsChild>
                                                        <w:div w:id="1140539065">
                                                          <w:marLeft w:val="0"/>
                                                          <w:marRight w:val="0"/>
                                                          <w:marTop w:val="0"/>
                                                          <w:marBottom w:val="0"/>
                                                          <w:divBdr>
                                                            <w:top w:val="none" w:sz="0" w:space="0" w:color="auto"/>
                                                            <w:left w:val="none" w:sz="0" w:space="0" w:color="auto"/>
                                                            <w:bottom w:val="none" w:sz="0" w:space="0" w:color="auto"/>
                                                            <w:right w:val="none" w:sz="0" w:space="0" w:color="auto"/>
                                                          </w:divBdr>
                                                          <w:divsChild>
                                                            <w:div w:id="469983043">
                                                              <w:marLeft w:val="0"/>
                                                              <w:marRight w:val="0"/>
                                                              <w:marTop w:val="0"/>
                                                              <w:marBottom w:val="0"/>
                                                              <w:divBdr>
                                                                <w:top w:val="none" w:sz="0" w:space="0" w:color="auto"/>
                                                                <w:left w:val="none" w:sz="0" w:space="0" w:color="auto"/>
                                                                <w:bottom w:val="none" w:sz="0" w:space="0" w:color="auto"/>
                                                                <w:right w:val="none" w:sz="0" w:space="0" w:color="auto"/>
                                                              </w:divBdr>
                                                              <w:divsChild>
                                                                <w:div w:id="383796166">
                                                                  <w:marLeft w:val="0"/>
                                                                  <w:marRight w:val="0"/>
                                                                  <w:marTop w:val="0"/>
                                                                  <w:marBottom w:val="0"/>
                                                                  <w:divBdr>
                                                                    <w:top w:val="none" w:sz="0" w:space="0" w:color="auto"/>
                                                                    <w:left w:val="none" w:sz="0" w:space="0" w:color="auto"/>
                                                                    <w:bottom w:val="none" w:sz="0" w:space="0" w:color="auto"/>
                                                                    <w:right w:val="none" w:sz="0" w:space="0" w:color="auto"/>
                                                                  </w:divBdr>
                                                                  <w:divsChild>
                                                                    <w:div w:id="1372996833">
                                                                      <w:marLeft w:val="0"/>
                                                                      <w:marRight w:val="0"/>
                                                                      <w:marTop w:val="0"/>
                                                                      <w:marBottom w:val="0"/>
                                                                      <w:divBdr>
                                                                        <w:top w:val="none" w:sz="0" w:space="0" w:color="auto"/>
                                                                        <w:left w:val="none" w:sz="0" w:space="0" w:color="auto"/>
                                                                        <w:bottom w:val="none" w:sz="0" w:space="0" w:color="auto"/>
                                                                        <w:right w:val="none" w:sz="0" w:space="0" w:color="auto"/>
                                                                      </w:divBdr>
                                                                      <w:divsChild>
                                                                        <w:div w:id="1002507490">
                                                                          <w:marLeft w:val="0"/>
                                                                          <w:marRight w:val="0"/>
                                                                          <w:marTop w:val="0"/>
                                                                          <w:marBottom w:val="0"/>
                                                                          <w:divBdr>
                                                                            <w:top w:val="none" w:sz="0" w:space="0" w:color="auto"/>
                                                                            <w:left w:val="none" w:sz="0" w:space="0" w:color="auto"/>
                                                                            <w:bottom w:val="none" w:sz="0" w:space="0" w:color="auto"/>
                                                                            <w:right w:val="none" w:sz="0" w:space="0" w:color="auto"/>
                                                                          </w:divBdr>
                                                                          <w:divsChild>
                                                                            <w:div w:id="1073284468">
                                                                              <w:marLeft w:val="0"/>
                                                                              <w:marRight w:val="0"/>
                                                                              <w:marTop w:val="0"/>
                                                                              <w:marBottom w:val="0"/>
                                                                              <w:divBdr>
                                                                                <w:top w:val="none" w:sz="0" w:space="0" w:color="auto"/>
                                                                                <w:left w:val="none" w:sz="0" w:space="0" w:color="auto"/>
                                                                                <w:bottom w:val="none" w:sz="0" w:space="0" w:color="auto"/>
                                                                                <w:right w:val="none" w:sz="0" w:space="0" w:color="auto"/>
                                                                              </w:divBdr>
                                                                              <w:divsChild>
                                                                                <w:div w:id="598174702">
                                                                                  <w:marLeft w:val="0"/>
                                                                                  <w:marRight w:val="0"/>
                                                                                  <w:marTop w:val="0"/>
                                                                                  <w:marBottom w:val="0"/>
                                                                                  <w:divBdr>
                                                                                    <w:top w:val="none" w:sz="0" w:space="0" w:color="auto"/>
                                                                                    <w:left w:val="none" w:sz="0" w:space="0" w:color="auto"/>
                                                                                    <w:bottom w:val="none" w:sz="0" w:space="0" w:color="auto"/>
                                                                                    <w:right w:val="none" w:sz="0" w:space="0" w:color="auto"/>
                                                                                  </w:divBdr>
                                                                                  <w:divsChild>
                                                                                    <w:div w:id="1618559405">
                                                                                      <w:marLeft w:val="0"/>
                                                                                      <w:marRight w:val="0"/>
                                                                                      <w:marTop w:val="0"/>
                                                                                      <w:marBottom w:val="0"/>
                                                                                      <w:divBdr>
                                                                                        <w:top w:val="none" w:sz="0" w:space="0" w:color="auto"/>
                                                                                        <w:left w:val="none" w:sz="0" w:space="0" w:color="auto"/>
                                                                                        <w:bottom w:val="none" w:sz="0" w:space="0" w:color="auto"/>
                                                                                        <w:right w:val="none" w:sz="0" w:space="0" w:color="auto"/>
                                                                                      </w:divBdr>
                                                                                      <w:divsChild>
                                                                                        <w:div w:id="163482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107532">
                                          <w:marLeft w:val="0"/>
                                          <w:marRight w:val="0"/>
                                          <w:marTop w:val="0"/>
                                          <w:marBottom w:val="0"/>
                                          <w:divBdr>
                                            <w:top w:val="none" w:sz="0" w:space="0" w:color="auto"/>
                                            <w:left w:val="none" w:sz="0" w:space="0" w:color="auto"/>
                                            <w:bottom w:val="none" w:sz="0" w:space="0" w:color="auto"/>
                                            <w:right w:val="none" w:sz="0" w:space="0" w:color="auto"/>
                                          </w:divBdr>
                                          <w:divsChild>
                                            <w:div w:id="51604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168</Pages>
  <Words>13012</Words>
  <Characters>74170</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shanif</dc:creator>
  <cp:keywords/>
  <dc:description/>
  <cp:lastModifiedBy>muhammed shanif</cp:lastModifiedBy>
  <cp:revision>1</cp:revision>
  <dcterms:created xsi:type="dcterms:W3CDTF">2026-07-10T10:13:00Z</dcterms:created>
  <dcterms:modified xsi:type="dcterms:W3CDTF">2026-07-10T10:53:00Z</dcterms:modified>
</cp:coreProperties>
</file>