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Direct-Booking Measurement Plan</w:t>
      </w:r>
    </w:p>
    <w:p>
      <w:r>
        <w:rPr>
          <w:b w:val="0"/>
          <w:i/>
        </w:rPr>
        <w:t>Agreed before any spend. Signed by the property and by Hotel Growth OS. This document defines what success means, how it will be measured, and what we will not claim.</w:t>
      </w:r>
    </w:p>
    <w:tbl>
      <w:tblPr>
        <w:tblStyle w:val="TableGrid"/>
        <w:tblW w:type="auto" w:w="0"/>
        <w:jc w:val="center"/>
        <w:tblLook w:firstColumn="1" w:firstRow="1" w:lastColumn="0" w:lastRow="0" w:noHBand="0" w:noVBand="1" w:val="04A0"/>
      </w:tblPr>
      <w:tblGrid>
        <w:gridCol w:w="4986"/>
        <w:gridCol w:w="4986"/>
      </w:tblGrid>
      <w:tr>
        <w:tc>
          <w:tcPr>
            <w:tcW w:type="dxa" w:w="2835"/>
          </w:tcPr>
          <w:p>
            <w:r/>
            <w:r>
              <w:rPr>
                <w:b/>
                <w:sz w:val="19"/>
              </w:rPr>
              <w:t>Field</w:t>
            </w:r>
          </w:p>
        </w:tc>
        <w:tc>
          <w:tcPr>
            <w:tcW w:type="dxa" w:w="6520"/>
          </w:tcPr>
          <w:p>
            <w:r/>
            <w:r>
              <w:rPr>
                <w:b/>
                <w:sz w:val="19"/>
              </w:rPr>
              <w:t>Entry</w:t>
            </w:r>
          </w:p>
        </w:tc>
      </w:tr>
      <w:tr>
        <w:tc>
          <w:tcPr>
            <w:tcW w:type="dxa" w:w="2835"/>
          </w:tcPr>
          <w:p>
            <w:r/>
            <w:r>
              <w:rPr>
                <w:sz w:val="19"/>
              </w:rPr>
              <w:t>Property / organisation</w:t>
            </w:r>
          </w:p>
        </w:tc>
        <w:tc>
          <w:tcPr>
            <w:tcW w:type="dxa" w:w="6520"/>
          </w:tcPr>
          <w:p>
            <w:r/>
            <w:r>
              <w:rPr>
                <w:sz w:val="19"/>
              </w:rPr>
              <w:t>[ ................................ ]</w:t>
            </w:r>
          </w:p>
        </w:tc>
      </w:tr>
      <w:tr>
        <w:tc>
          <w:tcPr>
            <w:tcW w:type="dxa" w:w="2835"/>
          </w:tcPr>
          <w:p>
            <w:r/>
            <w:r>
              <w:rPr>
                <w:sz w:val="19"/>
              </w:rPr>
              <w:t>Provider</w:t>
            </w:r>
          </w:p>
        </w:tc>
        <w:tc>
          <w:tcPr>
            <w:tcW w:type="dxa" w:w="6520"/>
          </w:tcPr>
          <w:p>
            <w:r/>
            <w:r>
              <w:rPr>
                <w:sz w:val="19"/>
              </w:rPr>
              <w:t>[ ................................ ]</w:t>
            </w:r>
          </w:p>
        </w:tc>
      </w:tr>
      <w:tr>
        <w:tc>
          <w:tcPr>
            <w:tcW w:type="dxa" w:w="2835"/>
          </w:tcPr>
          <w:p>
            <w:r/>
            <w:r>
              <w:rPr>
                <w:sz w:val="19"/>
              </w:rPr>
              <w:t>Effective date</w:t>
            </w:r>
          </w:p>
        </w:tc>
        <w:tc>
          <w:tcPr>
            <w:tcW w:type="dxa" w:w="6520"/>
          </w:tcPr>
          <w:p>
            <w:r/>
            <w:r>
              <w:rPr>
                <w:sz w:val="19"/>
              </w:rPr>
              <w:t>[ ................................ ]</w:t>
            </w:r>
          </w:p>
        </w:tc>
      </w:tr>
      <w:tr>
        <w:tc>
          <w:tcPr>
            <w:tcW w:type="dxa" w:w="2835"/>
          </w:tcPr>
          <w:p>
            <w:r/>
            <w:r>
              <w:rPr>
                <w:sz w:val="19"/>
              </w:rPr>
              <w:t>Initial term</w:t>
            </w:r>
          </w:p>
        </w:tc>
        <w:tc>
          <w:tcPr>
            <w:tcW w:type="dxa" w:w="6520"/>
          </w:tcPr>
          <w:p>
            <w:r/>
            <w:r>
              <w:rPr>
                <w:sz w:val="19"/>
              </w:rPr>
              <w:t>90 days, then rolling monthly</w:t>
            </w:r>
          </w:p>
        </w:tc>
      </w:tr>
      <w:tr>
        <w:tc>
          <w:tcPr>
            <w:tcW w:type="dxa" w:w="2835"/>
          </w:tcPr>
          <w:p>
            <w:r/>
            <w:r>
              <w:rPr>
                <w:sz w:val="19"/>
              </w:rPr>
              <w:t>Measurement period</w:t>
            </w:r>
          </w:p>
        </w:tc>
        <w:tc>
          <w:tcPr>
            <w:tcW w:type="dxa" w:w="6520"/>
          </w:tcPr>
          <w:p>
            <w:r/>
            <w:r>
              <w:rPr>
                <w:sz w:val="19"/>
              </w:rPr>
              <w:t>12 months baseline + rolling 90-day evaluation windows</w:t>
            </w:r>
          </w:p>
        </w:tc>
      </w:tr>
      <w:tr>
        <w:tc>
          <w:tcPr>
            <w:tcW w:type="dxa" w:w="2835"/>
          </w:tcPr>
          <w:p>
            <w:r/>
            <w:r>
              <w:rPr>
                <w:sz w:val="19"/>
              </w:rPr>
              <w:t>Version</w:t>
            </w:r>
          </w:p>
        </w:tc>
        <w:tc>
          <w:tcPr>
            <w:tcW w:type="dxa" w:w="6520"/>
          </w:tcPr>
          <w:p>
            <w:r/>
            <w:r>
              <w:rPr>
                <w:sz w:val="19"/>
              </w:rPr>
              <w:t>v1.0 — every revision re-signed, nothing changes mid-window by accident</w:t>
            </w:r>
          </w:p>
        </w:tc>
      </w:tr>
    </w:tbl>
    <w:p/>
    <w:p>
      <w:pPr>
        <w:pStyle w:val="Heading1"/>
      </w:pPr>
      <w:r>
        <w:rPr>
          <w:color w:val="1F3864"/>
        </w:rPr>
        <w:t>1. Why this document exists</w:t>
      </w:r>
    </w:p>
    <w:p>
      <w:r>
        <w:rPr>
          <w:b w:val="0"/>
          <w:i w:val="0"/>
        </w:rPr>
        <w:t>Marketing spend whose effect cannot be measured is unfalsifiable — which means neither of us can tell whether this engagement is working. Reviews are not evidence, and platform-reported ROAS on a fixed-inventory business is routinely misleading. So we agree the measurement method first, while we are both unbiased, and we hold ourselves to a conservative version of it.</w:t>
      </w:r>
    </w:p>
    <w:p>
      <w:r>
        <w:rPr>
          <w:b w:val="0"/>
          <w:i w:val="0"/>
        </w:rPr>
        <w:t xml:space="preserve">The governing rule: </w:t>
      </w:r>
    </w:p>
    <w:p>
      <w:r>
        <w:rPr>
          <w:b/>
          <w:i w:val="0"/>
        </w:rPr>
        <w:t>If we cannot show it in the reconciled booking data, we do not claim it.</w:t>
      </w:r>
    </w:p>
    <w:p>
      <w:pPr>
        <w:pStyle w:val="Heading1"/>
      </w:pPr>
      <w:r>
        <w:rPr>
          <w:color w:val="1F3864"/>
        </w:rPr>
        <w:t>2. Property baseline (complete before work starts)</w:t>
      </w:r>
    </w:p>
    <w:p>
      <w:r>
        <w:rPr>
          <w:b w:val="0"/>
          <w:i w:val="0"/>
        </w:rPr>
        <w:t>Source of every number below must be named. If two systems disagree, that is itself a finding — record it.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2"/>
          </w:tcPr>
          <w:p>
            <w:r/>
            <w:r>
              <w:rPr>
                <w:b/>
                <w:sz w:val="19"/>
              </w:rPr>
              <w:t>Baseline item</w:t>
            </w:r>
          </w:p>
        </w:tc>
        <w:tc>
          <w:tcPr>
            <w:tcW w:type="dxa" w:w="1814"/>
          </w:tcPr>
          <w:p>
            <w:r/>
            <w:r>
              <w:rPr>
                <w:b/>
                <w:sz w:val="19"/>
              </w:rPr>
              <w:t>Value</w:t>
            </w:r>
          </w:p>
        </w:tc>
        <w:tc>
          <w:tcPr>
            <w:tcW w:type="dxa" w:w="2381"/>
          </w:tcPr>
          <w:p>
            <w:r/>
            <w:r>
              <w:rPr>
                <w:b/>
                <w:sz w:val="19"/>
              </w:rPr>
              <w:t>Source of truth</w:t>
            </w:r>
          </w:p>
        </w:tc>
        <w:tc>
          <w:tcPr>
            <w:tcW w:type="dxa" w:w="1757"/>
          </w:tcPr>
          <w:p>
            <w:r/>
            <w:r>
              <w:rPr>
                <w:b/>
                <w:sz w:val="19"/>
              </w:rPr>
              <w:t>As at</w:t>
            </w:r>
          </w:p>
        </w:tc>
      </w:tr>
      <w:tr>
        <w:tc>
          <w:tcPr>
            <w:tcW w:type="dxa" w:w="3402"/>
          </w:tcPr>
          <w:p>
            <w:r/>
            <w:r>
              <w:rPr>
                <w:sz w:val="19"/>
              </w:rPr>
              <w:t>Rooms available</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Average occupancy (last 12 mo)</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ADR (last 12 mo)</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RevPAR (last 12 mo)</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Total room revenue (last 12 mo)</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Share of bookings via OTAs (%)</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Effective OTA commission (all-in, %) — not the headline rate</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Direct channel share (%)</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Direct bookings/month (last 12 mo)</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Current marketing spend/month (all channels)</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Booking engine provider + fee</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PMS / channel manager</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Google Business Profile status (verified? manager access?)</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Seasonality: peak / shoulder / dead months</w:t>
            </w:r>
          </w:p>
        </w:tc>
        <w:tc>
          <w:tcPr>
            <w:tcW w:type="dxa" w:w="1814"/>
          </w:tcPr>
          <w:p>
            <w:r/>
            <w:r>
              <w:rPr>
                <w:sz w:val="19"/>
              </w:rPr>
            </w:r>
          </w:p>
        </w:tc>
        <w:tc>
          <w:tcPr>
            <w:tcW w:type="dxa" w:w="2381"/>
          </w:tcPr>
          <w:p>
            <w:r/>
            <w:r>
              <w:rPr>
                <w:sz w:val="19"/>
              </w:rPr>
            </w:r>
          </w:p>
        </w:tc>
        <w:tc>
          <w:tcPr>
            <w:tcW w:type="dxa" w:w="1757"/>
          </w:tcPr>
          <w:p>
            <w:r/>
            <w:r>
              <w:rPr>
                <w:sz w:val="19"/>
              </w:rPr>
            </w:r>
          </w:p>
        </w:tc>
      </w:tr>
      <w:tr>
        <w:tc>
          <w:tcPr>
            <w:tcW w:type="dxa" w:w="3402"/>
          </w:tcPr>
          <w:p>
            <w:r/>
            <w:r>
              <w:rPr>
                <w:sz w:val="19"/>
              </w:rPr>
              <w:t>Known anomalies (renovation, closures, one-off groups)</w:t>
            </w:r>
          </w:p>
        </w:tc>
        <w:tc>
          <w:tcPr>
            <w:tcW w:type="dxa" w:w="1814"/>
          </w:tcPr>
          <w:p>
            <w:r/>
            <w:r>
              <w:rPr>
                <w:sz w:val="19"/>
              </w:rPr>
            </w:r>
          </w:p>
        </w:tc>
        <w:tc>
          <w:tcPr>
            <w:tcW w:type="dxa" w:w="2381"/>
          </w:tcPr>
          <w:p>
            <w:r/>
            <w:r>
              <w:rPr>
                <w:sz w:val="19"/>
              </w:rPr>
            </w:r>
          </w:p>
        </w:tc>
        <w:tc>
          <w:tcPr>
            <w:tcW w:type="dxa" w:w="1757"/>
          </w:tcPr>
          <w:p>
            <w:r/>
            <w:r>
              <w:rPr>
                <w:sz w:val="19"/>
              </w:rPr>
            </w:r>
          </w:p>
        </w:tc>
      </w:tr>
    </w:tbl>
    <w:p/>
    <w:p>
      <w:r>
        <w:rPr>
          <w:b w:val="0"/>
          <w:i/>
          <w:sz w:val="18"/>
        </w:rPr>
        <w:t>Note on effective OTA commission: the contracted rate is not what the property pays. Add visibility boosters, preferred-partner points, and stacked discounts, then divide total fees by total OTA revenue for the trailing 12 months. This number is the entire economic basis of the engagement — shifting a booking to direct is worth roughly this percentage minus ~4.5%.</w:t>
      </w:r>
    </w:p>
    <w:p>
      <w:pPr>
        <w:pStyle w:val="Heading1"/>
      </w:pPr>
      <w:r>
        <w:rPr>
          <w:color w:val="1F3864"/>
        </w:rPr>
        <w:t>3. Primary metric and definitions</w:t>
      </w:r>
    </w:p>
    <w:p>
      <w:r>
        <w:rPr>
          <w:b w:val="0"/>
          <w:i w:val="0"/>
        </w:rPr>
        <w:t>One primary metric. Two supporting metrics. Nothing else decides renewal.</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041"/>
          </w:tcPr>
          <w:p>
            <w:r/>
            <w:r>
              <w:rPr>
                <w:b/>
                <w:sz w:val="19"/>
              </w:rPr>
              <w:t>Metric</w:t>
            </w:r>
          </w:p>
        </w:tc>
        <w:tc>
          <w:tcPr>
            <w:tcW w:type="dxa" w:w="3402"/>
          </w:tcPr>
          <w:p>
            <w:r/>
            <w:r>
              <w:rPr>
                <w:b/>
                <w:sz w:val="19"/>
              </w:rPr>
              <w:t>Exact definition</w:t>
            </w:r>
          </w:p>
        </w:tc>
        <w:tc>
          <w:tcPr>
            <w:tcW w:type="dxa" w:w="2041"/>
          </w:tcPr>
          <w:p>
            <w:r/>
            <w:r>
              <w:rPr>
                <w:b/>
                <w:sz w:val="19"/>
              </w:rPr>
              <w:t>Source of truth</w:t>
            </w:r>
          </w:p>
        </w:tc>
        <w:tc>
          <w:tcPr>
            <w:tcW w:type="dxa" w:w="1020"/>
          </w:tcPr>
          <w:p>
            <w:r/>
            <w:r>
              <w:rPr>
                <w:b/>
                <w:sz w:val="19"/>
              </w:rPr>
              <w:t>Baseline</w:t>
            </w:r>
          </w:p>
        </w:tc>
        <w:tc>
          <w:tcPr>
            <w:tcW w:type="dxa" w:w="907"/>
          </w:tcPr>
          <w:p>
            <w:r/>
            <w:r>
              <w:rPr>
                <w:b/>
                <w:sz w:val="19"/>
              </w:rPr>
              <w:t>Target</w:t>
            </w:r>
          </w:p>
        </w:tc>
      </w:tr>
      <w:tr>
        <w:tc>
          <w:tcPr>
            <w:tcW w:type="dxa" w:w="2041"/>
          </w:tcPr>
          <w:p>
            <w:r/>
            <w:r>
              <w:rPr>
                <w:sz w:val="19"/>
              </w:rPr>
              <w:t>PRIMARY: Incremental direct room-nights</w:t>
            </w:r>
          </w:p>
        </w:tc>
        <w:tc>
          <w:tcPr>
            <w:tcW w:type="dxa" w:w="3402"/>
          </w:tcPr>
          <w:p>
            <w:r/>
            <w:r>
              <w:rPr>
                <w:sz w:val="19"/>
              </w:rPr>
              <w:t>Direct-channel room-nights in the measurement window minus the counterfactual defined in §4</w:t>
            </w:r>
          </w:p>
        </w:tc>
        <w:tc>
          <w:tcPr>
            <w:tcW w:type="dxa" w:w="2041"/>
          </w:tcPr>
          <w:p>
            <w:r/>
            <w:r>
              <w:rPr>
                <w:sz w:val="19"/>
              </w:rPr>
              <w:t>Booking engine + PMS reconciliation</w:t>
            </w:r>
          </w:p>
        </w:tc>
        <w:tc>
          <w:tcPr>
            <w:tcW w:type="dxa" w:w="1020"/>
          </w:tcPr>
          <w:p>
            <w:r/>
            <w:r>
              <w:rPr>
                <w:sz w:val="19"/>
              </w:rPr>
            </w:r>
          </w:p>
        </w:tc>
        <w:tc>
          <w:tcPr>
            <w:tcW w:type="dxa" w:w="907"/>
          </w:tcPr>
          <w:p>
            <w:r/>
            <w:r>
              <w:rPr>
                <w:sz w:val="19"/>
              </w:rPr>
            </w:r>
          </w:p>
        </w:tc>
      </w:tr>
      <w:tr>
        <w:tc>
          <w:tcPr>
            <w:tcW w:type="dxa" w:w="2041"/>
          </w:tcPr>
          <w:p>
            <w:r/>
            <w:r>
              <w:rPr>
                <w:sz w:val="19"/>
              </w:rPr>
              <w:t>VALUE: Net revenue retained</w:t>
            </w:r>
          </w:p>
        </w:tc>
        <w:tc>
          <w:tcPr>
            <w:tcW w:type="dxa" w:w="3402"/>
          </w:tcPr>
          <w:p>
            <w:r/>
            <w:r>
              <w:rPr>
                <w:sz w:val="19"/>
              </w:rPr>
              <w:t>Incremental direct room-nights × ADR × (effective OTA commission − all-in direct cost ~4.5%)</w:t>
            </w:r>
          </w:p>
        </w:tc>
        <w:tc>
          <w:tcPr>
            <w:tcW w:type="dxa" w:w="2041"/>
          </w:tcPr>
          <w:p>
            <w:r/>
            <w:r>
              <w:rPr>
                <w:sz w:val="19"/>
              </w:rPr>
              <w:t>Derived calculation, shown in every report</w:t>
            </w:r>
          </w:p>
        </w:tc>
        <w:tc>
          <w:tcPr>
            <w:tcW w:type="dxa" w:w="1020"/>
          </w:tcPr>
          <w:p>
            <w:r/>
            <w:r>
              <w:rPr>
                <w:sz w:val="19"/>
              </w:rPr>
            </w:r>
          </w:p>
        </w:tc>
        <w:tc>
          <w:tcPr>
            <w:tcW w:type="dxa" w:w="907"/>
          </w:tcPr>
          <w:p>
            <w:r/>
            <w:r>
              <w:rPr>
                <w:sz w:val="19"/>
              </w:rPr>
            </w:r>
          </w:p>
        </w:tc>
      </w:tr>
      <w:tr>
        <w:tc>
          <w:tcPr>
            <w:tcW w:type="dxa" w:w="2041"/>
          </w:tcPr>
          <w:p>
            <w:r/>
            <w:r>
              <w:rPr>
                <w:sz w:val="19"/>
              </w:rPr>
              <w:t>SUPPORTING: Cost per incremental direct booking</w:t>
            </w:r>
          </w:p>
        </w:tc>
        <w:tc>
          <w:tcPr>
            <w:tcW w:type="dxa" w:w="3402"/>
          </w:tcPr>
          <w:p>
            <w:r/>
            <w:r>
              <w:rPr>
                <w:sz w:val="19"/>
              </w:rPr>
              <w:t>Total engagement fee + attributed media spend ÷ incremental direct bookings</w:t>
            </w:r>
          </w:p>
        </w:tc>
        <w:tc>
          <w:tcPr>
            <w:tcW w:type="dxa" w:w="2041"/>
          </w:tcPr>
          <w:p>
            <w:r/>
            <w:r>
              <w:rPr>
                <w:sz w:val="19"/>
              </w:rPr>
              <w:t>Engagement invoices + reconciled media spend</w:t>
            </w:r>
          </w:p>
        </w:tc>
        <w:tc>
          <w:tcPr>
            <w:tcW w:type="dxa" w:w="1020"/>
          </w:tcPr>
          <w:p>
            <w:r/>
            <w:r>
              <w:rPr>
                <w:sz w:val="19"/>
              </w:rPr>
            </w:r>
          </w:p>
        </w:tc>
        <w:tc>
          <w:tcPr>
            <w:tcW w:type="dxa" w:w="907"/>
          </w:tcPr>
          <w:p>
            <w:r/>
            <w:r>
              <w:rPr>
                <w:sz w:val="19"/>
              </w:rPr>
            </w:r>
          </w:p>
        </w:tc>
      </w:tr>
      <w:tr>
        <w:tc>
          <w:tcPr>
            <w:tcW w:type="dxa" w:w="2041"/>
          </w:tcPr>
          <w:p>
            <w:r/>
            <w:r>
              <w:rPr>
                <w:sz w:val="19"/>
              </w:rPr>
              <w:t>GUARDRAIL: Total OTA commission paid</w:t>
            </w:r>
          </w:p>
        </w:tc>
        <w:tc>
          <w:tcPr>
            <w:tcW w:type="dxa" w:w="3402"/>
          </w:tcPr>
          <w:p>
            <w:r/>
            <w:r>
              <w:rPr>
                <w:sz w:val="19"/>
              </w:rPr>
              <w:t>Trailing-30-day commission paid, all OTAs</w:t>
            </w:r>
          </w:p>
        </w:tc>
        <w:tc>
          <w:tcPr>
            <w:tcW w:type="dxa" w:w="2041"/>
          </w:tcPr>
          <w:p>
            <w:r/>
            <w:r>
              <w:rPr>
                <w:sz w:val="19"/>
              </w:rPr>
              <w:t>OTA statements</w:t>
            </w:r>
          </w:p>
        </w:tc>
        <w:tc>
          <w:tcPr>
            <w:tcW w:type="dxa" w:w="1020"/>
          </w:tcPr>
          <w:p>
            <w:r/>
            <w:r>
              <w:rPr>
                <w:sz w:val="19"/>
              </w:rPr>
            </w:r>
          </w:p>
        </w:tc>
        <w:tc>
          <w:tcPr>
            <w:tcW w:type="dxa" w:w="907"/>
          </w:tcPr>
          <w:p>
            <w:r/>
            <w:r>
              <w:rPr>
                <w:sz w:val="19"/>
              </w:rPr>
            </w:r>
          </w:p>
        </w:tc>
      </w:tr>
      <w:tr>
        <w:tc>
          <w:tcPr>
            <w:tcW w:type="dxa" w:w="2041"/>
          </w:tcPr>
          <w:p>
            <w:r/>
            <w:r>
              <w:rPr>
                <w:sz w:val="19"/>
              </w:rPr>
              <w:t>GUARDRAIL: Direct booking value (not just count)</w:t>
            </w:r>
          </w:p>
        </w:tc>
        <w:tc>
          <w:tcPr>
            <w:tcW w:type="dxa" w:w="3402"/>
          </w:tcPr>
          <w:p>
            <w:r/>
            <w:r>
              <w:rPr>
                <w:sz w:val="19"/>
              </w:rPr>
              <w:t>Direct revenue ÷ direct room-nights — prevents winning cheap, low-value nights</w:t>
            </w:r>
          </w:p>
        </w:tc>
        <w:tc>
          <w:tcPr>
            <w:tcW w:type="dxa" w:w="2041"/>
          </w:tcPr>
          <w:p>
            <w:r/>
            <w:r>
              <w:rPr>
                <w:sz w:val="19"/>
              </w:rPr>
              <w:t>Booking engine</w:t>
            </w:r>
          </w:p>
        </w:tc>
        <w:tc>
          <w:tcPr>
            <w:tcW w:type="dxa" w:w="1020"/>
          </w:tcPr>
          <w:p>
            <w:r/>
            <w:r>
              <w:rPr>
                <w:sz w:val="19"/>
              </w:rPr>
            </w:r>
          </w:p>
        </w:tc>
        <w:tc>
          <w:tcPr>
            <w:tcW w:type="dxa" w:w="907"/>
          </w:tcPr>
          <w:p>
            <w:r/>
            <w:r>
              <w:rPr>
                <w:sz w:val="19"/>
              </w:rPr>
            </w:r>
          </w:p>
        </w:tc>
      </w:tr>
    </w:tbl>
    <w:p/>
    <w:p>
      <w:r>
        <w:rPr>
          <w:b w:val="0"/>
          <w:i/>
          <w:sz w:val="18"/>
        </w:rPr>
        <w:t>The guardrails exist to stop the most common self-deception in this business: buying discounted one-night bookings through paid search, booking them as a direct-channel win, and eroding rate integrity in the process.</w:t>
      </w:r>
    </w:p>
    <w:p>
      <w:pPr>
        <w:pStyle w:val="Heading1"/>
      </w:pPr>
      <w:r>
        <w:rPr>
          <w:color w:val="1F3864"/>
        </w:rPr>
        <w:t>4. Counterfactual: what would have happened anyway</w:t>
      </w:r>
    </w:p>
    <w:p>
      <w:r>
        <w:rPr>
          <w:b w:val="0"/>
          <w:i w:val="0"/>
        </w:rPr>
        <w:t>This is the hard part, and the reason the plan is signed up front. Hotels share fixed inventory, have strong seasonality, and already receive bookings they did not pay for. We choose one design below and state its assumptions in writing.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tcPr>
          <w:p>
            <w:r/>
            <w:r>
              <w:rPr>
                <w:b/>
                <w:sz w:val="19"/>
              </w:rPr>
              <w:t>Design</w:t>
            </w:r>
          </w:p>
        </w:tc>
        <w:tc>
          <w:tcPr>
            <w:tcW w:type="dxa" w:w="3175"/>
          </w:tcPr>
          <w:p>
            <w:r/>
            <w:r>
              <w:rPr>
                <w:b/>
                <w:sz w:val="19"/>
              </w:rPr>
              <w:t>How it works</w:t>
            </w:r>
          </w:p>
        </w:tc>
        <w:tc>
          <w:tcPr>
            <w:tcW w:type="dxa" w:w="3061"/>
          </w:tcPr>
          <w:p>
            <w:r/>
            <w:r>
              <w:rPr>
                <w:b/>
                <w:sz w:val="19"/>
              </w:rPr>
              <w:t>When it is feasible</w:t>
            </w:r>
          </w:p>
        </w:tc>
        <w:tc>
          <w:tcPr>
            <w:tcW w:type="dxa" w:w="1020"/>
          </w:tcPr>
          <w:p>
            <w:r/>
            <w:r>
              <w:rPr>
                <w:b/>
                <w:sz w:val="19"/>
              </w:rPr>
              <w:t>Selected</w:t>
            </w:r>
          </w:p>
        </w:tc>
      </w:tr>
      <w:tr>
        <w:tc>
          <w:tcPr>
            <w:tcW w:type="dxa" w:w="1928"/>
          </w:tcPr>
          <w:p>
            <w:r/>
            <w:r>
              <w:rPr>
                <w:sz w:val="19"/>
              </w:rPr>
              <w:t>A. Geo holdout</w:t>
            </w:r>
          </w:p>
        </w:tc>
        <w:tc>
          <w:tcPr>
            <w:tcW w:type="dxa" w:w="3175"/>
          </w:tcPr>
          <w:p>
            <w:r/>
            <w:r>
              <w:rPr>
                <w:sz w:val="19"/>
              </w:rPr>
              <w:t>Run campaigns in defined locations only; compare matched unexposed locations over the same window.</w:t>
            </w:r>
          </w:p>
        </w:tc>
        <w:tc>
          <w:tcPr>
            <w:tcW w:type="dxa" w:w="3061"/>
          </w:tcPr>
          <w:p>
            <w:r/>
            <w:r>
              <w:rPr>
                <w:sz w:val="19"/>
              </w:rPr>
              <w:t>Property with enough geographic demand spread. Strongest design available at this scale.</w:t>
            </w:r>
          </w:p>
        </w:tc>
        <w:tc>
          <w:tcPr>
            <w:tcW w:type="dxa" w:w="1020"/>
          </w:tcPr>
          <w:p>
            <w:r/>
            <w:r>
              <w:rPr>
                <w:sz w:val="19"/>
              </w:rPr>
              <w:t>[ ]</w:t>
            </w:r>
          </w:p>
        </w:tc>
      </w:tr>
      <w:tr>
        <w:tc>
          <w:tcPr>
            <w:tcW w:type="dxa" w:w="1928"/>
          </w:tcPr>
          <w:p>
            <w:r/>
            <w:r>
              <w:rPr>
                <w:sz w:val="19"/>
              </w:rPr>
              <w:t>B. Time-based holdout</w:t>
            </w:r>
          </w:p>
        </w:tc>
        <w:tc>
          <w:tcPr>
            <w:tcW w:type="dxa" w:w="3175"/>
          </w:tcPr>
          <w:p>
            <w:r/>
            <w:r>
              <w:rPr>
                <w:sz w:val="19"/>
              </w:rPr>
              <w:t>Alternate weeks on/off for a specific campaign; compare like-for-like weeks.</w:t>
            </w:r>
          </w:p>
        </w:tc>
        <w:tc>
          <w:tcPr>
            <w:tcW w:type="dxa" w:w="3061"/>
          </w:tcPr>
          <w:p>
            <w:r/>
            <w:r>
              <w:rPr>
                <w:sz w:val="19"/>
              </w:rPr>
              <w:t>Works for always-on search; needs 8+ weeks to be meaningful.</w:t>
            </w:r>
          </w:p>
        </w:tc>
        <w:tc>
          <w:tcPr>
            <w:tcW w:type="dxa" w:w="1020"/>
          </w:tcPr>
          <w:p>
            <w:r/>
            <w:r>
              <w:rPr>
                <w:sz w:val="19"/>
              </w:rPr>
              <w:t>[ ]</w:t>
            </w:r>
          </w:p>
        </w:tc>
      </w:tr>
      <w:tr>
        <w:tc>
          <w:tcPr>
            <w:tcW w:type="dxa" w:w="1928"/>
          </w:tcPr>
          <w:p>
            <w:r/>
            <w:r>
              <w:rPr>
                <w:sz w:val="19"/>
              </w:rPr>
              <w:t>C. Pre/post with seasonality control</w:t>
            </w:r>
          </w:p>
        </w:tc>
        <w:tc>
          <w:tcPr>
            <w:tcW w:type="dxa" w:w="3175"/>
          </w:tcPr>
          <w:p>
            <w:r/>
            <w:r>
              <w:rPr>
                <w:sz w:val="19"/>
              </w:rPr>
              <w:t>Compare the window against the same window last year, adjusted for market trend.</w:t>
            </w:r>
          </w:p>
        </w:tc>
        <w:tc>
          <w:tcPr>
            <w:tcW w:type="dxa" w:w="3061"/>
          </w:tcPr>
          <w:p>
            <w:r/>
            <w:r>
              <w:rPr>
                <w:sz w:val="19"/>
              </w:rPr>
              <w:t>Always available; weakest design — used when A and B are impossible.</w:t>
            </w:r>
          </w:p>
        </w:tc>
        <w:tc>
          <w:tcPr>
            <w:tcW w:type="dxa" w:w="1020"/>
          </w:tcPr>
          <w:p>
            <w:r/>
            <w:r>
              <w:rPr>
                <w:sz w:val="19"/>
              </w:rPr>
              <w:t>[ ]</w:t>
            </w:r>
          </w:p>
        </w:tc>
      </w:tr>
      <w:tr>
        <w:tc>
          <w:tcPr>
            <w:tcW w:type="dxa" w:w="1928"/>
          </w:tcPr>
          <w:p>
            <w:r/>
            <w:r>
              <w:rPr>
                <w:sz w:val="19"/>
              </w:rPr>
              <w:t>D. Conservative attribution</w:t>
            </w:r>
          </w:p>
        </w:tc>
        <w:tc>
          <w:tcPr>
            <w:tcW w:type="dxa" w:w="3175"/>
          </w:tcPr>
          <w:p>
            <w:r/>
            <w:r>
              <w:rPr>
                <w:sz w:val="19"/>
              </w:rPr>
              <w:t>Count direct bookings that touch a campaign, then apply a haircut factor agreed below.</w:t>
            </w:r>
          </w:p>
        </w:tc>
        <w:tc>
          <w:tcPr>
            <w:tcW w:type="dxa" w:w="3061"/>
          </w:tcPr>
          <w:p>
            <w:r/>
            <w:r>
              <w:rPr>
                <w:sz w:val="19"/>
              </w:rPr>
              <w:t>Always available; default reporting basis when no holdout is running.</w:t>
            </w:r>
          </w:p>
        </w:tc>
        <w:tc>
          <w:tcPr>
            <w:tcW w:type="dxa" w:w="1020"/>
          </w:tcPr>
          <w:p>
            <w:r/>
            <w:r>
              <w:rPr>
                <w:sz w:val="19"/>
              </w:rPr>
              <w:t>[ ]</w:t>
            </w:r>
          </w:p>
        </w:tc>
      </w:tr>
    </w:tbl>
    <w:p/>
    <w:p>
      <w:r>
        <w:rPr>
          <w:b/>
          <w:i w:val="0"/>
        </w:rPr>
        <w:t>Agreed haircut factor (share of attributed direct bookings we will assume would have happened anyway): [ ................................ ]</w:t>
      </w:r>
    </w:p>
    <w:p>
      <w:r>
        <w:rPr>
          <w:b w:val="0"/>
          <w:i/>
          <w:sz w:val="18"/>
        </w:rPr>
        <w:t>Default proposal: 40–60% for branded search, 15–30% for non-brand prospecting. We would rather under-claim and be believed than over-claim and be doubted.</w:t>
      </w:r>
    </w:p>
    <w:p>
      <w:pPr>
        <w:pStyle w:val="Heading1"/>
      </w:pPr>
      <w:r>
        <w:rPr>
          <w:color w:val="1F3864"/>
        </w:rPr>
        <w:t>5. Data access required (blocking — work cannot start without it)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969"/>
          </w:tcPr>
          <w:p>
            <w:r/>
            <w:r>
              <w:rPr>
                <w:b/>
                <w:sz w:val="19"/>
              </w:rPr>
              <w:t>Access</w:t>
            </w:r>
          </w:p>
        </w:tc>
        <w:tc>
          <w:tcPr>
            <w:tcW w:type="dxa" w:w="1701"/>
          </w:tcPr>
          <w:p>
            <w:r/>
            <w:r>
              <w:rPr>
                <w:b/>
                <w:sz w:val="19"/>
              </w:rPr>
              <w:t>Granted by</w:t>
            </w:r>
          </w:p>
        </w:tc>
        <w:tc>
          <w:tcPr>
            <w:tcW w:type="dxa" w:w="1361"/>
          </w:tcPr>
          <w:p>
            <w:r/>
            <w:r>
              <w:rPr>
                <w:b/>
                <w:sz w:val="19"/>
              </w:rPr>
              <w:t>Needed by</w:t>
            </w:r>
          </w:p>
        </w:tc>
        <w:tc>
          <w:tcPr>
            <w:tcW w:type="dxa" w:w="1134"/>
          </w:tcPr>
          <w:p>
            <w:r/>
            <w:r>
              <w:rPr>
                <w:b/>
                <w:sz w:val="19"/>
              </w:rPr>
              <w:t>Status</w:t>
            </w:r>
          </w:p>
        </w:tc>
      </w:tr>
      <w:tr>
        <w:tc>
          <w:tcPr>
            <w:tcW w:type="dxa" w:w="3969"/>
          </w:tcPr>
          <w:p>
            <w:r/>
            <w:r>
              <w:rPr>
                <w:sz w:val="19"/>
              </w:rPr>
              <w:t>GA4 property (read) + admin to add conversion events</w:t>
            </w:r>
          </w:p>
        </w:tc>
        <w:tc>
          <w:tcPr>
            <w:tcW w:type="dxa" w:w="1701"/>
          </w:tcPr>
          <w:p>
            <w:r/>
            <w:r>
              <w:rPr>
                <w:sz w:val="19"/>
              </w:rPr>
              <w:t>Property</w:t>
            </w:r>
          </w:p>
        </w:tc>
        <w:tc>
          <w:tcPr>
            <w:tcW w:type="dxa" w:w="1361"/>
          </w:tcPr>
          <w:p>
            <w:r/>
            <w:r>
              <w:rPr>
                <w:sz w:val="19"/>
              </w:rPr>
              <w:t>Day 0</w:t>
            </w:r>
          </w:p>
        </w:tc>
        <w:tc>
          <w:tcPr>
            <w:tcW w:type="dxa" w:w="1134"/>
          </w:tcPr>
          <w:p>
            <w:r/>
            <w:r>
              <w:rPr>
                <w:sz w:val="19"/>
              </w:rPr>
              <w:t>[ ]</w:t>
            </w:r>
          </w:p>
        </w:tc>
      </w:tr>
      <w:tr>
        <w:tc>
          <w:tcPr>
            <w:tcW w:type="dxa" w:w="3969"/>
          </w:tcPr>
          <w:p>
            <w:r/>
            <w:r>
              <w:rPr>
                <w:sz w:val="19"/>
              </w:rPr>
              <w:t>Google Search Console (read)</w:t>
            </w:r>
          </w:p>
        </w:tc>
        <w:tc>
          <w:tcPr>
            <w:tcW w:type="dxa" w:w="1701"/>
          </w:tcPr>
          <w:p>
            <w:r/>
            <w:r>
              <w:rPr>
                <w:sz w:val="19"/>
              </w:rPr>
              <w:t>Property</w:t>
            </w:r>
          </w:p>
        </w:tc>
        <w:tc>
          <w:tcPr>
            <w:tcW w:type="dxa" w:w="1361"/>
          </w:tcPr>
          <w:p>
            <w:r/>
            <w:r>
              <w:rPr>
                <w:sz w:val="19"/>
              </w:rPr>
              <w:t>Day 0</w:t>
            </w:r>
          </w:p>
        </w:tc>
        <w:tc>
          <w:tcPr>
            <w:tcW w:type="dxa" w:w="1134"/>
          </w:tcPr>
          <w:p>
            <w:r/>
            <w:r>
              <w:rPr>
                <w:sz w:val="19"/>
              </w:rPr>
              <w:t>[ ]</w:t>
            </w:r>
          </w:p>
        </w:tc>
      </w:tr>
      <w:tr>
        <w:tc>
          <w:tcPr>
            <w:tcW w:type="dxa" w:w="3969"/>
          </w:tcPr>
          <w:p>
            <w:r/>
            <w:r>
              <w:rPr>
                <w:sz w:val="19"/>
              </w:rPr>
              <w:t>Google Ads: manager-account link to the property's own account</w:t>
            </w:r>
          </w:p>
        </w:tc>
        <w:tc>
          <w:tcPr>
            <w:tcW w:type="dxa" w:w="1701"/>
          </w:tcPr>
          <w:p>
            <w:r/>
            <w:r>
              <w:rPr>
                <w:sz w:val="19"/>
              </w:rPr>
              <w:t>Property</w:t>
            </w:r>
          </w:p>
        </w:tc>
        <w:tc>
          <w:tcPr>
            <w:tcW w:type="dxa" w:w="1361"/>
          </w:tcPr>
          <w:p>
            <w:r/>
            <w:r>
              <w:rPr>
                <w:sz w:val="19"/>
              </w:rPr>
              <w:t>Day 0</w:t>
            </w:r>
          </w:p>
        </w:tc>
        <w:tc>
          <w:tcPr>
            <w:tcW w:type="dxa" w:w="1134"/>
          </w:tcPr>
          <w:p>
            <w:r/>
            <w:r>
              <w:rPr>
                <w:sz w:val="19"/>
              </w:rPr>
              <w:t>[ ]</w:t>
            </w:r>
          </w:p>
        </w:tc>
      </w:tr>
      <w:tr>
        <w:tc>
          <w:tcPr>
            <w:tcW w:type="dxa" w:w="3969"/>
          </w:tcPr>
          <w:p>
            <w:r/>
            <w:r>
              <w:rPr>
                <w:sz w:val="19"/>
              </w:rPr>
              <w:t>Google Business Profile: manager access (never ownership transfer)</w:t>
            </w:r>
          </w:p>
        </w:tc>
        <w:tc>
          <w:tcPr>
            <w:tcW w:type="dxa" w:w="1701"/>
          </w:tcPr>
          <w:p>
            <w:r/>
            <w:r>
              <w:rPr>
                <w:sz w:val="19"/>
              </w:rPr>
              <w:t>Property</w:t>
            </w:r>
          </w:p>
        </w:tc>
        <w:tc>
          <w:tcPr>
            <w:tcW w:type="dxa" w:w="1361"/>
          </w:tcPr>
          <w:p>
            <w:r/>
            <w:r>
              <w:rPr>
                <w:sz w:val="19"/>
              </w:rPr>
              <w:t>Day 0</w:t>
            </w:r>
          </w:p>
        </w:tc>
        <w:tc>
          <w:tcPr>
            <w:tcW w:type="dxa" w:w="1134"/>
          </w:tcPr>
          <w:p>
            <w:r/>
            <w:r>
              <w:rPr>
                <w:sz w:val="19"/>
              </w:rPr>
              <w:t>[ ]</w:t>
            </w:r>
          </w:p>
        </w:tc>
      </w:tr>
      <w:tr>
        <w:tc>
          <w:tcPr>
            <w:tcW w:type="dxa" w:w="3969"/>
          </w:tcPr>
          <w:p>
            <w:r/>
            <w:r>
              <w:rPr>
                <w:sz w:val="19"/>
              </w:rPr>
              <w:t>Meta: ad account access via Business Manager system user</w:t>
            </w:r>
          </w:p>
        </w:tc>
        <w:tc>
          <w:tcPr>
            <w:tcW w:type="dxa" w:w="1701"/>
          </w:tcPr>
          <w:p>
            <w:r/>
            <w:r>
              <w:rPr>
                <w:sz w:val="19"/>
              </w:rPr>
              <w:t>Property</w:t>
            </w:r>
          </w:p>
        </w:tc>
        <w:tc>
          <w:tcPr>
            <w:tcW w:type="dxa" w:w="1361"/>
          </w:tcPr>
          <w:p>
            <w:r/>
            <w:r>
              <w:rPr>
                <w:sz w:val="19"/>
              </w:rPr>
              <w:t>Week 1</w:t>
            </w:r>
          </w:p>
        </w:tc>
        <w:tc>
          <w:tcPr>
            <w:tcW w:type="dxa" w:w="1134"/>
          </w:tcPr>
          <w:p>
            <w:r/>
            <w:r>
              <w:rPr>
                <w:sz w:val="19"/>
              </w:rPr>
              <w:t>[ ]</w:t>
            </w:r>
          </w:p>
        </w:tc>
      </w:tr>
      <w:tr>
        <w:tc>
          <w:tcPr>
            <w:tcW w:type="dxa" w:w="3969"/>
          </w:tcPr>
          <w:p>
            <w:r/>
            <w:r>
              <w:rPr>
                <w:sz w:val="19"/>
              </w:rPr>
              <w:t>Booking engine: reporting access or scheduled export</w:t>
            </w:r>
          </w:p>
        </w:tc>
        <w:tc>
          <w:tcPr>
            <w:tcW w:type="dxa" w:w="1701"/>
          </w:tcPr>
          <w:p>
            <w:r/>
            <w:r>
              <w:rPr>
                <w:sz w:val="19"/>
              </w:rPr>
              <w:t>Property</w:t>
            </w:r>
          </w:p>
        </w:tc>
        <w:tc>
          <w:tcPr>
            <w:tcW w:type="dxa" w:w="1361"/>
          </w:tcPr>
          <w:p>
            <w:r/>
            <w:r>
              <w:rPr>
                <w:sz w:val="19"/>
              </w:rPr>
              <w:t>Day 0</w:t>
            </w:r>
          </w:p>
        </w:tc>
        <w:tc>
          <w:tcPr>
            <w:tcW w:type="dxa" w:w="1134"/>
          </w:tcPr>
          <w:p>
            <w:r/>
            <w:r>
              <w:rPr>
                <w:sz w:val="19"/>
              </w:rPr>
              <w:t>[ ]</w:t>
            </w:r>
          </w:p>
        </w:tc>
      </w:tr>
      <w:tr>
        <w:tc>
          <w:tcPr>
            <w:tcW w:type="dxa" w:w="3969"/>
          </w:tcPr>
          <w:p>
            <w:r/>
            <w:r>
              <w:rPr>
                <w:sz w:val="19"/>
              </w:rPr>
              <w:t>PMS / channel manager: month-end production report</w:t>
            </w:r>
          </w:p>
        </w:tc>
        <w:tc>
          <w:tcPr>
            <w:tcW w:type="dxa" w:w="1701"/>
          </w:tcPr>
          <w:p>
            <w:r/>
            <w:r>
              <w:rPr>
                <w:sz w:val="19"/>
              </w:rPr>
              <w:t>Property</w:t>
            </w:r>
          </w:p>
        </w:tc>
        <w:tc>
          <w:tcPr>
            <w:tcW w:type="dxa" w:w="1361"/>
          </w:tcPr>
          <w:p>
            <w:r/>
            <w:r>
              <w:rPr>
                <w:sz w:val="19"/>
              </w:rPr>
              <w:t>Day 0</w:t>
            </w:r>
          </w:p>
        </w:tc>
        <w:tc>
          <w:tcPr>
            <w:tcW w:type="dxa" w:w="1134"/>
          </w:tcPr>
          <w:p>
            <w:r/>
            <w:r>
              <w:rPr>
                <w:sz w:val="19"/>
              </w:rPr>
              <w:t>[ ]</w:t>
            </w:r>
          </w:p>
        </w:tc>
      </w:tr>
      <w:tr>
        <w:tc>
          <w:tcPr>
            <w:tcW w:type="dxa" w:w="3969"/>
          </w:tcPr>
          <w:p>
            <w:r/>
            <w:r>
              <w:rPr>
                <w:sz w:val="19"/>
              </w:rPr>
              <w:t>Historical data: 12 months where available</w:t>
            </w:r>
          </w:p>
        </w:tc>
        <w:tc>
          <w:tcPr>
            <w:tcW w:type="dxa" w:w="1701"/>
          </w:tcPr>
          <w:p>
            <w:r/>
            <w:r>
              <w:rPr>
                <w:sz w:val="19"/>
              </w:rPr>
              <w:t>Property</w:t>
            </w:r>
          </w:p>
        </w:tc>
        <w:tc>
          <w:tcPr>
            <w:tcW w:type="dxa" w:w="1361"/>
          </w:tcPr>
          <w:p>
            <w:r/>
            <w:r>
              <w:rPr>
                <w:sz w:val="19"/>
              </w:rPr>
              <w:t>Week 1</w:t>
            </w:r>
          </w:p>
        </w:tc>
        <w:tc>
          <w:tcPr>
            <w:tcW w:type="dxa" w:w="1134"/>
          </w:tcPr>
          <w:p>
            <w:r/>
            <w:r>
              <w:rPr>
                <w:sz w:val="19"/>
              </w:rPr>
              <w:t>[ ]</w:t>
            </w:r>
          </w:p>
        </w:tc>
      </w:tr>
      <w:tr>
        <w:tc>
          <w:tcPr>
            <w:tcW w:type="dxa" w:w="3969"/>
          </w:tcPr>
          <w:p>
            <w:r/>
            <w:r>
              <w:rPr>
                <w:sz w:val="19"/>
              </w:rPr>
              <w:t>Ad account billing and payment instrument in the property's name</w:t>
            </w:r>
          </w:p>
        </w:tc>
        <w:tc>
          <w:tcPr>
            <w:tcW w:type="dxa" w:w="1701"/>
          </w:tcPr>
          <w:p>
            <w:r/>
            <w:r>
              <w:rPr>
                <w:sz w:val="19"/>
              </w:rPr>
              <w:t>Property</w:t>
            </w:r>
          </w:p>
        </w:tc>
        <w:tc>
          <w:tcPr>
            <w:tcW w:type="dxa" w:w="1361"/>
          </w:tcPr>
          <w:p>
            <w:r/>
            <w:r>
              <w:rPr>
                <w:sz w:val="19"/>
              </w:rPr>
              <w:t>Week 1</w:t>
            </w:r>
          </w:p>
        </w:tc>
        <w:tc>
          <w:tcPr>
            <w:tcW w:type="dxa" w:w="1134"/>
          </w:tcPr>
          <w:p>
            <w:r/>
            <w:r>
              <w:rPr>
                <w:sz w:val="19"/>
              </w:rPr>
              <w:t>[ ]</w:t>
            </w:r>
          </w:p>
        </w:tc>
      </w:tr>
    </w:tbl>
    <w:p/>
    <w:p>
      <w:r>
        <w:rPr>
          <w:b/>
          <w:i w:val="0"/>
        </w:rPr>
        <w:t>Non-negotiables, stated plainly: the ad accounts and the payment instrument remain in the property's name; the provider holds manager access only; the property sets a written monthly spend ceiling and confirms who may approve an increase. No provider holds the property's money.</w:t>
      </w:r>
    </w:p>
    <w:p>
      <w:pPr>
        <w:pStyle w:val="Heading1"/>
      </w:pPr>
      <w:r>
        <w:rPr>
          <w:color w:val="1F3864"/>
        </w:rPr>
        <w:t>6. Decision rules, agreed in advance</w:t>
      </w:r>
    </w:p>
    <w:tbl>
      <w:tblPr>
        <w:tblStyle w:val="TableGrid"/>
        <w:tblW w:type="auto" w:w="0"/>
        <w:jc w:val="center"/>
        <w:tblLook w:firstColumn="1" w:firstRow="1" w:lastColumn="0" w:lastRow="0" w:noHBand="0" w:noVBand="1" w:val="04A0"/>
      </w:tblPr>
      <w:tblGrid>
        <w:gridCol w:w="4986"/>
        <w:gridCol w:w="4986"/>
      </w:tblGrid>
      <w:tr>
        <w:tc>
          <w:tcPr>
            <w:tcW w:type="dxa" w:w="4819"/>
          </w:tcPr>
          <w:p>
            <w:r/>
            <w:r>
              <w:rPr>
                <w:b/>
                <w:sz w:val="19"/>
              </w:rPr>
              <w:t>Trigger at review</w:t>
            </w:r>
          </w:p>
        </w:tc>
        <w:tc>
          <w:tcPr>
            <w:tcW w:type="dxa" w:w="4535"/>
          </w:tcPr>
          <w:p>
            <w:r/>
            <w:r>
              <w:rPr>
                <w:b/>
                <w:sz w:val="19"/>
              </w:rPr>
              <w:t>Decision</w:t>
            </w:r>
          </w:p>
        </w:tc>
      </w:tr>
      <w:tr>
        <w:tc>
          <w:tcPr>
            <w:tcW w:type="dxa" w:w="4819"/>
          </w:tcPr>
          <w:p>
            <w:r/>
            <w:r>
              <w:rPr>
                <w:sz w:val="19"/>
              </w:rPr>
              <w:t>Incremental direct bookings at or above target, guardrails healthy</w:t>
            </w:r>
          </w:p>
        </w:tc>
        <w:tc>
          <w:tcPr>
            <w:tcW w:type="dxa" w:w="4535"/>
          </w:tcPr>
          <w:p>
            <w:r/>
            <w:r>
              <w:rPr>
                <w:sz w:val="19"/>
              </w:rPr>
              <w:t>SCALE — increase budget within the approved ceiling</w:t>
            </w:r>
          </w:p>
        </w:tc>
      </w:tr>
      <w:tr>
        <w:tc>
          <w:tcPr>
            <w:tcW w:type="dxa" w:w="4819"/>
          </w:tcPr>
          <w:p>
            <w:r/>
            <w:r>
              <w:rPr>
                <w:sz w:val="19"/>
              </w:rPr>
              <w:t>Between 50% and 100% of target</w:t>
            </w:r>
          </w:p>
        </w:tc>
        <w:tc>
          <w:tcPr>
            <w:tcW w:type="dxa" w:w="4535"/>
          </w:tcPr>
          <w:p>
            <w:r/>
            <w:r>
              <w:rPr>
                <w:sz w:val="19"/>
              </w:rPr>
              <w:t>HOLD — diagnose, adjust, evaluate one more window</w:t>
            </w:r>
          </w:p>
        </w:tc>
      </w:tr>
      <w:tr>
        <w:tc>
          <w:tcPr>
            <w:tcW w:type="dxa" w:w="4819"/>
          </w:tcPr>
          <w:p>
            <w:r/>
            <w:r>
              <w:rPr>
                <w:sz w:val="19"/>
              </w:rPr>
              <w:t>Below 50% of target after 90 days of clean data</w:t>
            </w:r>
          </w:p>
        </w:tc>
        <w:tc>
          <w:tcPr>
            <w:tcW w:type="dxa" w:w="4535"/>
          </w:tcPr>
          <w:p>
            <w:r/>
            <w:r>
              <w:rPr>
                <w:sz w:val="19"/>
              </w:rPr>
              <w:t>STOP or re-scope — we will say so first, in writing</w:t>
            </w:r>
          </w:p>
        </w:tc>
      </w:tr>
      <w:tr>
        <w:tc>
          <w:tcPr>
            <w:tcW w:type="dxa" w:w="4819"/>
          </w:tcPr>
          <w:p>
            <w:r/>
            <w:r>
              <w:rPr>
                <w:sz w:val="19"/>
              </w:rPr>
              <w:t>Direct booking value falls (guardrail breach)</w:t>
            </w:r>
          </w:p>
        </w:tc>
        <w:tc>
          <w:tcPr>
            <w:tcW w:type="dxa" w:w="4535"/>
          </w:tcPr>
          <w:p>
            <w:r/>
            <w:r>
              <w:rPr>
                <w:sz w:val="19"/>
              </w:rPr>
              <w:t>REVIEW — pause discount-led activity regardless of volume</w:t>
            </w:r>
          </w:p>
        </w:tc>
      </w:tr>
      <w:tr>
        <w:tc>
          <w:tcPr>
            <w:tcW w:type="dxa" w:w="4819"/>
          </w:tcPr>
          <w:p>
            <w:r/>
            <w:r>
              <w:rPr>
                <w:sz w:val="19"/>
              </w:rPr>
              <w:t>Effective OTA commission is unchanged after 2 windows</w:t>
            </w:r>
          </w:p>
        </w:tc>
        <w:tc>
          <w:tcPr>
            <w:tcW w:type="dxa" w:w="4535"/>
          </w:tcPr>
          <w:p>
            <w:r/>
            <w:r>
              <w:rPr>
                <w:sz w:val="19"/>
              </w:rPr>
              <w:t>RE-SCOPE — the problem may be distribution, not marketing</w:t>
            </w:r>
          </w:p>
        </w:tc>
      </w:tr>
      <w:tr>
        <w:tc>
          <w:tcPr>
            <w:tcW w:type="dxa" w:w="4819"/>
          </w:tcPr>
          <w:p>
            <w:r/>
            <w:r>
              <w:rPr>
                <w:sz w:val="19"/>
              </w:rPr>
              <w:t>Two consecutive months of off-brand or rejected content</w:t>
            </w:r>
          </w:p>
        </w:tc>
        <w:tc>
          <w:tcPr>
            <w:tcW w:type="dxa" w:w="4535"/>
          </w:tcPr>
          <w:p>
            <w:r/>
            <w:r>
              <w:rPr>
                <w:sz w:val="19"/>
              </w:rPr>
              <w:t>PAUSE content channel; revert to human-only publishing</w:t>
            </w:r>
          </w:p>
        </w:tc>
      </w:tr>
    </w:tbl>
    <w:p/>
    <w:p>
      <w:r>
        <w:rPr>
          <w:b w:val="0"/>
          <w:i/>
          <w:sz w:val="18"/>
        </w:rPr>
        <w:t>Review cadence: monthly data review, 90-day formal decision point. Decisions are recorded in the report, including the ones that went against us.</w:t>
      </w:r>
    </w:p>
    <w:p>
      <w:pPr>
        <w:pStyle w:val="Heading1"/>
      </w:pPr>
      <w:r>
        <w:rPr>
          <w:color w:val="1F3864"/>
        </w:rPr>
        <w:t>7. What we will not claim</w:t>
      </w:r>
    </w:p>
    <w:p>
      <w:pPr>
        <w:pStyle w:val="ListBullet"/>
      </w:pPr>
      <w:r>
        <w:t>Platform-reported ROAS as a measure of hotel profit. Platform attribution counts bookings that would have happened anyway and cannot see the OTA commission saved.</w:t>
      </w:r>
    </w:p>
    <w:p>
      <w:pPr>
        <w:pStyle w:val="ListBullet"/>
      </w:pPr>
      <w:r>
        <w:t>Credit for walk-ins, phone bookings with no digital touchpoint, or corporate accounts.</w:t>
      </w:r>
    </w:p>
    <w:p>
      <w:pPr>
        <w:pStyle w:val="ListBullet"/>
      </w:pPr>
      <w:r>
        <w:t>Any revenue effect from bookings that arrive on dates the property would have sold out regardless.</w:t>
      </w:r>
    </w:p>
    <w:p>
      <w:pPr>
        <w:pStyle w:val="ListBullet"/>
      </w:pPr>
      <w:r>
        <w:t>Attribution of OTA bookings to our work — OTA demand is the property's existing base, not a lift.</w:t>
      </w:r>
    </w:p>
    <w:p>
      <w:pPr>
        <w:pStyle w:val="ListBullet"/>
      </w:pPr>
      <w:r>
        <w:t>Anything measured during a period with an unrecorded anomaly (renovation, closure, a one-off group, a pricing error) until it is documented and the window is adjusted.</w:t>
      </w:r>
    </w:p>
    <w:p>
      <w:r>
        <w:rPr>
          <w:b w:val="0"/>
          <w:i/>
        </w:rPr>
        <w:t>Corollary, and the reason this section is here: if the honest number is small, we report the small number. A provider that inflates its own results is telling you it does not expect to be measured.</w:t>
      </w:r>
    </w:p>
    <w:p>
      <w:pPr>
        <w:pStyle w:val="Heading1"/>
      </w:pPr>
      <w:r>
        <w:rPr>
          <w:color w:val="1F3864"/>
        </w:rPr>
        <w:t>8. Reporting</w:t>
      </w:r>
    </w:p>
    <w:p>
      <w:r>
        <w:rPr>
          <w:b w:val="0"/>
          <w:i w:val="0"/>
        </w:rPr>
        <w:t>Monthly, one document, sent by the 5th business day. Same structure every month — no narrative-only updates.</w:t>
      </w:r>
    </w:p>
    <w:tbl>
      <w:tblPr>
        <w:tblStyle w:val="TableGrid"/>
        <w:tblW w:type="auto" w:w="0"/>
        <w:jc w:val="center"/>
        <w:tblLook w:firstColumn="1" w:firstRow="1" w:lastColumn="0" w:lastRow="0" w:noHBand="0" w:noVBand="1" w:val="04A0"/>
      </w:tblPr>
      <w:tblGrid>
        <w:gridCol w:w="4986"/>
        <w:gridCol w:w="4986"/>
      </w:tblGrid>
      <w:tr>
        <w:tc>
          <w:tcPr>
            <w:tcW w:type="dxa" w:w="2268"/>
          </w:tcPr>
          <w:p>
            <w:r/>
            <w:r>
              <w:rPr>
                <w:b/>
                <w:sz w:val="19"/>
              </w:rPr>
              <w:t>Section</w:t>
            </w:r>
          </w:p>
        </w:tc>
        <w:tc>
          <w:tcPr>
            <w:tcW w:type="dxa" w:w="7087"/>
          </w:tcPr>
          <w:p>
            <w:r/>
            <w:r>
              <w:rPr>
                <w:b/>
                <w:sz w:val="19"/>
              </w:rPr>
              <w:t>Contents</w:t>
            </w:r>
          </w:p>
        </w:tc>
      </w:tr>
      <w:tr>
        <w:tc>
          <w:tcPr>
            <w:tcW w:type="dxa" w:w="2268"/>
          </w:tcPr>
          <w:p>
            <w:r/>
            <w:r>
              <w:rPr>
                <w:sz w:val="19"/>
              </w:rPr>
              <w:t>1. Metric table</w:t>
            </w:r>
          </w:p>
        </w:tc>
        <w:tc>
          <w:tcPr>
            <w:tcW w:type="dxa" w:w="7087"/>
          </w:tcPr>
          <w:p>
            <w:r/>
            <w:r>
              <w:rPr>
                <w:sz w:val="19"/>
              </w:rPr>
              <w:t>Primary, value, supporting and guardrail metrics; this month, last month, target</w:t>
            </w:r>
          </w:p>
        </w:tc>
      </w:tr>
      <w:tr>
        <w:tc>
          <w:tcPr>
            <w:tcW w:type="dxa" w:w="2268"/>
          </w:tcPr>
          <w:p>
            <w:r/>
            <w:r>
              <w:rPr>
                <w:sz w:val="19"/>
              </w:rPr>
              <w:t>2. Reconciliation</w:t>
            </w:r>
          </w:p>
        </w:tc>
        <w:tc>
          <w:tcPr>
            <w:tcW w:type="dxa" w:w="7087"/>
          </w:tcPr>
          <w:p>
            <w:r/>
            <w:r>
              <w:rPr>
                <w:sz w:val="19"/>
              </w:rPr>
              <w:t>Bookings and revenue from each source (OTA statement, PMS, booking engine, GA4) side by side, with every difference explained</w:t>
            </w:r>
          </w:p>
        </w:tc>
      </w:tr>
      <w:tr>
        <w:tc>
          <w:tcPr>
            <w:tcW w:type="dxa" w:w="2268"/>
          </w:tcPr>
          <w:p>
            <w:r/>
            <w:r>
              <w:rPr>
                <w:sz w:val="19"/>
              </w:rPr>
              <w:t>3. What we did</w:t>
            </w:r>
          </w:p>
        </w:tc>
        <w:tc>
          <w:tcPr>
            <w:tcW w:type="dxa" w:w="7087"/>
          </w:tcPr>
          <w:p>
            <w:r/>
            <w:r>
              <w:rPr>
                <w:sz w:val="19"/>
              </w:rPr>
              <w:t>Actions taken, including agent-executed actions with their risk class and outcome</w:t>
            </w:r>
          </w:p>
        </w:tc>
      </w:tr>
      <w:tr>
        <w:tc>
          <w:tcPr>
            <w:tcW w:type="dxa" w:w="2268"/>
          </w:tcPr>
          <w:p>
            <w:r/>
            <w:r>
              <w:rPr>
                <w:sz w:val="19"/>
              </w:rPr>
              <w:t>4. What we spent</w:t>
            </w:r>
          </w:p>
        </w:tc>
        <w:tc>
          <w:tcPr>
            <w:tcW w:type="dxa" w:w="7087"/>
          </w:tcPr>
          <w:p>
            <w:r/>
            <w:r>
              <w:rPr>
                <w:sz w:val="19"/>
              </w:rPr>
              <w:t>Media spend by channel + engagement fee + any third-party costs, all in the cost ledger</w:t>
            </w:r>
          </w:p>
        </w:tc>
      </w:tr>
      <w:tr>
        <w:tc>
          <w:tcPr>
            <w:tcW w:type="dxa" w:w="2268"/>
          </w:tcPr>
          <w:p>
            <w:r/>
            <w:r>
              <w:rPr>
                <w:sz w:val="19"/>
              </w:rPr>
              <w:t>5. What we learned</w:t>
            </w:r>
          </w:p>
        </w:tc>
        <w:tc>
          <w:tcPr>
            <w:tcW w:type="dxa" w:w="7087"/>
          </w:tcPr>
          <w:p>
            <w:r/>
            <w:r>
              <w:rPr>
                <w:sz w:val="19"/>
              </w:rPr>
              <w:t>What worked, what failed, what we are changing next month</w:t>
            </w:r>
          </w:p>
        </w:tc>
      </w:tr>
      <w:tr>
        <w:tc>
          <w:tcPr>
            <w:tcW w:type="dxa" w:w="2268"/>
          </w:tcPr>
          <w:p>
            <w:r/>
            <w:r>
              <w:rPr>
                <w:sz w:val="19"/>
              </w:rPr>
              <w:t>6. Decisions required</w:t>
            </w:r>
          </w:p>
        </w:tc>
        <w:tc>
          <w:tcPr>
            <w:tcW w:type="dxa" w:w="7087"/>
          </w:tcPr>
          <w:p>
            <w:r/>
            <w:r>
              <w:rPr>
                <w:sz w:val="19"/>
              </w:rPr>
              <w:t>Anything needing the property's approval, with a deadline and the cost of delay</w:t>
            </w:r>
          </w:p>
        </w:tc>
      </w:tr>
      <w:tr>
        <w:tc>
          <w:tcPr>
            <w:tcW w:type="dxa" w:w="2268"/>
          </w:tcPr>
          <w:p>
            <w:r/>
            <w:r>
              <w:rPr>
                <w:sz w:val="19"/>
              </w:rPr>
              <w:t>7. Honest status</w:t>
            </w:r>
          </w:p>
        </w:tc>
        <w:tc>
          <w:tcPr>
            <w:tcW w:type="dxa" w:w="7087"/>
          </w:tcPr>
          <w:p>
            <w:r/>
            <w:r>
              <w:rPr>
                <w:sz w:val="19"/>
              </w:rPr>
              <w:t>One line: ahead, on track, or behind — with the number that justifies it</w:t>
            </w:r>
          </w:p>
        </w:tc>
      </w:tr>
    </w:tbl>
    <w:p/>
    <w:p>
      <w:r>
        <w:rPr>
          <w:b w:val="0"/>
          <w:i/>
          <w:sz w:val="18"/>
        </w:rPr>
        <w:t>Approvals: anything that publishes to the property's public profiles, sends outbound messages, or increases spend requires the property's approval through the recorded approval queue. Reducing spend, pausing a campaign, or producing a draft does not — and will be logged and reported.</w:t>
      </w:r>
    </w:p>
    <w:p>
      <w:pPr>
        <w:pStyle w:val="Heading1"/>
      </w:pPr>
      <w:r>
        <w:rPr>
          <w:color w:val="1F3864"/>
        </w:rPr>
        <w:t>9. Responsibilities</w:t>
      </w:r>
    </w:p>
    <w:tbl>
      <w:tblPr>
        <w:tblStyle w:val="TableGrid"/>
        <w:tblW w:type="auto" w:w="0"/>
        <w:jc w:val="center"/>
        <w:tblLook w:firstColumn="1" w:firstRow="1" w:lastColumn="0" w:lastRow="0" w:noHBand="0" w:noVBand="1" w:val="04A0"/>
      </w:tblPr>
      <w:tblGrid>
        <w:gridCol w:w="4986"/>
        <w:gridCol w:w="4986"/>
      </w:tblGrid>
      <w:tr>
        <w:tc>
          <w:tcPr>
            <w:tcW w:type="dxa" w:w="4677"/>
          </w:tcPr>
          <w:p>
            <w:r/>
            <w:r>
              <w:rPr>
                <w:b/>
                <w:sz w:val="19"/>
              </w:rPr>
              <w:t>Hotel Growth OS</w:t>
            </w:r>
          </w:p>
        </w:tc>
        <w:tc>
          <w:tcPr>
            <w:tcW w:type="dxa" w:w="4677"/>
          </w:tcPr>
          <w:p>
            <w:r/>
            <w:r>
              <w:rPr>
                <w:b/>
                <w:sz w:val="19"/>
              </w:rPr>
              <w:t>Property</w:t>
            </w:r>
          </w:p>
        </w:tc>
      </w:tr>
      <w:tr>
        <w:tc>
          <w:tcPr>
            <w:tcW w:type="dxa" w:w="4677"/>
          </w:tcPr>
          <w:p>
            <w:r/>
            <w:r>
              <w:rPr>
                <w:sz w:val="19"/>
              </w:rPr>
              <w:t>Measurement setup, tracking integrity, reconciliation</w:t>
            </w:r>
          </w:p>
        </w:tc>
        <w:tc>
          <w:tcPr>
            <w:tcW w:type="dxa" w:w="4677"/>
          </w:tcPr>
          <w:p>
            <w:r/>
            <w:r>
              <w:rPr>
                <w:sz w:val="19"/>
              </w:rPr>
              <w:t>Access per §5, granted on time</w:t>
            </w:r>
          </w:p>
        </w:tc>
      </w:tr>
      <w:tr>
        <w:tc>
          <w:tcPr>
            <w:tcW w:type="dxa" w:w="4677"/>
          </w:tcPr>
          <w:p>
            <w:r/>
            <w:r>
              <w:rPr>
                <w:sz w:val="19"/>
              </w:rPr>
              <w:t>Campaign and content execution within approved ceilings</w:t>
            </w:r>
          </w:p>
        </w:tc>
        <w:tc>
          <w:tcPr>
            <w:tcW w:type="dxa" w:w="4677"/>
          </w:tcPr>
          <w:p>
            <w:r/>
            <w:r>
              <w:rPr>
                <w:sz w:val="19"/>
              </w:rPr>
              <w:t>Written monthly spend ceiling and approval authority</w:t>
            </w:r>
          </w:p>
        </w:tc>
      </w:tr>
      <w:tr>
        <w:tc>
          <w:tcPr>
            <w:tcW w:type="dxa" w:w="4677"/>
          </w:tcPr>
          <w:p>
            <w:r/>
            <w:r>
              <w:rPr>
                <w:sz w:val="19"/>
              </w:rPr>
              <w:t>Approval requests with enough lead time to be useful</w:t>
            </w:r>
          </w:p>
        </w:tc>
        <w:tc>
          <w:tcPr>
            <w:tcW w:type="dxa" w:w="4677"/>
          </w:tcPr>
          <w:p>
            <w:r/>
            <w:r>
              <w:rPr>
                <w:sz w:val="19"/>
              </w:rPr>
              <w:t>Approvals or rejections within 2 business days</w:t>
            </w:r>
          </w:p>
        </w:tc>
      </w:tr>
      <w:tr>
        <w:tc>
          <w:tcPr>
            <w:tcW w:type="dxa" w:w="4677"/>
          </w:tcPr>
          <w:p>
            <w:r/>
            <w:r>
              <w:rPr>
                <w:sz w:val="19"/>
              </w:rPr>
              <w:t>Reporting by the 5th business day</w:t>
            </w:r>
          </w:p>
        </w:tc>
        <w:tc>
          <w:tcPr>
            <w:tcW w:type="dxa" w:w="4677"/>
          </w:tcPr>
          <w:p>
            <w:r/>
            <w:r>
              <w:rPr>
                <w:sz w:val="19"/>
              </w:rPr>
              <w:t>Accurate baseline data and timely notice of anomalies</w:t>
            </w:r>
          </w:p>
        </w:tc>
      </w:tr>
      <w:tr>
        <w:tc>
          <w:tcPr>
            <w:tcW w:type="dxa" w:w="4677"/>
          </w:tcPr>
          <w:p>
            <w:r/>
            <w:r>
              <w:rPr>
                <w:sz w:val="19"/>
              </w:rPr>
              <w:t>Flagging when the honest answer is to stop</w:t>
            </w:r>
          </w:p>
        </w:tc>
        <w:tc>
          <w:tcPr>
            <w:tcW w:type="dxa" w:w="4677"/>
          </w:tcPr>
          <w:p>
            <w:r/>
            <w:r>
              <w:rPr>
                <w:sz w:val="19"/>
              </w:rPr>
              <w:t>Honest reporting of bookings, including ones we cannot claim</w:t>
            </w:r>
          </w:p>
        </w:tc>
      </w:tr>
    </w:tbl>
    <w:p/>
    <w:p>
      <w:pPr>
        <w:pStyle w:val="Heading1"/>
      </w:pPr>
      <w:r>
        <w:rPr>
          <w:color w:val="1F3864"/>
        </w:rPr>
        <w:t>10. Data protection</w:t>
      </w:r>
    </w:p>
    <w:p>
      <w:r>
        <w:rPr>
          <w:b w:val="0"/>
          <w:i w:val="0"/>
        </w:rPr>
        <w:t>Bangladesh's Personal Data Protection Ordinance (gazetted November 2025, amended February 2026) applies. The property is the data controller; Hotel Growth OS is a processor. A separate Data Processing Agreement governs this and is signed with this plan.</w:t>
      </w:r>
    </w:p>
    <w:p>
      <w:pPr>
        <w:pStyle w:val="ListBullet"/>
      </w:pPr>
      <w:r>
        <w:t>Guest personal data is not placed in AI prompts. Work is performed on aggregated and pseudonymised data.</w:t>
      </w:r>
    </w:p>
    <w:p>
      <w:pPr>
        <w:pStyle w:val="ListBullet"/>
      </w:pPr>
      <w:r>
        <w:t>Data is used only to deliver this engagement — never for training models, resale, or enrichment.</w:t>
      </w:r>
    </w:p>
    <w:p>
      <w:pPr>
        <w:pStyle w:val="ListBullet"/>
      </w:pPr>
      <w:r>
        <w:t>Access is role-based and logged; processing records are retained for a minimum of five years.</w:t>
      </w:r>
    </w:p>
    <w:p>
      <w:pPr>
        <w:pStyle w:val="ListBullet"/>
      </w:pPr>
      <w:r>
        <w:t>Retention: aggregated metrics are kept for the term; identifiable rows are deleted on a stated schedule.</w:t>
      </w:r>
    </w:p>
    <w:p>
      <w:pPr>
        <w:pStyle w:val="ListBullet"/>
      </w:pPr>
      <w:r>
        <w:t>Breach notification: a written runbook and a named contact for each party; notification within the window the authority prescribes.</w:t>
      </w:r>
    </w:p>
    <w:p>
      <w:pPr>
        <w:pStyle w:val="ListBullet"/>
      </w:pPr>
      <w:r>
        <w:t>Data-subject requests (access, correction, deletion) are routed to the property as controller within 2 business days of receipt.</w:t>
      </w:r>
    </w:p>
    <w:p>
      <w:pPr>
        <w:pStyle w:val="Heading1"/>
      </w:pPr>
      <w:r>
        <w:rPr>
          <w:color w:val="1F3864"/>
        </w:rPr>
        <w:t>11. Commercial terms (plain-language summary — the signed agreement governs)</w:t>
      </w:r>
    </w:p>
    <w:tbl>
      <w:tblPr>
        <w:tblStyle w:val="TableGrid"/>
        <w:tblW w:type="auto" w:w="0"/>
        <w:jc w:val="center"/>
        <w:tblLook w:firstColumn="1" w:firstRow="1" w:lastColumn="0" w:lastRow="0" w:noHBand="0" w:noVBand="1" w:val="04A0"/>
      </w:tblPr>
      <w:tblGrid>
        <w:gridCol w:w="4986"/>
        <w:gridCol w:w="4986"/>
      </w:tblGrid>
      <w:tr>
        <w:tc>
          <w:tcPr>
            <w:tcW w:type="dxa" w:w="2268"/>
          </w:tcPr>
          <w:p>
            <w:r/>
            <w:r>
              <w:rPr>
                <w:b/>
                <w:sz w:val="19"/>
              </w:rPr>
              <w:t>Item</w:t>
            </w:r>
          </w:p>
        </w:tc>
        <w:tc>
          <w:tcPr>
            <w:tcW w:type="dxa" w:w="7087"/>
          </w:tcPr>
          <w:p>
            <w:r/>
            <w:r>
              <w:rPr>
                <w:b/>
                <w:sz w:val="19"/>
              </w:rPr>
              <w:t>Terms</w:t>
            </w:r>
          </w:p>
        </w:tc>
      </w:tr>
      <w:tr>
        <w:tc>
          <w:tcPr>
            <w:tcW w:type="dxa" w:w="2268"/>
          </w:tcPr>
          <w:p>
            <w:r/>
            <w:r>
              <w:rPr>
                <w:sz w:val="19"/>
              </w:rPr>
              <w:t>Engagement fee</w:t>
            </w:r>
          </w:p>
        </w:tc>
        <w:tc>
          <w:tcPr>
            <w:tcW w:type="dxa" w:w="7087"/>
          </w:tcPr>
          <w:p>
            <w:r/>
            <w:r>
              <w:rPr>
                <w:sz w:val="19"/>
              </w:rPr>
              <w:t>[ ................................ ] per month</w:t>
            </w:r>
          </w:p>
        </w:tc>
      </w:tr>
      <w:tr>
        <w:tc>
          <w:tcPr>
            <w:tcW w:type="dxa" w:w="2268"/>
          </w:tcPr>
          <w:p>
            <w:r/>
            <w:r>
              <w:rPr>
                <w:sz w:val="19"/>
              </w:rPr>
              <w:t>Setup</w:t>
            </w:r>
          </w:p>
        </w:tc>
        <w:tc>
          <w:tcPr>
            <w:tcW w:type="dxa" w:w="7087"/>
          </w:tcPr>
          <w:p>
            <w:r/>
            <w:r>
              <w:rPr>
                <w:sz w:val="19"/>
              </w:rPr>
              <w:t>[ ................................ ] one-time, covering measurement setup, tracking, and knowledge base</w:t>
            </w:r>
          </w:p>
        </w:tc>
      </w:tr>
      <w:tr>
        <w:tc>
          <w:tcPr>
            <w:tcW w:type="dxa" w:w="2268"/>
          </w:tcPr>
          <w:p>
            <w:r/>
            <w:r>
              <w:rPr>
                <w:sz w:val="19"/>
              </w:rPr>
              <w:t>Media spend</w:t>
            </w:r>
          </w:p>
        </w:tc>
        <w:tc>
          <w:tcPr>
            <w:tcW w:type="dxa" w:w="7087"/>
          </w:tcPr>
          <w:p>
            <w:r/>
            <w:r>
              <w:rPr>
                <w:sz w:val="19"/>
              </w:rPr>
              <w:t>Paid directly by the property to the platform. Never routed through Hotel Growth OS.</w:t>
            </w:r>
          </w:p>
        </w:tc>
      </w:tr>
      <w:tr>
        <w:tc>
          <w:tcPr>
            <w:tcW w:type="dxa" w:w="2268"/>
          </w:tcPr>
          <w:p>
            <w:r/>
            <w:r>
              <w:rPr>
                <w:sz w:val="19"/>
              </w:rPr>
              <w:t>Spend ceiling</w:t>
            </w:r>
          </w:p>
        </w:tc>
        <w:tc>
          <w:tcPr>
            <w:tcW w:type="dxa" w:w="7087"/>
          </w:tcPr>
          <w:p>
            <w:r/>
            <w:r>
              <w:rPr>
                <w:sz w:val="19"/>
              </w:rPr>
              <w:t>Written monthly ceiling: [ ................................ ]. Increases require written approval.</w:t>
            </w:r>
          </w:p>
        </w:tc>
      </w:tr>
      <w:tr>
        <w:tc>
          <w:tcPr>
            <w:tcW w:type="dxa" w:w="2268"/>
          </w:tcPr>
          <w:p>
            <w:r/>
            <w:r>
              <w:rPr>
                <w:sz w:val="19"/>
              </w:rPr>
              <w:t>Overspend</w:t>
            </w:r>
          </w:p>
        </w:tc>
        <w:tc>
          <w:tcPr>
            <w:tcW w:type="dxa" w:w="7087"/>
          </w:tcPr>
          <w:p>
            <w:r/>
            <w:r>
              <w:rPr>
                <w:sz w:val="19"/>
              </w:rPr>
              <w:t>The provider will not exceed the ceiling. Any overspend caused by the provider is absorbed by the provider. Charges arising from the property's own changes are the property's.</w:t>
            </w:r>
          </w:p>
        </w:tc>
      </w:tr>
      <w:tr>
        <w:tc>
          <w:tcPr>
            <w:tcW w:type="dxa" w:w="2268"/>
          </w:tcPr>
          <w:p>
            <w:r/>
            <w:r>
              <w:rPr>
                <w:sz w:val="19"/>
              </w:rPr>
              <w:t>Seasonality</w:t>
            </w:r>
          </w:p>
        </w:tc>
        <w:tc>
          <w:tcPr>
            <w:tcW w:type="dxa" w:w="7087"/>
          </w:tcPr>
          <w:p>
            <w:r/>
            <w:r>
              <w:rPr>
                <w:sz w:val="19"/>
              </w:rPr>
              <w:t>Off-peak months may be billed at a reduced 'maintain' rate, with the balance carried in peak months. Agreed per property — a flat fee through a dead season is how engagements fail.</w:t>
            </w:r>
          </w:p>
        </w:tc>
      </w:tr>
      <w:tr>
        <w:tc>
          <w:tcPr>
            <w:tcW w:type="dxa" w:w="2268"/>
          </w:tcPr>
          <w:p>
            <w:r/>
            <w:r>
              <w:rPr>
                <w:sz w:val="19"/>
              </w:rPr>
              <w:t>Payment</w:t>
            </w:r>
          </w:p>
        </w:tc>
        <w:tc>
          <w:tcPr>
            <w:tcW w:type="dxa" w:w="7087"/>
          </w:tcPr>
          <w:p>
            <w:r/>
            <w:r>
              <w:rPr>
                <w:sz w:val="19"/>
              </w:rPr>
              <w:t>Monthly in advance, by card or bank transfer. A recurring-capable gateway is used; bKash/Nagad are accepted for setup fees and one-off payments.</w:t>
            </w:r>
          </w:p>
        </w:tc>
      </w:tr>
      <w:tr>
        <w:tc>
          <w:tcPr>
            <w:tcW w:type="dxa" w:w="2268"/>
          </w:tcPr>
          <w:p>
            <w:r/>
            <w:r>
              <w:rPr>
                <w:sz w:val="19"/>
              </w:rPr>
              <w:t>Late payment</w:t>
            </w:r>
          </w:p>
        </w:tc>
        <w:tc>
          <w:tcPr>
            <w:tcW w:type="dxa" w:w="7087"/>
          </w:tcPr>
          <w:p>
            <w:r/>
            <w:r>
              <w:rPr>
                <w:sz w:val="19"/>
              </w:rPr>
              <w:t>14-day grace, then service pauses. No interest. Data remains the property's.</w:t>
            </w:r>
          </w:p>
        </w:tc>
      </w:tr>
      <w:tr>
        <w:tc>
          <w:tcPr>
            <w:tcW w:type="dxa" w:w="2268"/>
          </w:tcPr>
          <w:p>
            <w:r/>
            <w:r>
              <w:rPr>
                <w:sz w:val="19"/>
              </w:rPr>
              <w:t>Termination</w:t>
            </w:r>
          </w:p>
        </w:tc>
        <w:tc>
          <w:tcPr>
            <w:tcW w:type="dxa" w:w="7087"/>
          </w:tcPr>
          <w:p>
            <w:r/>
            <w:r>
              <w:rPr>
                <w:sz w:val="19"/>
              </w:rPr>
              <w:t>30 days' notice either side, for any reason.</w:t>
            </w:r>
          </w:p>
        </w:tc>
      </w:tr>
    </w:tbl>
    <w:p/>
    <w:p>
      <w:pPr>
        <w:pStyle w:val="Heading1"/>
      </w:pPr>
      <w:r>
        <w:rPr>
          <w:color w:val="1F3864"/>
        </w:rPr>
        <w:t>12. Exit and handover</w:t>
      </w:r>
    </w:p>
    <w:p>
      <w:pPr>
        <w:pStyle w:val="ListBullet"/>
      </w:pPr>
      <w:r>
        <w:t>Accounts remain the property's throughout — manager access is revoked on exit, ownership never moves.</w:t>
      </w:r>
    </w:p>
    <w:p>
      <w:pPr>
        <w:pStyle w:val="ListBullet"/>
      </w:pPr>
      <w:r>
        <w:t>Full export of data generated for the property within 10 business days of termination.</w:t>
      </w:r>
    </w:p>
    <w:p>
      <w:pPr>
        <w:pStyle w:val="ListBullet"/>
      </w:pPr>
      <w:r>
        <w:t>Wind-down checklist: pause campaigns, revoke tokens, hand over the knowledge base, confirm the ad account state in writing.</w:t>
      </w:r>
    </w:p>
    <w:p>
      <w:pPr>
        <w:pStyle w:val="ListBullet"/>
      </w:pPr>
      <w:r>
        <w:t>No hostage-taking: bidding history, audiences, and assets stay with the property's accounts.</w:t>
      </w:r>
    </w:p>
    <w:p>
      <w:r>
        <w:br w:type="page"/>
      </w:r>
    </w:p>
    <w:p>
      <w:pPr>
        <w:pStyle w:val="Heading1"/>
      </w:pPr>
      <w:r>
        <w:rPr>
          <w:color w:val="1F3864"/>
        </w:rPr>
        <w:t>Signatures</w:t>
      </w:r>
    </w:p>
    <w:p>
      <w:r>
        <w:rPr>
          <w:b w:val="0"/>
          <w:i w:val="0"/>
        </w:rPr>
        <w:t>By signing, both parties confirm the baseline numbers in §2, the metric definitions in §3, the counterfactual in §4, and the decision rules in §6 are the basis on which this engagement will be judged.</w:t>
      </w:r>
    </w:p>
    <w:tbl>
      <w:tblPr>
        <w:tblStyle w:val="TableGrid"/>
        <w:tblW w:type="auto" w:w="0"/>
        <w:jc w:val="center"/>
        <w:tblLook w:firstColumn="1" w:firstRow="1" w:lastColumn="0" w:lastRow="0" w:noHBand="0" w:noVBand="1" w:val="04A0"/>
      </w:tblPr>
      <w:tblGrid>
        <w:gridCol w:w="4986"/>
        <w:gridCol w:w="4986"/>
      </w:tblGrid>
      <w:tr>
        <w:tc>
          <w:tcPr>
            <w:tcW w:type="dxa" w:w="4677"/>
          </w:tcPr>
          <w:p>
            <w:r/>
            <w:r>
              <w:rPr>
                <w:b/>
                <w:sz w:val="19"/>
              </w:rPr>
              <w:t>For the property</w:t>
            </w:r>
          </w:p>
        </w:tc>
        <w:tc>
          <w:tcPr>
            <w:tcW w:type="dxa" w:w="4677"/>
          </w:tcPr>
          <w:p>
            <w:r/>
            <w:r>
              <w:rPr>
                <w:b/>
                <w:sz w:val="19"/>
              </w:rPr>
              <w:t>For Hotel Growth OS</w:t>
            </w:r>
          </w:p>
        </w:tc>
      </w:tr>
      <w:tr>
        <w:tc>
          <w:tcPr>
            <w:tcW w:type="dxa" w:w="4677"/>
          </w:tcPr>
          <w:p>
            <w:r/>
            <w:r>
              <w:rPr>
                <w:sz w:val="19"/>
              </w:rPr>
              <w:t xml:space="preserve">Name: </w:t>
            </w:r>
          </w:p>
        </w:tc>
        <w:tc>
          <w:tcPr>
            <w:tcW w:type="dxa" w:w="4677"/>
          </w:tcPr>
          <w:p>
            <w:r/>
            <w:r>
              <w:rPr>
                <w:sz w:val="19"/>
              </w:rPr>
              <w:t xml:space="preserve">Name: </w:t>
            </w:r>
          </w:p>
        </w:tc>
      </w:tr>
      <w:tr>
        <w:tc>
          <w:tcPr>
            <w:tcW w:type="dxa" w:w="4677"/>
          </w:tcPr>
          <w:p>
            <w:r/>
            <w:r>
              <w:rPr>
                <w:sz w:val="19"/>
              </w:rPr>
              <w:t xml:space="preserve">Role: </w:t>
            </w:r>
          </w:p>
        </w:tc>
        <w:tc>
          <w:tcPr>
            <w:tcW w:type="dxa" w:w="4677"/>
          </w:tcPr>
          <w:p>
            <w:r/>
            <w:r>
              <w:rPr>
                <w:sz w:val="19"/>
              </w:rPr>
              <w:t xml:space="preserve">Role: </w:t>
            </w:r>
          </w:p>
        </w:tc>
      </w:tr>
      <w:tr>
        <w:tc>
          <w:tcPr>
            <w:tcW w:type="dxa" w:w="4677"/>
          </w:tcPr>
          <w:p>
            <w:r/>
            <w:r>
              <w:rPr>
                <w:sz w:val="19"/>
              </w:rPr>
              <w:t xml:space="preserve">Signature: </w:t>
            </w:r>
          </w:p>
        </w:tc>
        <w:tc>
          <w:tcPr>
            <w:tcW w:type="dxa" w:w="4677"/>
          </w:tcPr>
          <w:p>
            <w:r/>
            <w:r>
              <w:rPr>
                <w:sz w:val="19"/>
              </w:rPr>
              <w:t xml:space="preserve">Signature: </w:t>
            </w:r>
          </w:p>
        </w:tc>
      </w:tr>
      <w:tr>
        <w:tc>
          <w:tcPr>
            <w:tcW w:type="dxa" w:w="4677"/>
          </w:tcPr>
          <w:p>
            <w:r/>
            <w:r>
              <w:rPr>
                <w:sz w:val="19"/>
              </w:rPr>
              <w:t xml:space="preserve">Date: </w:t>
            </w:r>
          </w:p>
        </w:tc>
        <w:tc>
          <w:tcPr>
            <w:tcW w:type="dxa" w:w="4677"/>
          </w:tcPr>
          <w:p>
            <w:r/>
            <w:r>
              <w:rPr>
                <w:sz w:val="19"/>
              </w:rPr>
              <w:t xml:space="preserve">Date: </w:t>
            </w:r>
          </w:p>
        </w:tc>
      </w:tr>
    </w:tbl>
    <w:p/>
    <w:p>
      <w:pPr>
        <w:pStyle w:val="Heading2"/>
      </w:pPr>
      <w:r>
        <w:rPr>
          <w:color w:val="1F3864"/>
        </w:rPr>
        <w:t>Annex A — definitions</w:t>
      </w:r>
    </w:p>
    <w:tbl>
      <w:tblPr>
        <w:tblStyle w:val="TableGrid"/>
        <w:tblW w:type="auto" w:w="0"/>
        <w:jc w:val="center"/>
        <w:tblLook w:firstColumn="1" w:firstRow="1" w:lastColumn="0" w:lastRow="0" w:noHBand="0" w:noVBand="1" w:val="04A0"/>
      </w:tblPr>
      <w:tblGrid>
        <w:gridCol w:w="4986"/>
        <w:gridCol w:w="4986"/>
      </w:tblGrid>
      <w:tr>
        <w:tc>
          <w:tcPr>
            <w:tcW w:type="dxa" w:w="2551"/>
          </w:tcPr>
          <w:p>
            <w:r/>
            <w:r>
              <w:rPr>
                <w:b/>
                <w:sz w:val="19"/>
              </w:rPr>
              <w:t>Term</w:t>
            </w:r>
          </w:p>
        </w:tc>
        <w:tc>
          <w:tcPr>
            <w:tcW w:type="dxa" w:w="6803"/>
          </w:tcPr>
          <w:p>
            <w:r/>
            <w:r>
              <w:rPr>
                <w:b/>
                <w:sz w:val="19"/>
              </w:rPr>
              <w:t>Definition used in this plan</w:t>
            </w:r>
          </w:p>
        </w:tc>
      </w:tr>
      <w:tr>
        <w:tc>
          <w:tcPr>
            <w:tcW w:type="dxa" w:w="2551"/>
          </w:tcPr>
          <w:p>
            <w:r/>
            <w:r>
              <w:rPr>
                <w:sz w:val="19"/>
              </w:rPr>
              <w:t>Direct room-night</w:t>
            </w:r>
          </w:p>
        </w:tc>
        <w:tc>
          <w:tcPr>
            <w:tcW w:type="dxa" w:w="6803"/>
          </w:tcPr>
          <w:p>
            <w:r/>
            <w:r>
              <w:rPr>
                <w:sz w:val="19"/>
              </w:rPr>
              <w:t>A room-night booked through a channel the property owns or controls (own website, booking engine, direct phone/email with digital attribution, WhatsApp with tracking)</w:t>
            </w:r>
          </w:p>
        </w:tc>
      </w:tr>
      <w:tr>
        <w:tc>
          <w:tcPr>
            <w:tcW w:type="dxa" w:w="2551"/>
          </w:tcPr>
          <w:p>
            <w:r/>
            <w:r>
              <w:rPr>
                <w:sz w:val="19"/>
              </w:rPr>
              <w:t>Incremental</w:t>
            </w:r>
          </w:p>
        </w:tc>
        <w:tc>
          <w:tcPr>
            <w:tcW w:type="dxa" w:w="6803"/>
          </w:tcPr>
          <w:p>
            <w:r/>
            <w:r>
              <w:rPr>
                <w:sz w:val="19"/>
              </w:rPr>
              <w:t>A booking above the counterfactual in §4 — not simply 'a booking we touched'</w:t>
            </w:r>
          </w:p>
        </w:tc>
      </w:tr>
      <w:tr>
        <w:tc>
          <w:tcPr>
            <w:tcW w:type="dxa" w:w="2551"/>
          </w:tcPr>
          <w:p>
            <w:r/>
            <w:r>
              <w:rPr>
                <w:sz w:val="19"/>
              </w:rPr>
              <w:t>Effective OTA commission</w:t>
            </w:r>
          </w:p>
        </w:tc>
        <w:tc>
          <w:tcPr>
            <w:tcW w:type="dxa" w:w="6803"/>
          </w:tcPr>
          <w:p>
            <w:r/>
            <w:r>
              <w:rPr>
                <w:sz w:val="19"/>
              </w:rPr>
              <w:t>All-in fees paid to OTAs ÷ total OTA revenue, trailing 12 months</w:t>
            </w:r>
          </w:p>
        </w:tc>
      </w:tr>
      <w:tr>
        <w:tc>
          <w:tcPr>
            <w:tcW w:type="dxa" w:w="2551"/>
          </w:tcPr>
          <w:p>
            <w:r/>
            <w:r>
              <w:rPr>
                <w:sz w:val="19"/>
              </w:rPr>
              <w:t>All-in direct cost</w:t>
            </w:r>
          </w:p>
        </w:tc>
        <w:tc>
          <w:tcPr>
            <w:tcW w:type="dxa" w:w="6803"/>
          </w:tcPr>
          <w:p>
            <w:r/>
            <w:r>
              <w:rPr>
                <w:sz w:val="19"/>
              </w:rPr>
              <w:t>Payment processing + booking engine fee + attributed media, expressed as a % of the room-night value (working assumption ~4.5%)</w:t>
            </w:r>
          </w:p>
        </w:tc>
      </w:tr>
      <w:tr>
        <w:tc>
          <w:tcPr>
            <w:tcW w:type="dxa" w:w="2551"/>
          </w:tcPr>
          <w:p>
            <w:r/>
            <w:r>
              <w:rPr>
                <w:sz w:val="19"/>
              </w:rPr>
              <w:t>Cost per incremental direct booking</w:t>
            </w:r>
          </w:p>
        </w:tc>
        <w:tc>
          <w:tcPr>
            <w:tcW w:type="dxa" w:w="6803"/>
          </w:tcPr>
          <w:p>
            <w:r/>
            <w:r>
              <w:rPr>
                <w:sz w:val="19"/>
              </w:rPr>
              <w:t>Engagement fee + attributed media ÷ incremental direct bookings</w:t>
            </w:r>
          </w:p>
        </w:tc>
      </w:tr>
    </w:tbl>
    <w:p/>
    <w:p>
      <w:pPr>
        <w:pStyle w:val="Heading2"/>
      </w:pPr>
      <w:r>
        <w:rPr>
          <w:color w:val="1F3864"/>
        </w:rPr>
        <w:t>Annex B — the honest note to a design partner</w:t>
      </w:r>
    </w:p>
    <w:p>
      <w:r>
        <w:rPr>
          <w:b w:val="0"/>
          <w:i/>
        </w:rPr>
        <w:t>This engagement is deliberately measured conservatively. At 90 days you should expect a clear answer to one question: are we producing direct bookings that would not otherwise have happened, at a cost below the OTA commission you would have paid on them? If the answer is no, we will tell you before you have to ask, and the work stops. That is the whole proposition: not that we can guarantee growth, but that you will be able to verify whether we are producing it.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