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Letter of Intent — 90-Day Direct-Booking Pilot</w:t>
      </w:r>
    </w:p>
    <w:p>
      <w:r>
        <w:rPr>
          <w:b w:val="0"/>
          <w:i/>
        </w:rPr>
        <w:t>Non-binding except where stated in clause 9. Two pages. Please read clause 4 and clause 6 before signing.</w:t>
      </w:r>
    </w:p>
    <w:tbl>
      <w:tblPr>
        <w:tblStyle w:val="TableGrid"/>
        <w:tblW w:type="auto" w:w="0"/>
        <w:jc w:val="center"/>
        <w:tblLook w:firstColumn="1" w:firstRow="1" w:lastColumn="0" w:lastRow="0" w:noHBand="0" w:noVBand="1" w:val="04A0"/>
      </w:tblPr>
      <w:tblGrid>
        <w:gridCol w:w="3324"/>
        <w:gridCol w:w="3324"/>
        <w:gridCol w:w="3324"/>
      </w:tblGrid>
      <w:tr>
        <w:tc>
          <w:tcPr>
            <w:tcW w:type="dxa" w:w="1474"/>
          </w:tcPr>
          <w:p>
            <w:r/>
            <w:r>
              <w:rPr>
                <w:b/>
                <w:sz w:val="19"/>
              </w:rPr>
            </w:r>
          </w:p>
        </w:tc>
        <w:tc>
          <w:tcPr>
            <w:tcW w:type="dxa" w:w="3969"/>
          </w:tcPr>
          <w:p>
            <w:r/>
            <w:r>
              <w:rPr>
                <w:b/>
                <w:sz w:val="19"/>
              </w:rPr>
              <w:t>Property (the "Hotel")</w:t>
            </w:r>
          </w:p>
        </w:tc>
        <w:tc>
          <w:tcPr>
            <w:tcW w:type="dxa" w:w="3912"/>
          </w:tcPr>
          <w:p>
            <w:r/>
            <w:r>
              <w:rPr>
                <w:b/>
                <w:sz w:val="19"/>
              </w:rPr>
              <w:t>Provider ("Hotel Growth OS")</w:t>
            </w:r>
          </w:p>
        </w:tc>
      </w:tr>
      <w:tr>
        <w:tc>
          <w:tcPr>
            <w:tcW w:type="dxa" w:w="1474"/>
          </w:tcPr>
          <w:p>
            <w:r/>
            <w:r>
              <w:rPr>
                <w:sz w:val="19"/>
              </w:rPr>
              <w:t>Legal name</w:t>
            </w:r>
          </w:p>
        </w:tc>
        <w:tc>
          <w:tcPr>
            <w:tcW w:type="dxa" w:w="3969"/>
          </w:tcPr>
          <w:p>
            <w:r/>
            <w:r>
              <w:rPr>
                <w:sz w:val="19"/>
              </w:rPr>
              <w:t>[ ................................ ]</w:t>
            </w:r>
          </w:p>
        </w:tc>
        <w:tc>
          <w:tcPr>
            <w:tcW w:type="dxa" w:w="3912"/>
          </w:tcPr>
          <w:p>
            <w:r/>
            <w:r>
              <w:rPr>
                <w:sz w:val="19"/>
              </w:rPr>
              <w:t>[ ................................ ]</w:t>
            </w:r>
          </w:p>
        </w:tc>
      </w:tr>
      <w:tr>
        <w:tc>
          <w:tcPr>
            <w:tcW w:type="dxa" w:w="1474"/>
          </w:tcPr>
          <w:p>
            <w:r/>
            <w:r>
              <w:rPr>
                <w:sz w:val="19"/>
              </w:rPr>
              <w:t>Address</w:t>
            </w:r>
          </w:p>
        </w:tc>
        <w:tc>
          <w:tcPr>
            <w:tcW w:type="dxa" w:w="3969"/>
          </w:tcPr>
          <w:p>
            <w:r/>
            <w:r>
              <w:rPr>
                <w:sz w:val="19"/>
              </w:rPr>
              <w:t>[ ................................ ]</w:t>
            </w:r>
          </w:p>
        </w:tc>
        <w:tc>
          <w:tcPr>
            <w:tcW w:type="dxa" w:w="3912"/>
          </w:tcPr>
          <w:p>
            <w:r/>
            <w:r>
              <w:rPr>
                <w:sz w:val="19"/>
              </w:rPr>
              <w:t>[ ................................ ]</w:t>
            </w:r>
          </w:p>
        </w:tc>
      </w:tr>
      <w:tr>
        <w:tc>
          <w:tcPr>
            <w:tcW w:type="dxa" w:w="1474"/>
          </w:tcPr>
          <w:p>
            <w:r/>
            <w:r>
              <w:rPr>
                <w:sz w:val="19"/>
              </w:rPr>
              <w:t>Contact</w:t>
            </w:r>
          </w:p>
        </w:tc>
        <w:tc>
          <w:tcPr>
            <w:tcW w:type="dxa" w:w="3969"/>
          </w:tcPr>
          <w:p>
            <w:r/>
            <w:r>
              <w:rPr>
                <w:sz w:val="19"/>
              </w:rPr>
              <w:t>[ ................................ ]</w:t>
            </w:r>
          </w:p>
        </w:tc>
        <w:tc>
          <w:tcPr>
            <w:tcW w:type="dxa" w:w="3912"/>
          </w:tcPr>
          <w:p>
            <w:r/>
            <w:r>
              <w:rPr>
                <w:sz w:val="19"/>
              </w:rPr>
              <w:t>[ ................................ ]</w:t>
            </w:r>
          </w:p>
        </w:tc>
      </w:tr>
    </w:tbl>
    <w:p/>
    <w:p>
      <w:r>
        <w:rPr>
          <w:b w:val="0"/>
          <w:i w:val="0"/>
        </w:rPr>
        <w:t>Date: [ ................................ ]          Pilot start: [ ................................ ]          Pilot end (90 days): [ ................................ ]</w:t>
      </w:r>
    </w:p>
    <w:p>
      <w:pPr>
        <w:pStyle w:val="Heading1"/>
      </w:pPr>
      <w:r>
        <w:rPr>
          <w:color w:val="1F3864"/>
        </w:rPr>
        <w:t>1. What this is</w:t>
      </w:r>
    </w:p>
    <w:p>
      <w:r>
        <w:rPr>
          <w:b w:val="0"/>
          <w:i w:val="0"/>
        </w:rPr>
        <w:t>A paid, time-boxed pilot to establish whether Hotel Growth OS can produce direct bookings that would not otherwise have happened, at a cost below the OTA commission the Hotel would have paid on them. It is deliberately small, deliberately measured, and designed so that either party can walk away after 90 days with clear evidence about whether it worked.</w:t>
      </w:r>
    </w:p>
    <w:p>
      <w:r>
        <w:rPr>
          <w:b w:val="0"/>
          <w:i/>
        </w:rPr>
        <w:t>As a design partner, the Hotel receives the pilot rate in clause 3 in exchange for: granting the access in clause 5 promptly, completing one honest 30-minute interview at day 45 and one at day 90, and (optionally, with the Hotel's written approval) allowing a de-identified case study.</w:t>
      </w:r>
    </w:p>
    <w:p>
      <w:pPr>
        <w:pStyle w:val="Heading1"/>
      </w:pPr>
      <w:r>
        <w:rPr>
          <w:color w:val="1F3864"/>
        </w:rPr>
        <w:t>2. What the Provider will deliver</w:t>
      </w:r>
    </w:p>
    <w:tbl>
      <w:tblPr>
        <w:tblStyle w:val="TableGrid"/>
        <w:tblW w:type="auto" w:w="0"/>
        <w:jc w:val="center"/>
        <w:tblLook w:firstColumn="1" w:firstRow="1" w:lastColumn="0" w:lastRow="0" w:noHBand="0" w:noVBand="1" w:val="04A0"/>
      </w:tblPr>
      <w:tblGrid>
        <w:gridCol w:w="3324"/>
        <w:gridCol w:w="3324"/>
        <w:gridCol w:w="3324"/>
      </w:tblGrid>
      <w:tr>
        <w:tc>
          <w:tcPr>
            <w:tcW w:type="dxa" w:w="2381"/>
          </w:tcPr>
          <w:p>
            <w:r/>
            <w:r>
              <w:rPr>
                <w:b/>
                <w:sz w:val="19"/>
              </w:rPr>
              <w:t>Deliverable</w:t>
            </w:r>
          </w:p>
        </w:tc>
        <w:tc>
          <w:tcPr>
            <w:tcW w:type="dxa" w:w="5669"/>
          </w:tcPr>
          <w:p>
            <w:r/>
            <w:r>
              <w:rPr>
                <w:b/>
                <w:sz w:val="19"/>
              </w:rPr>
              <w:t>Detail</w:t>
            </w:r>
          </w:p>
        </w:tc>
        <w:tc>
          <w:tcPr>
            <w:tcW w:type="dxa" w:w="1304"/>
          </w:tcPr>
          <w:p>
            <w:r/>
            <w:r>
              <w:rPr>
                <w:b/>
                <w:sz w:val="19"/>
              </w:rPr>
              <w:t>Timing</w:t>
            </w:r>
          </w:p>
        </w:tc>
      </w:tr>
      <w:tr>
        <w:tc>
          <w:tcPr>
            <w:tcW w:type="dxa" w:w="2381"/>
          </w:tcPr>
          <w:p>
            <w:r/>
            <w:r>
              <w:rPr>
                <w:sz w:val="19"/>
              </w:rPr>
              <w:t>Measurement setup</w:t>
            </w:r>
          </w:p>
        </w:tc>
        <w:tc>
          <w:tcPr>
            <w:tcW w:type="dxa" w:w="5669"/>
          </w:tcPr>
          <w:p>
            <w:r/>
            <w:r>
              <w:rPr>
                <w:sz w:val="19"/>
              </w:rPr>
              <w:t>Baseline capture, tracking verification, counterfactual design, and a signed measurement plan (separate document) agreed before any spend</w:t>
            </w:r>
          </w:p>
        </w:tc>
        <w:tc>
          <w:tcPr>
            <w:tcW w:type="dxa" w:w="1304"/>
          </w:tcPr>
          <w:p>
            <w:r/>
            <w:r>
              <w:rPr>
                <w:sz w:val="19"/>
              </w:rPr>
              <w:t>First 10 days</w:t>
            </w:r>
          </w:p>
        </w:tc>
      </w:tr>
      <w:tr>
        <w:tc>
          <w:tcPr>
            <w:tcW w:type="dxa" w:w="2381"/>
          </w:tcPr>
          <w:p>
            <w:r/>
            <w:r>
              <w:rPr>
                <w:sz w:val="19"/>
              </w:rPr>
              <w:t>One channel playbook</w:t>
            </w:r>
          </w:p>
        </w:tc>
        <w:tc>
          <w:tcPr>
            <w:tcW w:type="dxa" w:w="5669"/>
          </w:tcPr>
          <w:p>
            <w:r/>
            <w:r>
              <w:rPr>
                <w:sz w:val="19"/>
              </w:rPr>
              <w:t>Agreed at kickoff: either paid search efficiency and structure, or Google Business Profile and content presence. One, not both, for the pilot</w:t>
            </w:r>
          </w:p>
        </w:tc>
        <w:tc>
          <w:tcPr>
            <w:tcW w:type="dxa" w:w="1304"/>
          </w:tcPr>
          <w:p>
            <w:r/>
            <w:r>
              <w:rPr>
                <w:sz w:val="19"/>
              </w:rPr>
              <w:t>Days 1–14</w:t>
            </w:r>
          </w:p>
        </w:tc>
      </w:tr>
      <w:tr>
        <w:tc>
          <w:tcPr>
            <w:tcW w:type="dxa" w:w="2381"/>
          </w:tcPr>
          <w:p>
            <w:r/>
            <w:r>
              <w:rPr>
                <w:sz w:val="19"/>
              </w:rPr>
              <w:t>Monthly performance report</w:t>
            </w:r>
          </w:p>
        </w:tc>
        <w:tc>
          <w:tcPr>
            <w:tcW w:type="dxa" w:w="5669"/>
          </w:tcPr>
          <w:p>
            <w:r/>
            <w:r>
              <w:rPr>
                <w:sz w:val="19"/>
              </w:rPr>
              <w:t>Per the measurement plan: primary metric, reconciliation of bookings across sources, spend, learnings, decisions required</w:t>
            </w:r>
          </w:p>
        </w:tc>
        <w:tc>
          <w:tcPr>
            <w:tcW w:type="dxa" w:w="1304"/>
          </w:tcPr>
          <w:p>
            <w:r/>
            <w:r>
              <w:rPr>
                <w:sz w:val="19"/>
              </w:rPr>
              <w:t>By the 5th business day monthly</w:t>
            </w:r>
          </w:p>
        </w:tc>
      </w:tr>
      <w:tr>
        <w:tc>
          <w:tcPr>
            <w:tcW w:type="dxa" w:w="2381"/>
          </w:tcPr>
          <w:p>
            <w:r/>
            <w:r>
              <w:rPr>
                <w:sz w:val="19"/>
              </w:rPr>
              <w:t>Execution</w:t>
            </w:r>
          </w:p>
        </w:tc>
        <w:tc>
          <w:tcPr>
            <w:tcW w:type="dxa" w:w="5669"/>
          </w:tcPr>
          <w:p>
            <w:r/>
            <w:r>
              <w:rPr>
                <w:sz w:val="19"/>
              </w:rPr>
              <w:t>Agent-assisted work, executed within the approved spend ceiling. Anything that publishes publicly, sends a message, or increases spend is submitted for the Hotel's approval first</w:t>
            </w:r>
          </w:p>
        </w:tc>
        <w:tc>
          <w:tcPr>
            <w:tcW w:type="dxa" w:w="1304"/>
          </w:tcPr>
          <w:p>
            <w:r/>
            <w:r>
              <w:rPr>
                <w:sz w:val="19"/>
              </w:rPr>
              <w:t>Continuous</w:t>
            </w:r>
          </w:p>
        </w:tc>
      </w:tr>
      <w:tr>
        <w:tc>
          <w:tcPr>
            <w:tcW w:type="dxa" w:w="2381"/>
          </w:tcPr>
          <w:p>
            <w:r/>
            <w:r>
              <w:rPr>
                <w:sz w:val="19"/>
              </w:rPr>
              <w:t>Honest status</w:t>
            </w:r>
          </w:p>
        </w:tc>
        <w:tc>
          <w:tcPr>
            <w:tcW w:type="dxa" w:w="5669"/>
          </w:tcPr>
          <w:p>
            <w:r/>
            <w:r>
              <w:rPr>
                <w:sz w:val="19"/>
              </w:rPr>
              <w:t>A written statement if the data says stop, before the Hotel has to ask</w:t>
            </w:r>
          </w:p>
        </w:tc>
        <w:tc>
          <w:tcPr>
            <w:tcW w:type="dxa" w:w="1304"/>
          </w:tcPr>
          <w:p>
            <w:r/>
            <w:r>
              <w:rPr>
                <w:sz w:val="19"/>
              </w:rPr>
              <w:t>Day 45 and day 90</w:t>
            </w:r>
          </w:p>
        </w:tc>
      </w:tr>
    </w:tbl>
    <w:p/>
    <w:p>
      <w:r>
        <w:rPr>
          <w:b w:val="0"/>
          <w:i/>
          <w:sz w:val="18"/>
        </w:rPr>
        <w:t>Honesty about method: the pilot is delivered largely by hand, with software doing the analysis, drafting and monitoring. That is faster and cheaper for both parties than building automation for a single property, and it is what the pilot rate reflects.</w:t>
      </w:r>
    </w:p>
    <w:p>
      <w:pPr>
        <w:pStyle w:val="Heading1"/>
      </w:pPr>
      <w:r>
        <w:rPr>
          <w:color w:val="1F3864"/>
        </w:rPr>
        <w:t>3. Fees and spend</w:t>
      </w:r>
    </w:p>
    <w:tbl>
      <w:tblPr>
        <w:tblStyle w:val="TableGrid"/>
        <w:tblW w:type="auto" w:w="0"/>
        <w:jc w:val="center"/>
        <w:tblLook w:firstColumn="1" w:firstRow="1" w:lastColumn="0" w:lastRow="0" w:noHBand="0" w:noVBand="1" w:val="04A0"/>
      </w:tblPr>
      <w:tblGrid>
        <w:gridCol w:w="3324"/>
        <w:gridCol w:w="3324"/>
        <w:gridCol w:w="3324"/>
      </w:tblGrid>
      <w:tr>
        <w:tc>
          <w:tcPr>
            <w:tcW w:type="dxa" w:w="2154"/>
          </w:tcPr>
          <w:p>
            <w:r/>
            <w:r>
              <w:rPr>
                <w:b/>
                <w:sz w:val="19"/>
              </w:rPr>
              <w:t>Item</w:t>
            </w:r>
          </w:p>
        </w:tc>
        <w:tc>
          <w:tcPr>
            <w:tcW w:type="dxa" w:w="2041"/>
          </w:tcPr>
          <w:p>
            <w:r/>
            <w:r>
              <w:rPr>
                <w:b/>
                <w:sz w:val="19"/>
              </w:rPr>
              <w:t>Amount</w:t>
            </w:r>
          </w:p>
        </w:tc>
        <w:tc>
          <w:tcPr>
            <w:tcW w:type="dxa" w:w="5159"/>
          </w:tcPr>
          <w:p>
            <w:r/>
            <w:r>
              <w:rPr>
                <w:b/>
                <w:sz w:val="19"/>
              </w:rPr>
              <w:t>Notes</w:t>
            </w:r>
          </w:p>
        </w:tc>
      </w:tr>
      <w:tr>
        <w:tc>
          <w:tcPr>
            <w:tcW w:type="dxa" w:w="2154"/>
          </w:tcPr>
          <w:p>
            <w:r/>
            <w:r>
              <w:rPr>
                <w:sz w:val="19"/>
              </w:rPr>
              <w:t>Pilot fee</w:t>
            </w:r>
          </w:p>
        </w:tc>
        <w:tc>
          <w:tcPr>
            <w:tcW w:type="dxa" w:w="2041"/>
          </w:tcPr>
          <w:p>
            <w:r/>
            <w:r>
              <w:rPr>
                <w:sz w:val="19"/>
              </w:rPr>
              <w:t>[ ................................ ] per month</w:t>
            </w:r>
          </w:p>
        </w:tc>
        <w:tc>
          <w:tcPr>
            <w:tcW w:type="dxa" w:w="5159"/>
          </w:tcPr>
          <w:p>
            <w:r/>
            <w:r>
              <w:rPr>
                <w:sz w:val="19"/>
              </w:rPr>
              <w:t>Design-partner rate for the 90-day pilot</w:t>
            </w:r>
          </w:p>
        </w:tc>
      </w:tr>
      <w:tr>
        <w:tc>
          <w:tcPr>
            <w:tcW w:type="dxa" w:w="2154"/>
          </w:tcPr>
          <w:p>
            <w:r/>
            <w:r>
              <w:rPr>
                <w:sz w:val="19"/>
              </w:rPr>
              <w:t>Setup fee</w:t>
            </w:r>
          </w:p>
        </w:tc>
        <w:tc>
          <w:tcPr>
            <w:tcW w:type="dxa" w:w="2041"/>
          </w:tcPr>
          <w:p>
            <w:r/>
            <w:r>
              <w:rPr>
                <w:sz w:val="19"/>
              </w:rPr>
              <w:t>[ ................................ ]</w:t>
            </w:r>
          </w:p>
        </w:tc>
        <w:tc>
          <w:tcPr>
            <w:tcW w:type="dxa" w:w="5159"/>
          </w:tcPr>
          <w:p>
            <w:r/>
            <w:r>
              <w:rPr>
                <w:sz w:val="19"/>
              </w:rPr>
              <w:t>May be waived in exchange for a de-identified case study, if agreed in writing</w:t>
            </w:r>
          </w:p>
        </w:tc>
      </w:tr>
      <w:tr>
        <w:tc>
          <w:tcPr>
            <w:tcW w:type="dxa" w:w="2154"/>
          </w:tcPr>
          <w:p>
            <w:r/>
            <w:r>
              <w:rPr>
                <w:sz w:val="19"/>
              </w:rPr>
              <w:t>Media spend</w:t>
            </w:r>
          </w:p>
        </w:tc>
        <w:tc>
          <w:tcPr>
            <w:tcW w:type="dxa" w:w="2041"/>
          </w:tcPr>
          <w:p>
            <w:r/>
            <w:r>
              <w:rPr>
                <w:sz w:val="19"/>
              </w:rPr>
              <w:t>Paid directly by the Hotel</w:t>
            </w:r>
          </w:p>
        </w:tc>
        <w:tc>
          <w:tcPr>
            <w:tcW w:type="dxa" w:w="5159"/>
          </w:tcPr>
          <w:p>
            <w:r/>
            <w:r>
              <w:rPr>
                <w:sz w:val="19"/>
              </w:rPr>
              <w:t>Never routed through the Provider in any circumstance</w:t>
            </w:r>
          </w:p>
        </w:tc>
      </w:tr>
      <w:tr>
        <w:tc>
          <w:tcPr>
            <w:tcW w:type="dxa" w:w="2154"/>
          </w:tcPr>
          <w:p>
            <w:r/>
            <w:r>
              <w:rPr>
                <w:sz w:val="19"/>
              </w:rPr>
              <w:t>Written spend ceiling</w:t>
            </w:r>
          </w:p>
        </w:tc>
        <w:tc>
          <w:tcPr>
            <w:tcW w:type="dxa" w:w="2041"/>
          </w:tcPr>
          <w:p>
            <w:r/>
            <w:r>
              <w:rPr>
                <w:sz w:val="19"/>
              </w:rPr>
              <w:t>[ ................................ ] per month</w:t>
            </w:r>
          </w:p>
        </w:tc>
        <w:tc>
          <w:tcPr>
            <w:tcW w:type="dxa" w:w="5159"/>
          </w:tcPr>
          <w:p>
            <w:r/>
            <w:r>
              <w:rPr>
                <w:sz w:val="19"/>
              </w:rPr>
              <w:t>Set by the Hotel. The ceiling may be lowered at any time, by email, with immediate effect</w:t>
            </w:r>
          </w:p>
        </w:tc>
      </w:tr>
      <w:tr>
        <w:tc>
          <w:tcPr>
            <w:tcW w:type="dxa" w:w="2154"/>
          </w:tcPr>
          <w:p>
            <w:r/>
            <w:r>
              <w:rPr>
                <w:sz w:val="19"/>
              </w:rPr>
              <w:t>Payment terms</w:t>
            </w:r>
          </w:p>
        </w:tc>
        <w:tc>
          <w:tcPr>
            <w:tcW w:type="dxa" w:w="2041"/>
          </w:tcPr>
          <w:p>
            <w:r/>
            <w:r>
              <w:rPr>
                <w:sz w:val="19"/>
              </w:rPr>
              <w:t>Monthly in advance</w:t>
            </w:r>
          </w:p>
        </w:tc>
        <w:tc>
          <w:tcPr>
            <w:tcW w:type="dxa" w:w="5159"/>
          </w:tcPr>
          <w:p>
            <w:r/>
            <w:r>
              <w:rPr>
                <w:sz w:val="19"/>
              </w:rPr>
              <w:t>Card or bank transfer; bKash/Nagad accepted for setup and one-off payments</w:t>
            </w:r>
          </w:p>
        </w:tc>
      </w:tr>
      <w:tr>
        <w:tc>
          <w:tcPr>
            <w:tcW w:type="dxa" w:w="2154"/>
          </w:tcPr>
          <w:p>
            <w:r/>
            <w:r>
              <w:rPr>
                <w:sz w:val="19"/>
              </w:rPr>
              <w:t>Off-peak arrangement</w:t>
            </w:r>
          </w:p>
        </w:tc>
        <w:tc>
          <w:tcPr>
            <w:tcW w:type="dxa" w:w="2041"/>
          </w:tcPr>
          <w:p>
            <w:r/>
            <w:r>
              <w:rPr>
                <w:sz w:val="19"/>
              </w:rPr>
              <w:t>[ ................................ ]</w:t>
            </w:r>
          </w:p>
        </w:tc>
        <w:tc>
          <w:tcPr>
            <w:tcW w:type="dxa" w:w="5159"/>
          </w:tcPr>
          <w:p>
            <w:r/>
            <w:r>
              <w:rPr>
                <w:sz w:val="19"/>
              </w:rPr>
              <w:t>Optional: reduced 'maintain' rate in the Hotel's declared dead season, with the balance carried in peak months</w:t>
            </w:r>
          </w:p>
        </w:tc>
      </w:tr>
    </w:tbl>
    <w:p/>
    <w:p>
      <w:r>
        <w:rPr>
          <w:b w:val="0"/>
          <w:i w:val="0"/>
        </w:rPr>
        <w:t>After 90 days: if the Hotel continues, the standard rate is [ ................................ ] per month, agreed in writing before the pilot ends. If it does not, this ends with no further obligation on either side.</w:t>
      </w:r>
    </w:p>
    <w:p>
      <w:pPr>
        <w:pStyle w:val="Heading1"/>
      </w:pPr>
      <w:r>
        <w:rPr>
          <w:color w:val="1F3864"/>
        </w:rPr>
        <w:t>4. What the Provider will not do — read this clause</w:t>
      </w:r>
    </w:p>
    <w:p>
      <w:pPr>
        <w:pStyle w:val="ListBullet"/>
      </w:pPr>
      <w:r>
        <w:t>Will not hold, receive, or spend the Hotel's money. Ad accounts and payment instruments stay in the Hotel's name; the Provider operates through manager access only.</w:t>
      </w:r>
    </w:p>
    <w:p>
      <w:pPr>
        <w:pStyle w:val="ListBullet"/>
      </w:pPr>
      <w:r>
        <w:t>Will not exceed the written spend ceiling. Any overspend caused by the Provider is absorbed by the Provider.</w:t>
      </w:r>
    </w:p>
    <w:p>
      <w:pPr>
        <w:pStyle w:val="ListBullet"/>
      </w:pPr>
      <w:r>
        <w:t>Will not publish to the Hotel's public profiles, reply to reviews, or send outbound messages without recorded approval, during this pilot, in all cases.</w:t>
      </w:r>
    </w:p>
    <w:p>
      <w:pPr>
        <w:pStyle w:val="ListBullet"/>
      </w:pPr>
      <w:r>
        <w:t>Will not claim bookings the Hotel would have received anyway. The counterfactual and haircut are agreed in writing in the measurement plan before spend begins.</w:t>
      </w:r>
    </w:p>
    <w:p>
      <w:pPr>
        <w:pStyle w:val="ListBullet"/>
      </w:pPr>
      <w:r>
        <w:t>Will not treat OTA-sourced demand as its own work, or take credit for walk-ins and untracked phone bookings.</w:t>
      </w:r>
    </w:p>
    <w:p>
      <w:pPr>
        <w:pStyle w:val="ListBullet"/>
      </w:pPr>
      <w:r>
        <w:t>Will not place guest personal data into AI systems. Work uses aggregated and pseudonymised data.</w:t>
      </w:r>
    </w:p>
    <w:p>
      <w:pPr>
        <w:pStyle w:val="ListBullet"/>
      </w:pPr>
      <w:r>
        <w:t>Will not sell, share, or use the Hotel's data for anything except delivering this pilot.</w:t>
      </w:r>
    </w:p>
    <w:p>
      <w:pPr>
        <w:pStyle w:val="Heading1"/>
      </w:pPr>
      <w:r>
        <w:rPr>
          <w:color w:val="1F3864"/>
        </w:rPr>
        <w:t>5. What the Hotel provides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tcPr>
          <w:p>
            <w:r/>
            <w:r>
              <w:rPr>
                <w:b/>
                <w:sz w:val="19"/>
              </w:rPr>
              <w:t>#</w:t>
            </w:r>
          </w:p>
        </w:tc>
        <w:tc>
          <w:tcPr>
            <w:tcW w:type="dxa" w:w="4535"/>
          </w:tcPr>
          <w:p>
            <w:r/>
            <w:r>
              <w:rPr>
                <w:b/>
                <w:sz w:val="19"/>
              </w:rPr>
              <w:t>Access or input</w:t>
            </w:r>
          </w:p>
        </w:tc>
        <w:tc>
          <w:tcPr>
            <w:tcW w:type="dxa" w:w="1701"/>
          </w:tcPr>
          <w:p>
            <w:r/>
            <w:r>
              <w:rPr>
                <w:b/>
                <w:sz w:val="19"/>
              </w:rPr>
              <w:t>Needed by</w:t>
            </w:r>
          </w:p>
        </w:tc>
        <w:tc>
          <w:tcPr>
            <w:tcW w:type="dxa" w:w="850"/>
          </w:tcPr>
          <w:p>
            <w:r/>
            <w:r>
              <w:rPr>
                <w:b/>
                <w:sz w:val="19"/>
              </w:rPr>
              <w:t>Done</w:t>
            </w:r>
          </w:p>
        </w:tc>
      </w:tr>
      <w:tr>
        <w:tc>
          <w:tcPr>
            <w:tcW w:type="dxa" w:w="567"/>
          </w:tcPr>
          <w:p>
            <w:r/>
            <w:r>
              <w:rPr>
                <w:sz w:val="19"/>
              </w:rPr>
              <w:t>1</w:t>
            </w:r>
          </w:p>
        </w:tc>
        <w:tc>
          <w:tcPr>
            <w:tcW w:type="dxa" w:w="4535"/>
          </w:tcPr>
          <w:p>
            <w:r/>
            <w:r>
              <w:rPr>
                <w:sz w:val="19"/>
              </w:rPr>
              <w:t>GA4 property (read) + admin to add conversion events</w:t>
            </w:r>
          </w:p>
        </w:tc>
        <w:tc>
          <w:tcPr>
            <w:tcW w:type="dxa" w:w="1701"/>
          </w:tcPr>
          <w:p>
            <w:r/>
            <w:r>
              <w:rPr>
                <w:sz w:val="19"/>
              </w:rPr>
              <w:t>Day 0</w:t>
            </w:r>
          </w:p>
        </w:tc>
        <w:tc>
          <w:tcPr>
            <w:tcW w:type="dxa" w:w="850"/>
          </w:tcPr>
          <w:p>
            <w:r/>
            <w:r>
              <w:rPr>
                <w:sz w:val="19"/>
              </w:rPr>
              <w:t>[ ]</w:t>
            </w:r>
          </w:p>
        </w:tc>
      </w:tr>
      <w:tr>
        <w:tc>
          <w:tcPr>
            <w:tcW w:type="dxa" w:w="567"/>
          </w:tcPr>
          <w:p>
            <w:r/>
            <w:r>
              <w:rPr>
                <w:sz w:val="19"/>
              </w:rPr>
              <w:t>2</w:t>
            </w:r>
          </w:p>
        </w:tc>
        <w:tc>
          <w:tcPr>
            <w:tcW w:type="dxa" w:w="4535"/>
          </w:tcPr>
          <w:p>
            <w:r/>
            <w:r>
              <w:rPr>
                <w:sz w:val="19"/>
              </w:rPr>
              <w:t>Google Search Console (read)</w:t>
            </w:r>
          </w:p>
        </w:tc>
        <w:tc>
          <w:tcPr>
            <w:tcW w:type="dxa" w:w="1701"/>
          </w:tcPr>
          <w:p>
            <w:r/>
            <w:r>
              <w:rPr>
                <w:sz w:val="19"/>
              </w:rPr>
              <w:t>Day 0</w:t>
            </w:r>
          </w:p>
        </w:tc>
        <w:tc>
          <w:tcPr>
            <w:tcW w:type="dxa" w:w="850"/>
          </w:tcPr>
          <w:p>
            <w:r/>
            <w:r>
              <w:rPr>
                <w:sz w:val="19"/>
              </w:rPr>
              <w:t>[ ]</w:t>
            </w:r>
          </w:p>
        </w:tc>
      </w:tr>
      <w:tr>
        <w:tc>
          <w:tcPr>
            <w:tcW w:type="dxa" w:w="567"/>
          </w:tcPr>
          <w:p>
            <w:r/>
            <w:r>
              <w:rPr>
                <w:sz w:val="19"/>
              </w:rPr>
              <w:t>3</w:t>
            </w:r>
          </w:p>
        </w:tc>
        <w:tc>
          <w:tcPr>
            <w:tcW w:type="dxa" w:w="4535"/>
          </w:tcPr>
          <w:p>
            <w:r/>
            <w:r>
              <w:rPr>
                <w:sz w:val="19"/>
              </w:rPr>
              <w:t>Google Ads: manager-account link to the Hotel's own account</w:t>
            </w:r>
          </w:p>
        </w:tc>
        <w:tc>
          <w:tcPr>
            <w:tcW w:type="dxa" w:w="1701"/>
          </w:tcPr>
          <w:p>
            <w:r/>
            <w:r>
              <w:rPr>
                <w:sz w:val="19"/>
              </w:rPr>
              <w:t>Day 0</w:t>
            </w:r>
          </w:p>
        </w:tc>
        <w:tc>
          <w:tcPr>
            <w:tcW w:type="dxa" w:w="850"/>
          </w:tcPr>
          <w:p>
            <w:r/>
            <w:r>
              <w:rPr>
                <w:sz w:val="19"/>
              </w:rPr>
              <w:t>[ ]</w:t>
            </w:r>
          </w:p>
        </w:tc>
      </w:tr>
      <w:tr>
        <w:tc>
          <w:tcPr>
            <w:tcW w:type="dxa" w:w="567"/>
          </w:tcPr>
          <w:p>
            <w:r/>
            <w:r>
              <w:rPr>
                <w:sz w:val="19"/>
              </w:rPr>
              <w:t>4</w:t>
            </w:r>
          </w:p>
        </w:tc>
        <w:tc>
          <w:tcPr>
            <w:tcW w:type="dxa" w:w="4535"/>
          </w:tcPr>
          <w:p>
            <w:r/>
            <w:r>
              <w:rPr>
                <w:sz w:val="19"/>
              </w:rPr>
              <w:t>Google Business Profile: manager access (ownership is never transferred)</w:t>
            </w:r>
          </w:p>
        </w:tc>
        <w:tc>
          <w:tcPr>
            <w:tcW w:type="dxa" w:w="1701"/>
          </w:tcPr>
          <w:p>
            <w:r/>
            <w:r>
              <w:rPr>
                <w:sz w:val="19"/>
              </w:rPr>
              <w:t>Day 0</w:t>
            </w:r>
          </w:p>
        </w:tc>
        <w:tc>
          <w:tcPr>
            <w:tcW w:type="dxa" w:w="850"/>
          </w:tcPr>
          <w:p>
            <w:r/>
            <w:r>
              <w:rPr>
                <w:sz w:val="19"/>
              </w:rPr>
              <w:t>[ ]</w:t>
            </w:r>
          </w:p>
        </w:tc>
      </w:tr>
      <w:tr>
        <w:tc>
          <w:tcPr>
            <w:tcW w:type="dxa" w:w="567"/>
          </w:tcPr>
          <w:p>
            <w:r/>
            <w:r>
              <w:rPr>
                <w:sz w:val="19"/>
              </w:rPr>
              <w:t>5</w:t>
            </w:r>
          </w:p>
        </w:tc>
        <w:tc>
          <w:tcPr>
            <w:tcW w:type="dxa" w:w="4535"/>
          </w:tcPr>
          <w:p>
            <w:r/>
            <w:r>
              <w:rPr>
                <w:sz w:val="19"/>
              </w:rPr>
              <w:t>Booking engine: reporting access or scheduled export</w:t>
            </w:r>
          </w:p>
        </w:tc>
        <w:tc>
          <w:tcPr>
            <w:tcW w:type="dxa" w:w="1701"/>
          </w:tcPr>
          <w:p>
            <w:r/>
            <w:r>
              <w:rPr>
                <w:sz w:val="19"/>
              </w:rPr>
              <w:t>Day 0</w:t>
            </w:r>
          </w:p>
        </w:tc>
        <w:tc>
          <w:tcPr>
            <w:tcW w:type="dxa" w:w="850"/>
          </w:tcPr>
          <w:p>
            <w:r/>
            <w:r>
              <w:rPr>
                <w:sz w:val="19"/>
              </w:rPr>
              <w:t>[ ]</w:t>
            </w:r>
          </w:p>
        </w:tc>
      </w:tr>
      <w:tr>
        <w:tc>
          <w:tcPr>
            <w:tcW w:type="dxa" w:w="567"/>
          </w:tcPr>
          <w:p>
            <w:r/>
            <w:r>
              <w:rPr>
                <w:sz w:val="19"/>
              </w:rPr>
              <w:t>6</w:t>
            </w:r>
          </w:p>
        </w:tc>
        <w:tc>
          <w:tcPr>
            <w:tcW w:type="dxa" w:w="4535"/>
          </w:tcPr>
          <w:p>
            <w:r/>
            <w:r>
              <w:rPr>
                <w:sz w:val="19"/>
              </w:rPr>
              <w:t>PMS / channel manager: month-end production report</w:t>
            </w:r>
          </w:p>
        </w:tc>
        <w:tc>
          <w:tcPr>
            <w:tcW w:type="dxa" w:w="1701"/>
          </w:tcPr>
          <w:p>
            <w:r/>
            <w:r>
              <w:rPr>
                <w:sz w:val="19"/>
              </w:rPr>
              <w:t>Day 0</w:t>
            </w:r>
          </w:p>
        </w:tc>
        <w:tc>
          <w:tcPr>
            <w:tcW w:type="dxa" w:w="850"/>
          </w:tcPr>
          <w:p>
            <w:r/>
            <w:r>
              <w:rPr>
                <w:sz w:val="19"/>
              </w:rPr>
              <w:t>[ ]</w:t>
            </w:r>
          </w:p>
        </w:tc>
      </w:tr>
      <w:tr>
        <w:tc>
          <w:tcPr>
            <w:tcW w:type="dxa" w:w="567"/>
          </w:tcPr>
          <w:p>
            <w:r/>
            <w:r>
              <w:rPr>
                <w:sz w:val="19"/>
              </w:rPr>
              <w:t>7</w:t>
            </w:r>
          </w:p>
        </w:tc>
        <w:tc>
          <w:tcPr>
            <w:tcW w:type="dxa" w:w="4535"/>
          </w:tcPr>
          <w:p>
            <w:r/>
            <w:r>
              <w:rPr>
                <w:sz w:val="19"/>
              </w:rPr>
              <w:t>12 months of historical data where available</w:t>
            </w:r>
          </w:p>
        </w:tc>
        <w:tc>
          <w:tcPr>
            <w:tcW w:type="dxa" w:w="1701"/>
          </w:tcPr>
          <w:p>
            <w:r/>
            <w:r>
              <w:rPr>
                <w:sz w:val="19"/>
              </w:rPr>
              <w:t>Week 2</w:t>
            </w:r>
          </w:p>
        </w:tc>
        <w:tc>
          <w:tcPr>
            <w:tcW w:type="dxa" w:w="850"/>
          </w:tcPr>
          <w:p>
            <w:r/>
            <w:r>
              <w:rPr>
                <w:sz w:val="19"/>
              </w:rPr>
              <w:t>[ ]</w:t>
            </w:r>
          </w:p>
        </w:tc>
      </w:tr>
      <w:tr>
        <w:tc>
          <w:tcPr>
            <w:tcW w:type="dxa" w:w="567"/>
          </w:tcPr>
          <w:p>
            <w:r/>
            <w:r>
              <w:rPr>
                <w:sz w:val="19"/>
              </w:rPr>
              <w:t>8</w:t>
            </w:r>
          </w:p>
        </w:tc>
        <w:tc>
          <w:tcPr>
            <w:tcW w:type="dxa" w:w="4535"/>
          </w:tcPr>
          <w:p>
            <w:r/>
            <w:r>
              <w:rPr>
                <w:sz w:val="19"/>
              </w:rPr>
              <w:t>Named approver for spend increases and public posts</w:t>
            </w:r>
          </w:p>
        </w:tc>
        <w:tc>
          <w:tcPr>
            <w:tcW w:type="dxa" w:w="1701"/>
          </w:tcPr>
          <w:p>
            <w:r/>
            <w:r>
              <w:rPr>
                <w:sz w:val="19"/>
              </w:rPr>
              <w:t>Week 1</w:t>
            </w:r>
          </w:p>
        </w:tc>
        <w:tc>
          <w:tcPr>
            <w:tcW w:type="dxa" w:w="850"/>
          </w:tcPr>
          <w:p>
            <w:r/>
            <w:r>
              <w:rPr>
                <w:sz w:val="19"/>
              </w:rPr>
              <w:t>[ ]</w:t>
            </w:r>
          </w:p>
        </w:tc>
      </w:tr>
      <w:tr>
        <w:tc>
          <w:tcPr>
            <w:tcW w:type="dxa" w:w="567"/>
          </w:tcPr>
          <w:p>
            <w:r/>
            <w:r>
              <w:rPr>
                <w:sz w:val="19"/>
              </w:rPr>
              <w:t>9</w:t>
            </w:r>
          </w:p>
        </w:tc>
        <w:tc>
          <w:tcPr>
            <w:tcW w:type="dxa" w:w="4535"/>
          </w:tcPr>
          <w:p>
            <w:r/>
            <w:r>
              <w:rPr>
                <w:sz w:val="19"/>
              </w:rPr>
              <w:t>Baseline data completion (measurement plan §2)</w:t>
            </w:r>
          </w:p>
        </w:tc>
        <w:tc>
          <w:tcPr>
            <w:tcW w:type="dxa" w:w="1701"/>
          </w:tcPr>
          <w:p>
            <w:r/>
            <w:r>
              <w:rPr>
                <w:sz w:val="19"/>
              </w:rPr>
              <w:t>Week 1</w:t>
            </w:r>
          </w:p>
        </w:tc>
        <w:tc>
          <w:tcPr>
            <w:tcW w:type="dxa" w:w="850"/>
          </w:tcPr>
          <w:p>
            <w:r/>
            <w:r>
              <w:rPr>
                <w:sz w:val="19"/>
              </w:rPr>
              <w:t>[ ]</w:t>
            </w:r>
          </w:p>
        </w:tc>
      </w:tr>
      <w:tr>
        <w:tc>
          <w:tcPr>
            <w:tcW w:type="dxa" w:w="567"/>
          </w:tcPr>
          <w:p>
            <w:r/>
            <w:r>
              <w:rPr>
                <w:sz w:val="19"/>
              </w:rPr>
              <w:t>10</w:t>
            </w:r>
          </w:p>
        </w:tc>
        <w:tc>
          <w:tcPr>
            <w:tcW w:type="dxa" w:w="4535"/>
          </w:tcPr>
          <w:p>
            <w:r/>
            <w:r>
              <w:rPr>
                <w:sz w:val="19"/>
              </w:rPr>
              <w:t>Approvals or rejections within 2 business days</w:t>
            </w:r>
          </w:p>
        </w:tc>
        <w:tc>
          <w:tcPr>
            <w:tcW w:type="dxa" w:w="1701"/>
          </w:tcPr>
          <w:p>
            <w:r/>
            <w:r>
              <w:rPr>
                <w:sz w:val="19"/>
              </w:rPr>
              <w:t>Continuous</w:t>
            </w:r>
          </w:p>
        </w:tc>
        <w:tc>
          <w:tcPr>
            <w:tcW w:type="dxa" w:w="850"/>
          </w:tcPr>
          <w:p>
            <w:r/>
            <w:r>
              <w:rPr>
                <w:sz w:val="19"/>
              </w:rPr>
              <w:t>[ ]</w:t>
            </w:r>
          </w:p>
        </w:tc>
      </w:tr>
    </w:tbl>
    <w:p/>
    <w:p>
      <w:r>
        <w:rPr>
          <w:b w:val="0"/>
          <w:i/>
          <w:sz w:val="18"/>
        </w:rPr>
        <w:t>The pilot cannot produce a trustworthy answer without items 1–6. If any of them cannot be provided, the Provider will say so and adjust the measurement method rather than proceed with a number it cannot defend.</w:t>
      </w:r>
    </w:p>
    <w:p>
      <w:pPr>
        <w:pStyle w:val="Heading1"/>
      </w:pPr>
      <w:r>
        <w:rPr>
          <w:color w:val="1F3864"/>
        </w:rPr>
        <w:t>6. Measurement and decision rules</w:t>
      </w:r>
    </w:p>
    <w:p>
      <w:r>
        <w:rPr>
          <w:b w:val="0"/>
          <w:i w:val="0"/>
        </w:rPr>
        <w:t>The signed measurement plan governs. Its essential commitments, repeated here so nothing is buried:</w:t>
      </w:r>
    </w:p>
    <w:p>
      <w:pPr>
        <w:pStyle w:val="ListBullet"/>
      </w:pPr>
      <w:r>
        <w:t>One primary metric: incremental direct room-nights, with the counterfactual stated in writing.</w:t>
      </w:r>
    </w:p>
    <w:p>
      <w:pPr>
        <w:pStyle w:val="ListBullet"/>
      </w:pPr>
      <w:r>
        <w:t>Agreed haircut: the share of attributed bookings assumed to have happened anyway. Under-claiming on purpose.</w:t>
      </w:r>
    </w:p>
    <w:p>
      <w:pPr>
        <w:pStyle w:val="ListBullet"/>
      </w:pPr>
      <w:r>
        <w:t>Guardrails: no buying discounted single nights to manufacture 'direct' volume; OTA commission paid is tracked and reported.</w:t>
      </w:r>
    </w:p>
    <w:p>
      <w:pPr>
        <w:pStyle w:val="ListBullet"/>
      </w:pPr>
      <w:r>
        <w:t>Day 45: interim read. Day 90: decision — scale, hold one more window, or stop. A stop costs the Hotel nothing beyond fees already paid.</w:t>
      </w:r>
    </w:p>
    <w:p>
      <w:pPr>
        <w:pStyle w:val="Heading1"/>
      </w:pPr>
      <w:r>
        <w:rPr>
          <w:color w:val="1F3864"/>
        </w:rPr>
        <w:t>7. Data protection</w:t>
      </w:r>
    </w:p>
    <w:p>
      <w:r>
        <w:rPr>
          <w:b w:val="0"/>
          <w:i w:val="0"/>
        </w:rPr>
        <w:t>Bangladesh's Personal Data Protection Ordinance applies (gazetted November 2025; amended February 2026). The Hotel is the data controller, the Provider is a processor. A separate Data Processing Agreement is signed alongside this letter and governs: purpose limitation, retention, breach notification, data-subject requests, and the commitment that guest personal data is not placed into AI prompts.</w:t>
      </w:r>
    </w:p>
    <w:p>
      <w:r>
        <w:rPr>
          <w:b w:val="0"/>
          <w:i w:val="0"/>
        </w:rPr>
        <w:t>Data generated during the pilot belongs to the Hotel and is exported to it within 10 business days of termination on request.</w:t>
      </w:r>
    </w:p>
    <w:p>
      <w:pPr>
        <w:pStyle w:val="Heading1"/>
      </w:pPr>
      <w:r>
        <w:rPr>
          <w:color w:val="1F3864"/>
        </w:rPr>
        <w:t>8. Term, renewal, termination</w:t>
      </w:r>
    </w:p>
    <w:tbl>
      <w:tblPr>
        <w:tblStyle w:val="TableGrid"/>
        <w:tblW w:type="auto" w:w="0"/>
        <w:jc w:val="center"/>
        <w:tblLook w:firstColumn="1" w:firstRow="1" w:lastColumn="0" w:lastRow="0" w:noHBand="0" w:noVBand="1" w:val="04A0"/>
      </w:tblPr>
      <w:tblGrid>
        <w:gridCol w:w="4986"/>
        <w:gridCol w:w="4986"/>
      </w:tblGrid>
      <w:tr>
        <w:tc>
          <w:tcPr>
            <w:tcW w:type="dxa" w:w="2551"/>
          </w:tcPr>
          <w:p>
            <w:r/>
            <w:r>
              <w:rPr>
                <w:b/>
                <w:sz w:val="19"/>
              </w:rPr>
              <w:t>Item</w:t>
            </w:r>
          </w:p>
        </w:tc>
        <w:tc>
          <w:tcPr>
            <w:tcW w:type="dxa" w:w="6803"/>
          </w:tcPr>
          <w:p>
            <w:r/>
            <w:r>
              <w:rPr>
                <w:b/>
                <w:sz w:val="19"/>
              </w:rPr>
              <w:t>Terms</w:t>
            </w:r>
          </w:p>
        </w:tc>
      </w:tr>
      <w:tr>
        <w:tc>
          <w:tcPr>
            <w:tcW w:type="dxa" w:w="2551"/>
          </w:tcPr>
          <w:p>
            <w:r/>
            <w:r>
              <w:rPr>
                <w:sz w:val="19"/>
              </w:rPr>
              <w:t>Pilot term</w:t>
            </w:r>
          </w:p>
        </w:tc>
        <w:tc>
          <w:tcPr>
            <w:tcW w:type="dxa" w:w="6803"/>
          </w:tcPr>
          <w:p>
            <w:r/>
            <w:r>
              <w:rPr>
                <w:sz w:val="19"/>
              </w:rPr>
              <w:t>90 days from the pilot start date</w:t>
            </w:r>
          </w:p>
        </w:tc>
      </w:tr>
      <w:tr>
        <w:tc>
          <w:tcPr>
            <w:tcW w:type="dxa" w:w="2551"/>
          </w:tcPr>
          <w:p>
            <w:r/>
            <w:r>
              <w:rPr>
                <w:sz w:val="19"/>
              </w:rPr>
              <w:t>Renewal</w:t>
            </w:r>
          </w:p>
        </w:tc>
        <w:tc>
          <w:tcPr>
            <w:tcW w:type="dxa" w:w="6803"/>
          </w:tcPr>
          <w:p>
            <w:r/>
            <w:r>
              <w:rPr>
                <w:sz w:val="19"/>
              </w:rPr>
              <w:t>Only by written agreement before the pilot ends. No auto-renewal, no silent rollover</w:t>
            </w:r>
          </w:p>
        </w:tc>
      </w:tr>
      <w:tr>
        <w:tc>
          <w:tcPr>
            <w:tcW w:type="dxa" w:w="2551"/>
          </w:tcPr>
          <w:p>
            <w:r/>
            <w:r>
              <w:rPr>
                <w:sz w:val="19"/>
              </w:rPr>
              <w:t>Termination by the Hotel</w:t>
            </w:r>
          </w:p>
        </w:tc>
        <w:tc>
          <w:tcPr>
            <w:tcW w:type="dxa" w:w="6803"/>
          </w:tcPr>
          <w:p>
            <w:r/>
            <w:r>
              <w:rPr>
                <w:sz w:val="19"/>
              </w:rPr>
              <w:t>Any time, on 14 days' notice, without cause. Fees already paid are not refunded; fees after the notice period are not charged</w:t>
            </w:r>
          </w:p>
        </w:tc>
      </w:tr>
      <w:tr>
        <w:tc>
          <w:tcPr>
            <w:tcW w:type="dxa" w:w="2551"/>
          </w:tcPr>
          <w:p>
            <w:r/>
            <w:r>
              <w:rPr>
                <w:sz w:val="19"/>
              </w:rPr>
              <w:t>Termination by the Provider</w:t>
            </w:r>
          </w:p>
        </w:tc>
        <w:tc>
          <w:tcPr>
            <w:tcW w:type="dxa" w:w="6803"/>
          </w:tcPr>
          <w:p>
            <w:r/>
            <w:r>
              <w:rPr>
                <w:sz w:val="19"/>
              </w:rPr>
              <w:t>Any time, on 14 days' notice, without cause</w:t>
            </w:r>
          </w:p>
        </w:tc>
      </w:tr>
      <w:tr>
        <w:tc>
          <w:tcPr>
            <w:tcW w:type="dxa" w:w="2551"/>
          </w:tcPr>
          <w:p>
            <w:r/>
            <w:r>
              <w:rPr>
                <w:sz w:val="19"/>
              </w:rPr>
              <w:t>Immediate stop</w:t>
            </w:r>
          </w:p>
        </w:tc>
        <w:tc>
          <w:tcPr>
            <w:tcW w:type="dxa" w:w="6803"/>
          </w:tcPr>
          <w:p>
            <w:r/>
            <w:r>
              <w:rPr>
                <w:sz w:val="19"/>
              </w:rPr>
              <w:t>The Hotel may suspend all activity immediately by email at any time; platform-level spend ceilings remain in the Hotel's own accounts regardless</w:t>
            </w:r>
          </w:p>
        </w:tc>
      </w:tr>
      <w:tr>
        <w:tc>
          <w:tcPr>
            <w:tcW w:type="dxa" w:w="2551"/>
          </w:tcPr>
          <w:p>
            <w:r/>
            <w:r>
              <w:rPr>
                <w:sz w:val="19"/>
              </w:rPr>
              <w:t>On exit</w:t>
            </w:r>
          </w:p>
        </w:tc>
        <w:tc>
          <w:tcPr>
            <w:tcW w:type="dxa" w:w="6803"/>
          </w:tcPr>
          <w:p>
            <w:r/>
            <w:r>
              <w:rPr>
                <w:sz w:val="19"/>
              </w:rPr>
              <w:t>Manager access revoked; campaigns paused; knowledge base, audiences and bidding history handed over; accounts remain the Hotel's throughout</w:t>
            </w:r>
          </w:p>
        </w:tc>
      </w:tr>
      <w:tr>
        <w:tc>
          <w:tcPr>
            <w:tcW w:type="dxa" w:w="2551"/>
          </w:tcPr>
          <w:p>
            <w:r/>
            <w:r>
              <w:rPr>
                <w:sz w:val="19"/>
              </w:rPr>
              <w:t>Exclusivity</w:t>
            </w:r>
          </w:p>
        </w:tc>
        <w:tc>
          <w:tcPr>
            <w:tcW w:type="dxa" w:w="6803"/>
          </w:tcPr>
          <w:p>
            <w:r/>
            <w:r>
              <w:rPr>
                <w:sz w:val="19"/>
              </w:rPr>
              <w:t>None, in either direction</w:t>
            </w:r>
          </w:p>
        </w:tc>
      </w:tr>
    </w:tbl>
    <w:p/>
    <w:p>
      <w:pPr>
        <w:pStyle w:val="Heading1"/>
      </w:pPr>
      <w:r>
        <w:rPr>
          <w:color w:val="1F3864"/>
        </w:rPr>
        <w:t>9. What is binding (and what is not)</w:t>
      </w:r>
    </w:p>
    <w:p>
      <w:r>
        <w:rPr>
          <w:b w:val="0"/>
          <w:i w:val="0"/>
        </w:rPr>
        <w:t>This is a letter of intent, not a services agreement. Clauses 7 (data protection), 8 (termination and exit) and 10 (confidentiality) are intended to be binding on signature. Clauses 1–6 describe intentions and the parties agree to execute a short services agreement before the first invoice, using this letter as its skeleton. If the services agreement is not signed within 21 days, either party may end this letter by email with no liability.</w:t>
      </w:r>
    </w:p>
    <w:p>
      <w:r>
        <w:rPr>
          <w:b w:val="0"/>
          <w:i/>
          <w:sz w:val="18"/>
        </w:rPr>
        <w:t>Nothing here is legal advice to either party. Both parties are encouraged to have it reviewed by their own advisers — the Provider has, and will share its template.</w:t>
      </w:r>
    </w:p>
    <w:p>
      <w:pPr>
        <w:pStyle w:val="Heading1"/>
      </w:pPr>
      <w:r>
        <w:rPr>
          <w:color w:val="1F3864"/>
        </w:rPr>
        <w:t>10. Confidentiality</w:t>
      </w:r>
    </w:p>
    <w:p>
      <w:r>
        <w:rPr>
          <w:b w:val="0"/>
          <w:i w:val="0"/>
        </w:rPr>
        <w:t>Each party keeps the other's commercial information confidential, uses it only for this pilot, and does not disclose it except to advisers under equivalent obligations or as required by law. Performance data may be shared publicly only with the Hotel's written approval, in a form the Hotel has approved.</w:t>
      </w:r>
    </w:p>
    <w:p>
      <w:pPr>
        <w:pStyle w:val="Heading1"/>
      </w:pPr>
      <w:r>
        <w:rPr>
          <w:color w:val="1F3864"/>
        </w:rPr>
        <w:t>Signatures</w:t>
      </w:r>
    </w:p>
    <w:tbl>
      <w:tblPr>
        <w:tblStyle w:val="TableGrid"/>
        <w:tblW w:type="auto" w:w="0"/>
        <w:jc w:val="center"/>
        <w:tblLook w:firstColumn="1" w:firstRow="1" w:lastColumn="0" w:lastRow="0" w:noHBand="0" w:noVBand="1" w:val="04A0"/>
      </w:tblPr>
      <w:tblGrid>
        <w:gridCol w:w="4986"/>
        <w:gridCol w:w="4986"/>
      </w:tblGrid>
      <w:tr>
        <w:tc>
          <w:tcPr>
            <w:tcW w:type="dxa" w:w="4677"/>
          </w:tcPr>
          <w:p>
            <w:r/>
            <w:r>
              <w:rPr>
                <w:b/>
                <w:sz w:val="19"/>
              </w:rPr>
              <w:t>For the Hotel</w:t>
            </w:r>
          </w:p>
        </w:tc>
        <w:tc>
          <w:tcPr>
            <w:tcW w:type="dxa" w:w="4677"/>
          </w:tcPr>
          <w:p>
            <w:r/>
            <w:r>
              <w:rPr>
                <w:b/>
                <w:sz w:val="19"/>
              </w:rPr>
              <w:t>For Hotel Growth OS</w:t>
            </w:r>
          </w:p>
        </w:tc>
      </w:tr>
      <w:tr>
        <w:tc>
          <w:tcPr>
            <w:tcW w:type="dxa" w:w="4677"/>
          </w:tcPr>
          <w:p>
            <w:r/>
            <w:r>
              <w:rPr>
                <w:sz w:val="19"/>
              </w:rPr>
              <w:t xml:space="preserve">Name / role: </w:t>
            </w:r>
          </w:p>
        </w:tc>
        <w:tc>
          <w:tcPr>
            <w:tcW w:type="dxa" w:w="4677"/>
          </w:tcPr>
          <w:p>
            <w:r/>
            <w:r>
              <w:rPr>
                <w:sz w:val="19"/>
              </w:rPr>
              <w:t xml:space="preserve">Name / role: </w:t>
            </w:r>
          </w:p>
        </w:tc>
      </w:tr>
      <w:tr>
        <w:tc>
          <w:tcPr>
            <w:tcW w:type="dxa" w:w="4677"/>
          </w:tcPr>
          <w:p>
            <w:r/>
            <w:r>
              <w:rPr>
                <w:sz w:val="19"/>
              </w:rPr>
              <w:t xml:space="preserve">Signature: </w:t>
            </w:r>
          </w:p>
        </w:tc>
        <w:tc>
          <w:tcPr>
            <w:tcW w:type="dxa" w:w="4677"/>
          </w:tcPr>
          <w:p>
            <w:r/>
            <w:r>
              <w:rPr>
                <w:sz w:val="19"/>
              </w:rPr>
              <w:t xml:space="preserve">Signature: </w:t>
            </w:r>
          </w:p>
        </w:tc>
      </w:tr>
      <w:tr>
        <w:tc>
          <w:tcPr>
            <w:tcW w:type="dxa" w:w="4677"/>
          </w:tcPr>
          <w:p>
            <w:r/>
            <w:r>
              <w:rPr>
                <w:sz w:val="19"/>
              </w:rPr>
              <w:t xml:space="preserve">Date: </w:t>
            </w:r>
          </w:p>
        </w:tc>
        <w:tc>
          <w:tcPr>
            <w:tcW w:type="dxa" w:w="4677"/>
          </w:tcPr>
          <w:p>
            <w:r/>
            <w:r>
              <w:rPr>
                <w:sz w:val="19"/>
              </w:rPr>
              <w:t xml:space="preserve">Date: </w:t>
            </w:r>
          </w:p>
        </w:tc>
      </w:tr>
    </w:tbl>
    <w:p/>
    <w:p>
      <w:pPr>
        <w:pStyle w:val="Heading2"/>
      </w:pPr>
      <w:r>
        <w:rPr>
          <w:color w:val="1F3864"/>
        </w:rPr>
        <w:t>Annex A — Why the pilot rate is low, and what it buys</w:t>
      </w:r>
    </w:p>
    <w:p>
      <w:r>
        <w:rPr>
          <w:b w:val="0"/>
          <w:i w:val="0"/>
        </w:rPr>
        <w:t>The design-partner rate exists because the Provider is buying three things it cannot obtain any other way: a real hotel's data to test the measurement method against, permission to make mistakes on a small budget while the system is new, and honest feedback about whether the reports are actually decision-useful. In exchange the Hotel gets a rate below the going agency price, direct access to the person building the product, and an unusually explicit statement of what will be claimed and what will not.</w:t>
      </w:r>
    </w:p>
    <w:p>
      <w:r>
        <w:rPr>
          <w:b w:val="0"/>
          <w:i/>
        </w:rPr>
        <w:t>If the answer at day 90 is that this does not produce measured direct bookings, that is a useful result for both parties, and the Provider will say so in writing.</w:t>
      </w:r>
    </w:p>
    <w:p>
      <w:pPr>
        <w:pStyle w:val="Heading2"/>
      </w:pPr>
      <w:r>
        <w:rPr>
          <w:color w:val="1F3864"/>
        </w:rPr>
        <w:t>Annex B — The one question this pilot answers</w:t>
      </w:r>
    </w:p>
    <w:p>
      <w:r>
        <w:rPr>
          <w:b/>
          <w:i w:val="0"/>
        </w:rPr>
        <w:t>Are the direct bookings produced by this work above or below the OTA commission saved on them? Everything else — channel choice, campaign structure, content cadence — is an implementation detail in service of answering that question honestly.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