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3864"/>
        </w:rPr>
        <w:t>Onboarding Runbook — one hotel</w:t>
      </w:r>
    </w:p>
    <w:p>
      <w:r>
        <w:rPr>
          <w:b w:val="0"/>
          <w:i/>
        </w:rPr>
        <w:t>Target: 8 hours first time, 5 hours by the third hotel. Every hour above that is margin taken directly out of the engagement — at a 2-hour monthly support load the margin is 60.9%, and onboarding is where it goes.</w:t>
      </w:r>
    </w:p>
    <w:p>
      <w:pPr>
        <w:pStyle w:val="Heading1"/>
      </w:pPr>
      <w:r>
        <w:rPr>
          <w:color w:val="1F3864"/>
        </w:rPr>
        <w:t>Why the hours matter more than the fee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835"/>
          </w:tcPr>
          <w:p>
            <w:r/>
            <w:r>
              <w:rPr>
                <w:b/>
                <w:sz w:val="18"/>
              </w:rPr>
            </w:r>
          </w:p>
        </w:tc>
        <w:tc>
          <w:tcPr>
            <w:tcW w:type="dxa" w:w="1247"/>
          </w:tcPr>
          <w:p>
            <w:r/>
            <w:r>
              <w:rPr>
                <w:b/>
                <w:sz w:val="18"/>
              </w:rPr>
              <w:t>Hours</w:t>
            </w:r>
          </w:p>
        </w:tc>
        <w:tc>
          <w:tcPr>
            <w:tcW w:type="dxa" w:w="1928"/>
          </w:tcPr>
          <w:p>
            <w:r/>
            <w:r>
              <w:rPr>
                <w:b/>
                <w:sz w:val="18"/>
              </w:rPr>
              <w:t>Cost at ৳1,200/hr</w:t>
            </w:r>
          </w:p>
        </w:tc>
        <w:tc>
          <w:tcPr>
            <w:tcW w:type="dxa" w:w="3628"/>
          </w:tcPr>
          <w:p>
            <w:r/>
            <w:r>
              <w:rPr>
                <w:b/>
                <w:sz w:val="18"/>
              </w:rPr>
              <w:t>Effect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Fee for the first month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  <w:t>৳19,000</w:t>
            </w:r>
          </w:p>
        </w:tc>
        <w:tc>
          <w:tcPr>
            <w:tcW w:type="dxa" w:w="3628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Onboarding, first hotel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  <w:t>৳16,800</w:t>
            </w:r>
          </w:p>
        </w:tc>
        <w:tc>
          <w:tcPr>
            <w:tcW w:type="dxa" w:w="3628"/>
          </w:tcPr>
          <w:p>
            <w:r/>
            <w:r>
              <w:rPr>
                <w:sz w:val="18"/>
              </w:rPr>
              <w:t>Gross margin ≈ 3% in month one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Onboarding, target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  <w:t>৳9,600</w:t>
            </w:r>
          </w:p>
        </w:tc>
        <w:tc>
          <w:tcPr>
            <w:tcW w:type="dxa" w:w="3628"/>
          </w:tcPr>
          <w:p>
            <w:r/>
            <w:r>
              <w:rPr>
                <w:sz w:val="18"/>
              </w:rPr>
              <w:t>Gross margin ≈ 45% in month one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Onboarding, by hotel three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  <w:t>৳6,000</w:t>
            </w:r>
          </w:p>
        </w:tc>
        <w:tc>
          <w:tcPr>
            <w:tcW w:type="dxa" w:w="3628"/>
          </w:tcPr>
          <w:p>
            <w:r/>
            <w:r>
              <w:rPr>
                <w:sz w:val="18"/>
              </w:rPr>
              <w:t>Gross margin ≈ 64% in month one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Steady state, after month 3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2/month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  <w:t>৳2,400/month</w:t>
            </w:r>
          </w:p>
        </w:tc>
        <w:tc>
          <w:tcPr>
            <w:tcW w:type="dxa" w:w="3628"/>
          </w:tcPr>
          <w:p>
            <w:r/>
            <w:r>
              <w:rPr>
                <w:sz w:val="18"/>
              </w:rPr>
              <w:t>60.9% margin — the model's base case</w:t>
            </w:r>
          </w:p>
        </w:tc>
      </w:tr>
    </w:tbl>
    <w:p/>
    <w:p>
      <w:r>
        <w:rPr>
          <w:b w:val="0"/>
          <w:i w:val="0"/>
        </w:rPr>
        <w:t>The first hotel is nearly break-even on labour. That is normal and it is why you onboard three, not thirty. The runbook exists to make hotel two cheaper than hotel one.</w:t>
      </w:r>
    </w:p>
    <w:p>
      <w:r>
        <w:br w:type="page"/>
      </w:r>
    </w:p>
    <w:p>
      <w:pPr>
        <w:pStyle w:val="Heading1"/>
      </w:pPr>
      <w:r>
        <w:rPr>
          <w:color w:val="1F3864"/>
        </w:rPr>
        <w:t>The sequence</w:t>
      </w:r>
    </w:p>
    <w:p>
      <w:r>
        <w:rPr>
          <w:b w:val="0"/>
          <w:i w:val="0"/>
        </w:rPr>
        <w:t>Run the steps in this order. The order is not arbitrary: each step either costs or saves hours depending on whether the one before it is finished.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7"/>
        <w:gridCol w:w="2017"/>
        <w:gridCol w:w="2017"/>
        <w:gridCol w:w="2017"/>
        <w:gridCol w:w="2017"/>
      </w:tblGrid>
      <w:tr>
        <w:tc>
          <w:tcPr>
            <w:tcW w:type="dxa" w:w="454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2381"/>
          </w:tcPr>
          <w:p>
            <w:r/>
            <w:r>
              <w:rPr>
                <w:b/>
                <w:sz w:val="18"/>
              </w:rPr>
              <w:t>Step</w:t>
            </w:r>
          </w:p>
        </w:tc>
        <w:tc>
          <w:tcPr>
            <w:tcW w:type="dxa" w:w="907"/>
          </w:tcPr>
          <w:p>
            <w:r/>
            <w:r>
              <w:rPr>
                <w:b/>
                <w:sz w:val="18"/>
              </w:rPr>
              <w:t>Minutes</w:t>
            </w:r>
          </w:p>
        </w:tc>
        <w:tc>
          <w:tcPr>
            <w:tcW w:type="dxa" w:w="2211"/>
          </w:tcPr>
          <w:p>
            <w:r/>
            <w:r>
              <w:rPr>
                <w:b/>
                <w:sz w:val="18"/>
              </w:rPr>
              <w:t>Tool / artefact</w:t>
            </w:r>
          </w:p>
        </w:tc>
        <w:tc>
          <w:tcPr>
            <w:tcW w:type="dxa" w:w="2835"/>
          </w:tcPr>
          <w:p>
            <w:r/>
            <w:r>
              <w:rPr>
                <w:b/>
                <w:sz w:val="18"/>
              </w:rPr>
              <w:t>Why this order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2381"/>
          </w:tcPr>
          <w:p>
            <w:r/>
            <w:r>
              <w:rPr>
                <w:sz w:val="18"/>
              </w:rPr>
              <w:t>Sign the LOI and the measurement plan</w:t>
            </w:r>
          </w:p>
        </w:tc>
        <w:tc>
          <w:tcPr>
            <w:tcW w:type="dxa" w:w="907"/>
          </w:tcPr>
          <w:p>
            <w:r/>
            <w:r>
              <w:rPr>
                <w:sz w:val="18"/>
              </w:rPr>
              <w:t>30</w:t>
            </w:r>
          </w:p>
        </w:tc>
        <w:tc>
          <w:tcPr>
            <w:tcW w:type="dxa" w:w="2211"/>
          </w:tcPr>
          <w:p>
            <w:r/>
            <w:r>
              <w:rPr>
                <w:sz w:val="18"/>
              </w:rPr>
              <w:t>06-design-partner-loi.docx, 04-measurement-plan.docx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Never touch data before the counterfactual is agreed. Everything downstream depends on it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381"/>
          </w:tcPr>
          <w:p>
            <w:r/>
            <w:r>
              <w:rPr>
                <w:sz w:val="18"/>
              </w:rPr>
              <w:t>Collect exports (12 months + pilot)</w:t>
            </w:r>
          </w:p>
        </w:tc>
        <w:tc>
          <w:tcPr>
            <w:tcW w:type="dxa" w:w="907"/>
          </w:tcPr>
          <w:p>
            <w:r/>
            <w:r>
              <w:rPr>
                <w:sz w:val="18"/>
              </w:rPr>
              <w:t>45</w:t>
            </w:r>
          </w:p>
        </w:tc>
        <w:tc>
          <w:tcPr>
            <w:tcW w:type="dxa" w:w="2211"/>
          </w:tcPr>
          <w:p>
            <w:r/>
            <w:r>
              <w:rPr>
                <w:sz w:val="18"/>
              </w:rPr>
              <w:t>the eight CSVs in measurement/README.md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Self-serve where possible; the owner's patience is a finite resource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381"/>
          </w:tcPr>
          <w:p>
            <w:r/>
            <w:r>
              <w:rPr>
                <w:sz w:val="18"/>
              </w:rPr>
              <w:t>Baseline capture</w:t>
            </w:r>
          </w:p>
        </w:tc>
        <w:tc>
          <w:tcPr>
            <w:tcW w:type="dxa" w:w="907"/>
          </w:tcPr>
          <w:p>
            <w:r/>
            <w:r>
              <w:rPr>
                <w:sz w:val="18"/>
              </w:rPr>
              <w:t>20</w:t>
            </w:r>
          </w:p>
        </w:tc>
        <w:tc>
          <w:tcPr>
            <w:tcW w:type="dxa" w:w="2211"/>
          </w:tcPr>
          <w:p>
            <w:r/>
            <w:r>
              <w:rPr>
                <w:sz w:val="18"/>
              </w:rPr>
              <w:t>measurement baseline --hotel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Completes measurement plan §2 from data rather than memory; the owner corrects a table, not a blank form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381"/>
          </w:tcPr>
          <w:p>
            <w:r/>
            <w:r>
              <w:rPr>
                <w:sz w:val="18"/>
              </w:rPr>
              <w:t>Data audit</w:t>
            </w:r>
          </w:p>
        </w:tc>
        <w:tc>
          <w:tcPr>
            <w:tcW w:type="dxa" w:w="907"/>
          </w:tcPr>
          <w:p>
            <w:r/>
            <w:r>
              <w:rPr>
                <w:sz w:val="18"/>
              </w:rPr>
              <w:t>20</w:t>
            </w:r>
          </w:p>
        </w:tc>
        <w:tc>
          <w:tcPr>
            <w:tcW w:type="dxa" w:w="2211"/>
          </w:tcPr>
          <w:p>
            <w:r/>
            <w:r>
              <w:rPr>
                <w:sz w:val="18"/>
              </w:rPr>
              <w:t>measurement audit --hotel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Find the broken conversion event now, not in week three. Exits non-zero on blockers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2381"/>
          </w:tcPr>
          <w:p>
            <w:r/>
            <w:r>
              <w:rPr>
                <w:sz w:val="18"/>
              </w:rPr>
              <w:t>Access grants</w:t>
            </w:r>
          </w:p>
        </w:tc>
        <w:tc>
          <w:tcPr>
            <w:tcW w:type="dxa" w:w="907"/>
          </w:tcPr>
          <w:p>
            <w:r/>
            <w:r>
              <w:rPr>
                <w:sz w:val="18"/>
              </w:rPr>
              <w:t>60</w:t>
            </w:r>
          </w:p>
        </w:tc>
        <w:tc>
          <w:tcPr>
            <w:tcW w:type="dxa" w:w="2211"/>
          </w:tcPr>
          <w:p>
            <w:r/>
            <w:r>
              <w:rPr>
                <w:sz w:val="18"/>
              </w:rPr>
              <w:t>see the table below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Start invites early — several need another human to accept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381"/>
          </w:tcPr>
          <w:p>
            <w:r/>
            <w:r>
              <w:rPr>
                <w:sz w:val="18"/>
              </w:rPr>
              <w:t>Fix what the audit found</w:t>
            </w:r>
          </w:p>
        </w:tc>
        <w:tc>
          <w:tcPr>
            <w:tcW w:type="dxa" w:w="907"/>
          </w:tcPr>
          <w:p>
            <w:r/>
            <w:r>
              <w:rPr>
                <w:sz w:val="18"/>
              </w:rPr>
              <w:t>60–120</w:t>
            </w:r>
          </w:p>
        </w:tc>
        <w:tc>
          <w:tcPr>
            <w:tcW w:type="dxa" w:w="2211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The variable step. Budget more for the first hotel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2381"/>
          </w:tcPr>
          <w:p>
            <w:r/>
            <w:r>
              <w:rPr>
                <w:sz w:val="18"/>
              </w:rPr>
              <w:t>Knowledge interview</w:t>
            </w:r>
          </w:p>
        </w:tc>
        <w:tc>
          <w:tcPr>
            <w:tcW w:type="dxa" w:w="907"/>
          </w:tcPr>
          <w:p>
            <w:r/>
            <w:r>
              <w:rPr>
                <w:sz w:val="18"/>
              </w:rPr>
              <w:t>45</w:t>
            </w:r>
          </w:p>
        </w:tc>
        <w:tc>
          <w:tcPr>
            <w:tcW w:type="dxa" w:w="2211"/>
          </w:tcPr>
          <w:p>
            <w:r/>
            <w:r>
              <w:rPr>
                <w:sz w:val="18"/>
              </w:rPr>
              <w:t>Annex A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Recorded, 30–45 minutes. This is where agent output quality comes from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381"/>
          </w:tcPr>
          <w:p>
            <w:r/>
            <w:r>
              <w:rPr>
                <w:sz w:val="18"/>
              </w:rPr>
              <w:t>Sign the measurement plan with real numbers</w:t>
            </w:r>
          </w:p>
        </w:tc>
        <w:tc>
          <w:tcPr>
            <w:tcW w:type="dxa" w:w="907"/>
          </w:tcPr>
          <w:p>
            <w:r/>
            <w:r>
              <w:rPr>
                <w:sz w:val="18"/>
              </w:rPr>
              <w:t>30</w:t>
            </w:r>
          </w:p>
        </w:tc>
        <w:tc>
          <w:tcPr>
            <w:tcW w:type="dxa" w:w="2211"/>
          </w:tcPr>
          <w:p>
            <w:r/>
            <w:r>
              <w:rPr>
                <w:sz w:val="18"/>
              </w:rPr>
              <w:t>baseline.json → plan §2/§3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Sign with the property's own figures in front of them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2381"/>
          </w:tcPr>
          <w:p>
            <w:r/>
            <w:r>
              <w:rPr>
                <w:sz w:val="18"/>
              </w:rPr>
              <w:t>Set ceilings and approvers</w:t>
            </w:r>
          </w:p>
        </w:tc>
        <w:tc>
          <w:tcPr>
            <w:tcW w:type="dxa" w:w="907"/>
          </w:tcPr>
          <w:p>
            <w:r/>
            <w:r>
              <w:rPr>
                <w:sz w:val="18"/>
              </w:rPr>
              <w:t>20</w:t>
            </w:r>
          </w:p>
        </w:tc>
        <w:tc>
          <w:tcPr>
            <w:tcW w:type="dxa" w:w="2211"/>
          </w:tcPr>
          <w:p>
            <w:r/>
            <w:r>
              <w:rPr>
                <w:sz w:val="18"/>
              </w:rPr>
              <w:t>LOI §3, personnel records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Who may approve spend and posts, in writing, before anything runs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381"/>
          </w:tcPr>
          <w:p>
            <w:r/>
            <w:r>
              <w:rPr>
                <w:sz w:val="18"/>
              </w:rPr>
              <w:t>First report dry run</w:t>
            </w:r>
          </w:p>
        </w:tc>
        <w:tc>
          <w:tcPr>
            <w:tcW w:type="dxa" w:w="907"/>
          </w:tcPr>
          <w:p>
            <w:r/>
            <w:r>
              <w:rPr>
                <w:sz w:val="18"/>
              </w:rPr>
              <w:t>45</w:t>
            </w:r>
          </w:p>
        </w:tc>
        <w:tc>
          <w:tcPr>
            <w:tcW w:type="dxa" w:w="2211"/>
          </w:tcPr>
          <w:p>
            <w:r/>
            <w:r>
              <w:rPr>
                <w:sz w:val="18"/>
              </w:rPr>
              <w:t>measurement report --hotel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Read it together. Two wording changes now save five emails later</w:t>
            </w:r>
          </w:p>
        </w:tc>
      </w:tr>
    </w:tbl>
    <w:p/>
    <w:p>
      <w:pPr>
        <w:pStyle w:val="Heading1"/>
      </w:pPr>
      <w:r>
        <w:rPr>
          <w:color w:val="1F3864"/>
        </w:rPr>
        <w:t>Access grants — start these on day one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381"/>
          </w:tcPr>
          <w:p>
            <w:r/>
            <w:r>
              <w:rPr>
                <w:b/>
                <w:sz w:val="18"/>
              </w:rPr>
              <w:t>Access</w:t>
            </w:r>
          </w:p>
        </w:tc>
        <w:tc>
          <w:tcPr>
            <w:tcW w:type="dxa" w:w="1701"/>
          </w:tcPr>
          <w:p>
            <w:r/>
            <w:r>
              <w:rPr>
                <w:b/>
                <w:sz w:val="18"/>
              </w:rPr>
              <w:t>Who must do it</w:t>
            </w:r>
          </w:p>
        </w:tc>
        <w:tc>
          <w:tcPr>
            <w:tcW w:type="dxa" w:w="1247"/>
          </w:tcPr>
          <w:p>
            <w:r/>
            <w:r>
              <w:rPr>
                <w:b/>
                <w:sz w:val="18"/>
              </w:rPr>
              <w:t>Typical wait</w:t>
            </w:r>
          </w:p>
        </w:tc>
        <w:tc>
          <w:tcPr>
            <w:tcW w:type="dxa" w:w="3628"/>
          </w:tcPr>
          <w:p>
            <w:r/>
            <w:r>
              <w:rPr>
                <w:b/>
                <w:sz w:val="18"/>
              </w:rPr>
              <w:t>Common failure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8"/>
              </w:rPr>
              <w:t>GA4 property read + admin for conversions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Property's web person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Same day</w:t>
            </w:r>
          </w:p>
        </w:tc>
        <w:tc>
          <w:tcPr>
            <w:tcW w:type="dxa" w:w="3628"/>
          </w:tcPr>
          <w:p>
            <w:r/>
            <w:r>
              <w:rPr>
                <w:sz w:val="18"/>
              </w:rPr>
              <w:t>Nobody knows who owns the GA4 property. Ask for the login list first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8"/>
              </w:rPr>
              <w:t>Search Console read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Property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Same day</w:t>
            </w:r>
          </w:p>
        </w:tc>
        <w:tc>
          <w:tcPr>
            <w:tcW w:type="dxa" w:w="3628"/>
          </w:tcPr>
          <w:p>
            <w:r/>
            <w:r>
              <w:rPr>
                <w:sz w:val="18"/>
              </w:rPr>
              <w:t>Verified on an old domain, not the live one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8"/>
              </w:rPr>
              <w:t>Google Ads manager-account link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Property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1–2 days</w:t>
            </w:r>
          </w:p>
        </w:tc>
        <w:tc>
          <w:tcPr>
            <w:tcW w:type="dxa" w:w="3628"/>
          </w:tcPr>
          <w:p>
            <w:r/>
            <w:r>
              <w:rPr>
                <w:sz w:val="18"/>
              </w:rPr>
              <w:t>They share a password instead. Do not accept it — link the accounts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8"/>
              </w:rPr>
              <w:t>Google Business Profile manager access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Property owner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1–3 days</w:t>
            </w:r>
          </w:p>
        </w:tc>
        <w:tc>
          <w:tcPr>
            <w:tcW w:type="dxa" w:w="3628"/>
          </w:tcPr>
          <w:p>
            <w:r/>
            <w:r>
              <w:rPr>
                <w:sz w:val="18"/>
              </w:rPr>
              <w:t>Invite sits unaccepted. Chase it twice, then schedule a call to accept it together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8"/>
              </w:rPr>
              <w:t>Booking engine reporting export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Booking engine vendor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1–5 days</w:t>
            </w:r>
          </w:p>
        </w:tc>
        <w:tc>
          <w:tcPr>
            <w:tcW w:type="dxa" w:w="3628"/>
          </w:tcPr>
          <w:p>
            <w:r/>
            <w:r>
              <w:rPr>
                <w:sz w:val="18"/>
              </w:rPr>
              <w:t>They only offer PDF. Ask for CSV or a scheduled email export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8"/>
              </w:rPr>
              <w:t>PMS / channel manager month-end report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Front office manager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1–3 days</w:t>
            </w:r>
          </w:p>
        </w:tc>
        <w:tc>
          <w:tcPr>
            <w:tcW w:type="dxa" w:w="3628"/>
          </w:tcPr>
          <w:p>
            <w:r/>
            <w:r>
              <w:rPr>
                <w:sz w:val="18"/>
              </w:rPr>
              <w:t>Staff turnover: the person who knows the report has left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8"/>
              </w:rPr>
              <w:t>Ad account billing stays with the property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Property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3628"/>
          </w:tcPr>
          <w:p>
            <w:r/>
            <w:r>
              <w:rPr>
                <w:sz w:val="18"/>
              </w:rPr>
              <w:t>Never take this on. See LOI §4</w:t>
            </w:r>
          </w:p>
        </w:tc>
      </w:tr>
    </w:tbl>
    <w:p/>
    <w:p>
      <w:pPr>
        <w:pStyle w:val="Heading1"/>
      </w:pPr>
      <w:r>
        <w:rPr>
          <w:color w:val="1F3864"/>
        </w:rPr>
        <w:t>Step 6 — the variable step, and where the hours hide</w:t>
      </w:r>
    </w:p>
    <w:p>
      <w:r>
        <w:rPr>
          <w:b w:val="0"/>
          <w:i w:val="0"/>
        </w:rPr>
        <w:t>In practice this is the only step that overruns, and it is always one of these four. If the audit is clean, this step is near zero — which is the entire argument for running the audit.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494"/>
          </w:tcPr>
          <w:p>
            <w:r/>
            <w:r>
              <w:rPr>
                <w:b/>
                <w:sz w:val="18"/>
              </w:rPr>
              <w:t>Symptom the audit reports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Actual cause</w:t>
            </w:r>
          </w:p>
        </w:tc>
        <w:tc>
          <w:tcPr>
            <w:tcW w:type="dxa" w:w="2608"/>
          </w:tcPr>
          <w:p>
            <w:r/>
            <w:r>
              <w:rPr>
                <w:b/>
                <w:sz w:val="18"/>
              </w:rPr>
              <w:t>Fix</w:t>
            </w:r>
          </w:p>
        </w:tc>
        <w:tc>
          <w:tcPr>
            <w:tcW w:type="dxa" w:w="1361"/>
          </w:tcPr>
          <w:p>
            <w:r/>
            <w:r>
              <w:rPr>
                <w:b/>
                <w:sz w:val="18"/>
              </w:rPr>
              <w:t>Typical time</w:t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8"/>
              </w:rPr>
              <w:t>Conversions and bookings do not correlate</w:t>
            </w:r>
          </w:p>
        </w:tc>
        <w:tc>
          <w:tcPr>
            <w:tcW w:type="dxa" w:w="2494"/>
          </w:tcPr>
          <w:p>
            <w:r/>
            <w:r>
              <w:rPr>
                <w:sz w:val="18"/>
              </w:rPr>
              <w:t>Conversion event fires on the wrong page, or on a thank-you page that reloads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Re-point the event at the booking-confirmed step; de-duplicate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60–90 min</w:t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8"/>
              </w:rPr>
              <w:t>Attribution coverage above 70%</w:t>
            </w:r>
          </w:p>
        </w:tc>
        <w:tc>
          <w:tcPr>
            <w:tcW w:type="dxa" w:w="2494"/>
          </w:tcPr>
          <w:p>
            <w:r/>
            <w:r>
              <w:rPr>
                <w:sz w:val="18"/>
              </w:rPr>
              <w:t>Site-wide UTM, or the booking record defaults the flag to true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Scope the campaign parameter to actual campaign landings; default to false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45 min</w:t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8"/>
              </w:rPr>
              <w:t>Attribution coverage below 10% with spend running</w:t>
            </w:r>
          </w:p>
        </w:tc>
        <w:tc>
          <w:tcPr>
            <w:tcW w:type="dxa" w:w="2494"/>
          </w:tcPr>
          <w:p>
            <w:r/>
            <w:r>
              <w:rPr>
                <w:sz w:val="18"/>
              </w:rPr>
              <w:t>The campaign parameter is dropped between landing and booking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Persist the parameter on the session and write it to the booking record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60–120 min</w:t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8"/>
              </w:rPr>
              <w:t>OTA room-nights disagree with the engine</w:t>
            </w:r>
          </w:p>
        </w:tc>
        <w:tc>
          <w:tcPr>
            <w:tcW w:type="dxa" w:w="2494"/>
          </w:tcPr>
          <w:p>
            <w:r/>
            <w:r>
              <w:rPr>
                <w:sz w:val="18"/>
              </w:rPr>
              <w:t>Booking-date vs stay-date reporting, or cancellations landing in one system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Agree which source is authoritative for which metric, and print the difference in every report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30 min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3864"/>
        </w:rPr>
        <w:t>Annex A — knowledge interview guide (30–45 minutes, recorded)</w:t>
      </w:r>
    </w:p>
    <w:p>
      <w:r>
        <w:rPr>
          <w:b w:val="0"/>
          <w:i w:val="0"/>
        </w:rPr>
        <w:t>This is the highest-leverage 45 minutes in the engagement. Everything the content and media agents produce is conditioned on what you capture here, and nothing here is obtainable from a website.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454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649"/>
          </w:tcPr>
          <w:p>
            <w:r/>
            <w:r>
              <w:rPr>
                <w:b/>
                <w:sz w:val="18"/>
              </w:rPr>
              <w:t>Question</w:t>
            </w:r>
          </w:p>
        </w:tc>
        <w:tc>
          <w:tcPr>
            <w:tcW w:type="dxa" w:w="3685"/>
          </w:tcPr>
          <w:p>
            <w:r/>
            <w:r>
              <w:rPr>
                <w:b/>
                <w:sz w:val="18"/>
              </w:rPr>
              <w:t>What you are actually listening for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4649"/>
          </w:tcPr>
          <w:p>
            <w:r/>
            <w:r>
              <w:rPr>
                <w:sz w:val="18"/>
              </w:rPr>
              <w:t>Who is your best guest, and describe the last one who booked direct.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The real segment, not the marketing one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4649"/>
          </w:tcPr>
          <w:p>
            <w:r/>
            <w:r>
              <w:rPr>
                <w:sz w:val="18"/>
              </w:rPr>
              <w:t>What do guests get wrong about the property before they arrive?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Expectation gaps that content should close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4649"/>
          </w:tcPr>
          <w:p>
            <w:r/>
            <w:r>
              <w:rPr>
                <w:sz w:val="18"/>
              </w:rPr>
              <w:t>What do you refuse to be? Name three hotels people compare you to and why you are not them.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Brand boundaries — the most useful thing for tone-of-voice work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4649"/>
          </w:tcPr>
          <w:p>
            <w:r/>
            <w:r>
              <w:rPr>
                <w:sz w:val="18"/>
              </w:rPr>
              <w:t>What is selling right now, and what is not?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Offers worth promoting, and the ones to keep quiet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4649"/>
          </w:tcPr>
          <w:p>
            <w:r/>
            <w:r>
              <w:rPr>
                <w:sz w:val="18"/>
              </w:rPr>
              <w:t>What can you discount without damaging the rate? What must never be discounted?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The guardrail that stops a cheap-volume win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4649"/>
          </w:tcPr>
          <w:p>
            <w:r/>
            <w:r>
              <w:rPr>
                <w:sz w:val="18"/>
              </w:rPr>
              <w:t>Which dates do you always sell out, and which do you never fill?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Where the work is genuinely incremental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4649"/>
          </w:tcPr>
          <w:p>
            <w:r/>
            <w:r>
              <w:rPr>
                <w:sz w:val="18"/>
              </w:rPr>
              <w:t>What do guests ask on the phone that the website should answer?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Content topics that convert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4649"/>
          </w:tcPr>
          <w:p>
            <w:r/>
            <w:r>
              <w:rPr>
                <w:sz w:val="18"/>
              </w:rPr>
              <w:t>What has a previous agency or freelancer done that you did not like?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The objection you will otherwise hit in month two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4649"/>
          </w:tcPr>
          <w:p>
            <w:r/>
            <w:r>
              <w:rPr>
                <w:sz w:val="18"/>
              </w:rPr>
              <w:t>Who besides you can approve a post, and who can approve spend?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The approval map, in writing, before anything runs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4649"/>
          </w:tcPr>
          <w:p>
            <w:r/>
            <w:r>
              <w:rPr>
                <w:sz w:val="18"/>
              </w:rPr>
              <w:t>If this works, what will you see that tells you so?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Their success definition — align the primary metric to it, or at least explain the difference</w:t>
            </w:r>
          </w:p>
        </w:tc>
      </w:tr>
    </w:tbl>
    <w:p/>
    <w:p>
      <w:r>
        <w:rPr>
          <w:b w:val="0"/>
          <w:i/>
          <w:sz w:val="18"/>
        </w:rPr>
        <w:t>Write the answers into knowledge_doc rows with kind = 'brand_voice', 'persona', 'offer' or 'fact_sheet', and mark them active only after the property has approved them. Versioned knowledge beats re-asking in three months.</w:t>
      </w:r>
    </w:p>
    <w:p>
      <w:pPr>
        <w:pStyle w:val="Heading1"/>
      </w:pPr>
      <w:r>
        <w:rPr>
          <w:color w:val="1F3864"/>
        </w:rPr>
        <w:t>Annex B — the hours log, and why you must keep it</w:t>
      </w:r>
    </w:p>
    <w:p>
      <w:r>
        <w:rPr>
          <w:b w:val="0"/>
          <w:i w:val="0"/>
        </w:rPr>
        <w:t>Every onboarding and support session goes in onboarding/hours.csv. Summarise it with:</w:t>
      </w:r>
    </w:p>
    <w:p>
      <w:r>
        <w:rPr>
          <w:b/>
          <w:i w:val="0"/>
        </w:rPr>
        <w:t xml:space="preserve">    python3 -m measurement.cli hours --log onboarding/hours.csv</w:t>
      </w:r>
    </w:p>
    <w:p>
      <w:r>
        <w:rPr>
          <w:b w:val="0"/>
          <w:i w:val="0"/>
        </w:rPr>
        <w:t>That command prints hours per hotel and hours per step, worst first — which is your automation backlog in priority order. Do not guess at what to automate next; the log tells you, and it is the difference between building the thing that saves hours and building the thing that is interesting.</w:t>
      </w:r>
    </w:p>
    <w:p>
      <w:pPr>
        <w:pStyle w:val="Heading1"/>
      </w:pPr>
      <w:r>
        <w:rPr>
          <w:color w:val="1F3864"/>
        </w:rPr>
        <w:t>Annex C — the exit at the other end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1701"/>
          </w:tcPr>
          <w:p>
            <w:r/>
            <w:r>
              <w:rPr>
                <w:b/>
                <w:sz w:val="18"/>
              </w:rPr>
              <w:t>When</w:t>
            </w:r>
          </w:p>
        </w:tc>
        <w:tc>
          <w:tcPr>
            <w:tcW w:type="dxa" w:w="7087"/>
          </w:tcPr>
          <w:p>
            <w:r/>
            <w:r>
              <w:rPr>
                <w:b/>
                <w:sz w:val="18"/>
              </w:rPr>
              <w:t>Do this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At kickoff</w:t>
            </w:r>
          </w:p>
        </w:tc>
        <w:tc>
          <w:tcPr>
            <w:tcW w:type="dxa" w:w="7087"/>
          </w:tcPr>
          <w:p>
            <w:r/>
            <w:r>
              <w:rPr>
                <w:sz w:val="18"/>
              </w:rPr>
              <w:t>Confirm in writing who owns each account; the property does, always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Monthly</w:t>
            </w:r>
          </w:p>
        </w:tc>
        <w:tc>
          <w:tcPr>
            <w:tcW w:type="dxa" w:w="7087"/>
          </w:tcPr>
          <w:p>
            <w:r/>
            <w:r>
              <w:rPr>
                <w:sz w:val="18"/>
              </w:rPr>
              <w:t>Reread the hours log. If support hours are climbing, fix delivery before selling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At 90 days</w:t>
            </w:r>
          </w:p>
        </w:tc>
        <w:tc>
          <w:tcPr>
            <w:tcW w:type="dxa" w:w="7087"/>
          </w:tcPr>
          <w:p>
            <w:r/>
            <w:r>
              <w:rPr>
                <w:sz w:val="18"/>
              </w:rPr>
              <w:t>Deliver the verdict from the report, including a stop. Record it in the plan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On exit</w:t>
            </w:r>
          </w:p>
        </w:tc>
        <w:tc>
          <w:tcPr>
            <w:tcW w:type="dxa" w:w="7087"/>
          </w:tcPr>
          <w:p>
            <w:r/>
            <w:r>
              <w:rPr>
                <w:sz w:val="18"/>
              </w:rPr>
              <w:t>Revoke manager access, pause campaigns, export data, hand over knowledge, confirm in writing</w:t>
            </w:r>
          </w:p>
        </w:tc>
      </w:tr>
    </w:tbl>
    <w:p/>
    <w:sectPr w:rsidR="00FC693F" w:rsidRPr="0006063C" w:rsidSect="00034616">
      <w:pgSz w:w="12240" w:h="15840"/>
      <w:pgMar w:top="964" w:right="1077" w:bottom="964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