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Monthly Report — Sea Breeze Resort</w:t>
      </w:r>
    </w:p>
    <w:p>
      <w:r>
        <w:rPr>
          <w:b w:val="0"/>
          <w:i/>
          <w:sz w:val="18"/>
        </w:rPr>
        <w:t>Cox's Bazar  ·  window: 2025-10 to 2025-12 (3 months)  ·  prepared 2026-09-16 05:05</w:t>
      </w:r>
    </w:p>
    <w:p>
      <w:r>
        <w:rPr>
          <w:b/>
          <w:i w:val="0"/>
        </w:rPr>
        <w:t>SCALE — Scale — 137% of target, above break-even</w:t>
      </w:r>
    </w:p>
    <w:p>
      <w:r>
        <w:rPr>
          <w:b w:val="0"/>
          <w:i/>
          <w:sz w:val="18"/>
        </w:rPr>
        <w:t>Increased spend is justified. Above break-even, guardrails intact, data reconciled.</w:t>
      </w:r>
    </w:p>
    <w:p>
      <w:r>
        <w:rPr>
          <w:b/>
          <w:i w:val="0"/>
          <w:sz w:val="18"/>
        </w:rPr>
        <w:t>SAMPLE REPORT — generated from synthetic data for demonstration. Not a real property.</w:t>
      </w:r>
    </w:p>
    <w:p>
      <w:pPr>
        <w:pStyle w:val="Heading1"/>
      </w:pPr>
      <w:r>
        <w:rPr>
          <w:color w:val="1F3864"/>
        </w:rPr>
        <w:t>1.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3628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8"/>
              </w:rPr>
              <w:t>This window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Per month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Target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Break-even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8"/>
              </w:rPr>
              <w:t>PRIMARY — incremental direct room-nights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247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82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180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139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8"/>
              </w:rPr>
              <w:t>VALUE — commission avoided (BDT)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৳367,092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৳122,364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8"/>
              </w:rPr>
              <w:t>Cost (media + fee, BDT)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৳207,000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৳69,000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8"/>
              </w:rPr>
              <w:t>Net gain (BDT)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৳160,092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৳53,364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8"/>
              </w:rPr>
              <w:t>Cost per incremental booking (BDT)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৳2,512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8"/>
              </w:rPr>
              <w:t>GUARDRAIL — direct value per room-night (BDT)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৳10,910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৳10,979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8"/>
              </w:rPr>
              <w:t>GUARDRAIL — OTA commission paid (BDT)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৳5,728,140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  <w:i w:val="0"/>
        </w:rPr>
        <w:t>How the primary metric was derived:</w:t>
      </w:r>
    </w:p>
    <w:p>
      <w:r>
        <w:rPr>
          <w:b w:val="0"/>
          <w:i w:val="0"/>
        </w:rPr>
        <w:t>Observed direct room-nights (1,233) less the same window last year (930) adjusted by a market trend factor of 1.060 = 986 expected. Difference counted as incremental.</w:t>
      </w:r>
    </w:p>
    <w:p>
      <w:r>
        <w:rPr>
          <w:b w:val="0"/>
          <w:i w:val="0"/>
          <w:sz w:val="18"/>
        </w:rPr>
        <w:t>· No haircut is applied to this design: last year's performance is itself the counterfactual.</w:t>
      </w:r>
    </w:p>
    <w:p>
      <w:r>
        <w:rPr>
          <w:b w:val="0"/>
          <w:i w:val="0"/>
          <w:sz w:val="18"/>
        </w:rPr>
        <w:t>· Trend factor 1.060 is an agreed input from the signed measurement plan, not a fitted value.</w:t>
      </w:r>
    </w:p>
    <w:p>
      <w:r>
        <w:rPr>
          <w:b w:val="0"/>
          <w:i/>
          <w:sz w:val="18"/>
        </w:rPr>
        <w:t>Cross-check under the stricter alternative method (conservative_attribution): 155 incremental room-nights, ৳230,769 (Campaign-attributed direct room-nights (259) reduced by the agreed haircut of 40%, on the assumption that the remainder would have booked anyway.)</w:t>
      </w:r>
    </w:p>
    <w:p>
      <w:pPr>
        <w:pStyle w:val="Heading1"/>
      </w:pPr>
      <w:r>
        <w:rPr>
          <w:color w:val="1F3864"/>
        </w:rPr>
        <w:t>2. Reconciliation — where the numbers came from and where they disagree</w:t>
      </w:r>
    </w:p>
    <w:p>
      <w:r>
        <w:rPr>
          <w:b w:val="0"/>
          <w:i w:val="0"/>
        </w:rPr>
        <w:t>All sources reconcile within the agreed tolerance.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18"/>
              </w:rPr>
              <w:t>Sources compared</w:t>
            </w:r>
          </w:p>
        </w:tc>
        <w:tc>
          <w:tcPr>
            <w:tcW w:type="dxa" w:w="1077"/>
          </w:tcPr>
          <w:p>
            <w:r/>
            <w:r>
              <w:rPr>
                <w:b/>
                <w:sz w:val="18"/>
              </w:rPr>
              <w:t>Spread</w:t>
            </w:r>
          </w:p>
        </w:tc>
        <w:tc>
          <w:tcPr>
            <w:tcW w:type="dxa" w:w="1871"/>
          </w:tcPr>
          <w:p>
            <w:r/>
            <w:r>
              <w:rPr>
                <w:b/>
                <w:sz w:val="18"/>
              </w:rPr>
              <w:t>Within tolerance?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Room-nights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PMS (authoritative): 4,471 vs Booking engine: 4,083 vs OTA statements (OTA only): 2,890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8.7%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Direct room-nights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PMS-derived (total vs OTA): 1,581 vs Booking engine (direct + phone): 1,233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0.0%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Effective OTA commission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Actual (statements): 18.0% vs Used in this report (signed plan): 18.0%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0.0%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Web conversions vs booked room-nights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GA4 conversions: 398 vs Booking engine room-nights: 4,083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90.2%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Search clicks by query class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Brand: 1,588 vs Non-brand: 1,693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0.0%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yes</w:t>
            </w:r>
          </w:p>
        </w:tc>
      </w:tr>
    </w:tbl>
    <w:p/>
    <w:p>
      <w:r>
        <w:rPr>
          <w:b w:val="0"/>
          <w:i/>
          <w:sz w:val="17"/>
        </w:rPr>
        <w:t>Room-nights: PMS is the source of truth for total room-nights. The booking engine misses stays entered by hand at the desk (walk-ins, corporate, phone bookings not logged in the engine).</w:t>
      </w:r>
    </w:p>
    <w:p>
      <w:r>
        <w:rPr>
          <w:b w:val="0"/>
          <w:i/>
          <w:sz w:val="17"/>
        </w:rPr>
        <w:t>Direct room-nights: Direct volume is derived two ways: total PMS room-nights less OTA statement room-nights, and directly from the booking engine. The first over-counts walk-ins and comps; the second under-counts untracked phone bookings. The primary metric uses the booking engine.</w:t>
      </w:r>
    </w:p>
    <w:p>
      <w:r>
        <w:rPr>
          <w:b w:val="0"/>
          <w:i/>
          <w:sz w:val="17"/>
        </w:rPr>
        <w:t>Effective OTA commission: The commission rate is the entire economic basis of this engagement. If the statements show a materially different effective rate from the signed plan, the plan is updated — not the number quietly.</w:t>
      </w:r>
    </w:p>
    <w:p>
      <w:r>
        <w:rPr>
          <w:b w:val="0"/>
          <w:i/>
          <w:sz w:val="17"/>
        </w:rPr>
        <w:t>Web conversions vs booked room-nights: Not expected to agree, and not used in the primary metric. GA4 records sessions and form events, loses cross-device journeys to cookie limits, and cannot see OTA-completed stays. It is used for direction of travel, never for volume.</w:t>
      </w:r>
    </w:p>
    <w:p>
      <w:r>
        <w:rPr>
          <w:b w:val="0"/>
          <w:i/>
          <w:sz w:val="17"/>
        </w:rPr>
        <w:t>Search clicks by query class: Reported separately because branded clicks are largely demand the property already owned. Claiming them as growth is the most common way hotel marketing reports flatter themselves.</w:t>
      </w:r>
    </w:p>
    <w:p>
      <w:pPr>
        <w:pStyle w:val="Heading1"/>
      </w:pPr>
      <w:r>
        <w:rPr>
          <w:color w:val="1F3864"/>
        </w:rPr>
        <w:t>3. What we did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Action class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8"/>
              </w:rPr>
              <w:t>Count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18"/>
              </w:rPr>
              <w:t>Examples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18"/>
              </w:rPr>
              <w:t>Decided by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financial increasing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raise_budget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irreversible brand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publish_gbp_post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approved, rejected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reversible neutral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build_report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auto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reversible reducing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add_negative_keywords, lower_bid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auto</w:t>
            </w:r>
          </w:p>
        </w:tc>
      </w:tr>
    </w:tbl>
    <w:p/>
    <w:p>
      <w:r>
        <w:rPr>
          <w:b w:val="0"/>
          <w:i w:val="0"/>
          <w:sz w:val="18"/>
        </w:rPr>
        <w:t>16 logged actions, 15 executed. Nothing classed irreversible or financial was executed without a recorded approval.</w:t>
      </w:r>
    </w:p>
    <w:p>
      <w:r>
        <w:rPr>
          <w:b w:val="0"/>
          <w:i w:val="0"/>
          <w:sz w:val="18"/>
        </w:rPr>
        <w:t>1 item(s) were proposed and rejected — shown here rather than omitted:</w:t>
      </w:r>
    </w:p>
    <w:p>
      <w:r>
        <w:rPr>
          <w:b w:val="0"/>
          <w:i w:val="0"/>
          <w:sz w:val="17"/>
        </w:rPr>
        <w:t>· 2025-10-08 publish_gbp_post — rejected</w:t>
      </w:r>
    </w:p>
    <w:p>
      <w:pPr>
        <w:pStyle w:val="Heading1"/>
      </w:pPr>
      <w:r>
        <w:rPr>
          <w:color w:val="1F3864"/>
        </w:rPr>
        <w:t>4. What we spent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685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8"/>
              </w:rPr>
              <w:t>This window (BDT)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8"/>
              </w:rPr>
              <w:t>Per month (BDT)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Media — paid search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৳108,000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৳36,000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Media — other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৳42,000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৳14,000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Engagement fee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৳57,000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৳19,000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৳207,000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৳69,000</w:t>
            </w:r>
          </w:p>
        </w:tc>
      </w:tr>
    </w:tbl>
    <w:p/>
    <w:p>
      <w:r>
        <w:rPr>
          <w:b w:val="0"/>
          <w:i/>
          <w:sz w:val="18"/>
        </w:rPr>
        <w:t>Media spend is paid by the property directly to the platform. It is never routed through the provider and never exceeds the written ceiling.</w:t>
      </w:r>
    </w:p>
    <w:p>
      <w:pPr>
        <w:pStyle w:val="Heading1"/>
      </w:pPr>
      <w:r>
        <w:rPr>
          <w:color w:val="1F3864"/>
        </w:rPr>
        <w:t>5. What we learned</w:t>
      </w:r>
    </w:p>
    <w:p>
      <w:r>
        <w:rPr>
          <w:b w:val="0"/>
          <w:i w:val="0"/>
        </w:rPr>
        <w:t>· Branded search produced 48% of search clicks. Those are largely guests who already knew the property; the non-brand share is the part this work can influence.</w:t>
      </w:r>
    </w:p>
    <w:p>
      <w:r>
        <w:rPr>
          <w:b w:val="0"/>
          <w:i w:val="0"/>
        </w:rPr>
        <w:t>· Paid media: 12,750 clicks at ৳12 each, 231 platform-reported conversions — treated as directional only.</w:t>
      </w:r>
    </w:p>
    <w:p>
      <w:r>
        <w:rPr>
          <w:b w:val="0"/>
          <w:i w:val="0"/>
        </w:rPr>
        <w:t>· Of 1,233 direct room-nights in this window, 247 (20%) are counted as incremental after the agreed adjustment. The remainder is attributed to demand the property already owned.</w:t>
      </w:r>
    </w:p>
    <w:p>
      <w:r>
        <w:rPr>
          <w:b w:val="0"/>
          <w:i w:val="0"/>
        </w:rPr>
        <w:t>· The two admissible methods disagree by 92 room-nights. The plan's method is reported as primary, but a result that only survives under one method should be treated as soft.</w:t>
      </w:r>
    </w:p>
    <w:p>
      <w:r>
        <w:rPr>
          <w:b w:val="0"/>
          <w:i w:val="0"/>
        </w:rPr>
        <w:t>· Latest month's direct volume is up against the running average of the window.</w:t>
      </w:r>
    </w:p>
    <w:p>
      <w:pPr>
        <w:pStyle w:val="Heading1"/>
      </w:pPr>
      <w:r>
        <w:rPr>
          <w:color w:val="1F3864"/>
        </w:rPr>
        <w:t>6. Decisions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020"/>
          </w:tcPr>
          <w:p>
            <w:r/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8164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164"/>
          </w:tcPr>
          <w:p>
            <w:r/>
            <w:r>
              <w:rPr>
                <w:sz w:val="18"/>
              </w:rPr>
              <w:t>Increase budget within the approved ceiling, in one step, with the delta recorded.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164"/>
          </w:tcPr>
          <w:p>
            <w:r/>
            <w:r>
              <w:rPr>
                <w:sz w:val="18"/>
              </w:rPr>
              <w:t>Watch cost per incremental booking for two windows before raising again.</w:t>
            </w:r>
          </w:p>
        </w:tc>
      </w:tr>
    </w:tbl>
    <w:p/>
    <w:p>
      <w:r>
        <w:rPr>
          <w:b w:val="0"/>
          <w:i w:val="0"/>
          <w:sz w:val="18"/>
        </w:rPr>
        <w:t>Break-even for this window: 139 incremental room-nights (46 per month). Review point: Next month.</w:t>
      </w:r>
    </w:p>
    <w:p>
      <w:r>
        <w:rPr>
          <w:b w:val="0"/>
          <w:i w:val="0"/>
          <w:sz w:val="18"/>
        </w:rPr>
        <w:t>Approvals are requested through the recorded queue; nothing public or financial proceeds without one.</w:t>
      </w:r>
    </w:p>
    <w:p>
      <w:pPr>
        <w:pStyle w:val="Heading1"/>
      </w:pPr>
      <w:r>
        <w:rPr>
          <w:color w:val="1F3864"/>
        </w:rPr>
        <w:t>7. Honest status</w:t>
      </w:r>
    </w:p>
    <w:p>
      <w:r>
        <w:rPr>
          <w:b/>
          <w:i w:val="0"/>
        </w:rPr>
        <w:t>SCALE: Scale — 137% of target, above break-even</w:t>
      </w:r>
    </w:p>
    <w:p>
      <w:r>
        <w:rPr>
          <w:b w:val="0"/>
          <w:i w:val="0"/>
          <w:sz w:val="18"/>
        </w:rPr>
        <w:t>· Produced 247 incremental direct room-nights against a target of 180 (137%) and a break-even of 46</w:t>
      </w:r>
    </w:p>
    <w:p>
      <w:r>
        <w:rPr>
          <w:b/>
          <w:i w:val="0"/>
        </w:rPr>
        <w:t>One line: ahead of target and above break-even — 247 incremental room-nights worth ৳367,092 against ৳207,000 of cost (৳160,092 net).</w:t>
      </w:r>
    </w:p>
    <w:p>
      <w:pPr>
        <w:pStyle w:val="Heading2"/>
      </w:pPr>
      <w:r>
        <w:rPr>
          <w:color w:val="1F3864"/>
        </w:rPr>
        <w:t>Seasonality check</w:t>
      </w:r>
    </w:p>
    <w:p>
      <w:r>
        <w:rPr>
          <w:b/>
          <w:i w:val="0"/>
        </w:rPr>
        <w:t>Peak-to-trough ratio 3.94 — a seasonal business (annual reliability, 15 months observed).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1247"/>
          </w:tcPr>
          <w:p>
            <w:r/>
            <w:r>
              <w:rPr>
                <w:b/>
                <w:sz w:val="18"/>
              </w:rPr>
              <w:t>Month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01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02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03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04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05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06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07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08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09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10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11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12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Index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1.41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1.24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1.10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0.90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0.76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0.43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0.39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0.52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0.66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1.01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1.24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1.49</w:t>
            </w:r>
          </w:p>
        </w:tc>
      </w:tr>
    </w:tbl>
    <w:p/>
    <w:p>
      <w:r>
        <w:rPr>
          <w:b w:val="0"/>
          <w:i w:val="0"/>
          <w:sz w:val="18"/>
        </w:rPr>
        <w:t>This window's seasonal index is 1.245 against a full year of 1.00 — representative.</w:t>
      </w:r>
    </w:p>
    <w:p>
      <w:r>
        <w:rPr>
          <w:b w:val="0"/>
          <w:i w:val="0"/>
          <w:sz w:val="18"/>
        </w:rPr>
        <w:t>Break-even is producible in 15 of 15 observed months. Verdict on the fee as sold: VIABLE.</w:t>
      </w:r>
    </w:p>
    <w:p>
      <w:r>
        <w:rPr>
          <w:b w:val="0"/>
          <w:i w:val="0"/>
          <w:sz w:val="18"/>
        </w:rPr>
        <w:t>· Break-even is producible in all 15 observed months — the flat monthly fee is defensible.</w:t>
      </w:r>
    </w:p>
    <w:p>
      <w:pPr>
        <w:pStyle w:val="Heading1"/>
      </w:pPr>
      <w:r>
        <w:rPr>
          <w:color w:val="1F3864"/>
        </w:rPr>
        <w:t>What this report does not claim</w:t>
      </w:r>
    </w:p>
    <w:p>
      <w:r>
        <w:rPr>
          <w:b w:val="0"/>
          <w:i w:val="0"/>
          <w:sz w:val="18"/>
        </w:rPr>
        <w:t>· Platform-reported ROAS. It counts bookings that would have happened anyway and cannot see the commission saved.</w:t>
      </w:r>
    </w:p>
    <w:p>
      <w:r>
        <w:rPr>
          <w:b w:val="0"/>
          <w:i w:val="0"/>
          <w:sz w:val="18"/>
        </w:rPr>
        <w:t>· OTA bookings as growth. OTA demand is the property's existing base.</w:t>
      </w:r>
    </w:p>
    <w:p>
      <w:r>
        <w:rPr>
          <w:b w:val="0"/>
          <w:i w:val="0"/>
          <w:sz w:val="18"/>
        </w:rPr>
        <w:t>· Walk-ins, untracked phone bookings, or corporate accounts.</w:t>
      </w:r>
    </w:p>
    <w:p>
      <w:r>
        <w:rPr>
          <w:b w:val="0"/>
          <w:i w:val="0"/>
          <w:sz w:val="18"/>
        </w:rPr>
        <w:t>· Any effect on dates the property would have sold out regardless.</w:t>
      </w:r>
    </w:p>
    <w:p>
      <w:r>
        <w:rPr>
          <w:b w:val="0"/>
          <w:i w:val="0"/>
          <w:sz w:val="18"/>
        </w:rPr>
        <w:t>· Anything measured in a window with an unrecorded anomaly.</w:t>
      </w:r>
    </w:p>
    <w:p>
      <w:pPr>
        <w:pStyle w:val="Heading1"/>
      </w:pPr>
      <w:r>
        <w:rPr>
          <w:color w:val="1F3864"/>
        </w:rPr>
        <w:t>Appendix — data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2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Rows</w:t>
            </w:r>
          </w:p>
        </w:tc>
        <w:tc>
          <w:tcPr>
            <w:tcW w:type="dxa" w:w="4082"/>
          </w:tcPr>
          <w:p>
            <w:r/>
            <w:r>
              <w:rPr>
                <w:b/>
                <w:sz w:val="18"/>
              </w:rPr>
              <w:t>Period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GA4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1,463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2024-10-01 → 2025-12-31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Search Console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914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2024-10-01 → 2025-12-31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Booking engine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2,027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2024-10-01 → 2025-12-31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PMS / channel manager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2024-10 → 2025-12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OTA statements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2024-10 → 2025-12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Media spend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2025-10 → 2025-12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Fees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2025-10 → 2025-12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Action ledger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2025-10-08 → 2025-12-08</w:t>
            </w:r>
          </w:p>
        </w:tc>
      </w:tr>
    </w:tbl>
    <w:p/>
    <w:p>
      <w:r>
        <w:rPr>
          <w:b w:val="0"/>
          <w:i/>
          <w:sz w:val="18"/>
        </w:rPr>
        <w:t>Every figure in this report traces to these files. If a source disagrees with another, the disagreement is in §2, not smoothed over.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