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Monthly Report — Hotel Sylhet Grand</w:t>
      </w:r>
    </w:p>
    <w:p>
      <w:r>
        <w:rPr>
          <w:b w:val="0"/>
          <w:i/>
          <w:sz w:val="18"/>
        </w:rPr>
        <w:t>Sylhet  ·  window: 2025-10 to 2025-12 (3 months)  ·  prepared 2026-09-16 05:05</w:t>
      </w:r>
    </w:p>
    <w:p>
      <w:r>
        <w:rPr>
          <w:b/>
          <w:i w:val="0"/>
        </w:rPr>
        <w:t>STOP — Stop or re-scope — 19% of target after 3 months of clean data</w:t>
      </w:r>
    </w:p>
    <w:p>
      <w:r>
        <w:rPr>
          <w:b w:val="0"/>
          <w:i/>
          <w:sz w:val="18"/>
        </w:rPr>
        <w:t>The honest recommendation is to stop or re-scope. This is written before you have to ask.</w:t>
      </w:r>
    </w:p>
    <w:p>
      <w:r>
        <w:rPr>
          <w:b/>
          <w:i w:val="0"/>
          <w:sz w:val="18"/>
        </w:rPr>
        <w:t>SAMPLE REPORT — generated from synthetic data for demonstration. Not a real property.</w:t>
      </w:r>
    </w:p>
    <w:p>
      <w:pPr>
        <w:pStyle w:val="Heading1"/>
      </w:pPr>
      <w:r>
        <w:rPr>
          <w:color w:val="1F3864"/>
        </w:rPr>
        <w:t>1.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3628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This window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Per month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Target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Break-even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PRIMARY — incremental direct room-nights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120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257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VALUE — commission avoided (BDT)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৳14,288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৳4,763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Cost (media + fee, BDT)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৳162,000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৳54,000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Net gain (BDT)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৳-147,712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৳-49,237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Cost per incremental booking (BDT)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৳21,429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GUARDRAIL — direct value per room-night (BDT)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৳5,927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৳5,950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GUARDRAIL — OTA commission paid (BDT)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৳1,287,000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  <w:i w:val="0"/>
        </w:rPr>
        <w:t>How the primary metric was derived:</w:t>
      </w:r>
    </w:p>
    <w:p>
      <w:r>
        <w:rPr>
          <w:b w:val="0"/>
          <w:i w:val="0"/>
        </w:rPr>
        <w:t>Observed direct room-nights (369) less the same window last year (333) adjusted by a market trend factor of 1.040 = 346 expected. Difference counted as incremental.</w:t>
      </w:r>
    </w:p>
    <w:p>
      <w:r>
        <w:rPr>
          <w:b w:val="0"/>
          <w:i w:val="0"/>
          <w:sz w:val="18"/>
        </w:rPr>
        <w:t>· No haircut is applied to this design: last year's performance is itself the counterfactual.</w:t>
      </w:r>
    </w:p>
    <w:p>
      <w:r>
        <w:rPr>
          <w:b w:val="0"/>
          <w:i w:val="0"/>
          <w:sz w:val="18"/>
        </w:rPr>
        <w:t>· Trend factor 1.040 is an agreed input from the signed measurement plan, not a fitted value.</w:t>
      </w:r>
    </w:p>
    <w:p>
      <w:r>
        <w:rPr>
          <w:b w:val="0"/>
          <w:i/>
          <w:sz w:val="18"/>
        </w:rPr>
        <w:t>Cross-check under the stricter alternative method (conservative_attribution): 15 incremental room-nights, ৳9,450 (Campaign-attributed direct room-nights (25) reduced by the agreed haircut of 40%, on the assumption that the remainder would have booked anyway.)</w:t>
      </w:r>
    </w:p>
    <w:p>
      <w:pPr>
        <w:pStyle w:val="Heading1"/>
      </w:pPr>
      <w:r>
        <w:rPr>
          <w:color w:val="1F3864"/>
        </w:rPr>
        <w:t>2. Reconciliation — where the numbers came from and where they disagree</w:t>
      </w:r>
    </w:p>
    <w:p>
      <w:r>
        <w:rPr>
          <w:b w:val="0"/>
          <w:i w:val="0"/>
        </w:rPr>
        <w:t>All sources reconcile within the agreed tolerance.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18"/>
              </w:rPr>
              <w:t>Sources compared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8"/>
              </w:rPr>
              <w:t>Spread</w:t>
            </w:r>
          </w:p>
        </w:tc>
        <w:tc>
          <w:tcPr>
            <w:tcW w:type="dxa" w:w="1871"/>
          </w:tcPr>
          <w:p>
            <w:r/>
            <w:r>
              <w:rPr>
                <w:b/>
                <w:sz w:val="18"/>
              </w:rPr>
              <w:t>Within tolerance?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Room-nights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PMS (authoritative): 1,907 vs Booking engine: 1,779 vs OTA statements (OTA only): 1,425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6.7%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Direct room-nights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PMS-derived (total vs OTA): 482 vs Booking engine (direct + phone): 369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0.0%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Effective OTA commission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Actual (statements): 15.0% vs Used in this report (signed plan): 15.0%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0.0%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Web conversions vs booked room-nights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GA4 conversions: 392 vs Booking engine room-nights: 1,779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78.0%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Search clicks by query class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Brand: 1,565 vs Non-brand: 1,669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0.0%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yes</w:t>
            </w:r>
          </w:p>
        </w:tc>
      </w:tr>
    </w:tbl>
    <w:p/>
    <w:p>
      <w:r>
        <w:rPr>
          <w:b w:val="0"/>
          <w:i/>
          <w:sz w:val="17"/>
        </w:rPr>
        <w:t>Room-nights: PMS is the source of truth for total room-nights. The booking engine misses stays entered by hand at the desk (walk-ins, corporate, phone bookings not logged in the engine).</w:t>
      </w:r>
    </w:p>
    <w:p>
      <w:r>
        <w:rPr>
          <w:b w:val="0"/>
          <w:i/>
          <w:sz w:val="17"/>
        </w:rPr>
        <w:t>Direct room-nights: Direct volume is derived two ways: total PMS room-nights less OTA statement room-nights, and directly from the booking engine. The first over-counts walk-ins and comps; the second under-counts untracked phone bookings. The primary metric uses the booking engine.</w:t>
      </w:r>
    </w:p>
    <w:p>
      <w:r>
        <w:rPr>
          <w:b w:val="0"/>
          <w:i/>
          <w:sz w:val="17"/>
        </w:rPr>
        <w:t>Effective OTA commission: The commission rate is the entire economic basis of this engagement. If the statements show a materially different effective rate from the signed plan, the plan is updated — not the number quietly.</w:t>
      </w:r>
    </w:p>
    <w:p>
      <w:r>
        <w:rPr>
          <w:b w:val="0"/>
          <w:i/>
          <w:sz w:val="17"/>
        </w:rPr>
        <w:t>Web conversions vs booked room-nights: Not expected to agree, and not used in the primary metric. GA4 records sessions and form events, loses cross-device journeys to cookie limits, and cannot see OTA-completed stays. It is used for direction of travel, never for volume.</w:t>
      </w:r>
    </w:p>
    <w:p>
      <w:r>
        <w:rPr>
          <w:b w:val="0"/>
          <w:i/>
          <w:sz w:val="17"/>
        </w:rPr>
        <w:t>Search clicks by query class: Reported separately because branded clicks are largely demand the property already owned. Claiming them as growth is the most common way hotel marketing reports flatter themselves.</w:t>
      </w:r>
    </w:p>
    <w:p>
      <w:pPr>
        <w:pStyle w:val="Heading1"/>
      </w:pPr>
      <w:r>
        <w:rPr>
          <w:color w:val="1F3864"/>
        </w:rPr>
        <w:t>3. What we did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Action class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8"/>
              </w:rPr>
              <w:t>Count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18"/>
              </w:rPr>
              <w:t>Examples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18"/>
              </w:rPr>
              <w:t>Decided by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financial increasing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raise_budget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irreversible brand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publish_gbp_post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approved, rejected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reversible neutral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build_report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auto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reversible reducing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add_negative_keywords, lower_bid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auto</w:t>
            </w:r>
          </w:p>
        </w:tc>
      </w:tr>
    </w:tbl>
    <w:p/>
    <w:p>
      <w:r>
        <w:rPr>
          <w:b w:val="0"/>
          <w:i w:val="0"/>
          <w:sz w:val="18"/>
        </w:rPr>
        <w:t>16 logged actions, 15 executed. Nothing classed irreversible or financial was executed without a recorded approval.</w:t>
      </w:r>
    </w:p>
    <w:p>
      <w:r>
        <w:rPr>
          <w:b w:val="0"/>
          <w:i w:val="0"/>
          <w:sz w:val="18"/>
        </w:rPr>
        <w:t>1 item(s) were proposed and rejected — shown here rather than omitted:</w:t>
      </w:r>
    </w:p>
    <w:p>
      <w:r>
        <w:rPr>
          <w:b w:val="0"/>
          <w:i w:val="0"/>
          <w:sz w:val="17"/>
        </w:rPr>
        <w:t>· 2025-10-08 publish_gbp_post — rejected</w:t>
      </w:r>
    </w:p>
    <w:p>
      <w:pPr>
        <w:pStyle w:val="Heading1"/>
      </w:pPr>
      <w:r>
        <w:rPr>
          <w:color w:val="1F3864"/>
        </w:rPr>
        <w:t>4. What we spent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685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This window (BDT)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Per month (BDT)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Media — paid search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৳75,600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৳25,200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Media — other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৳29,400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৳9,800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Engagement fee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৳57,000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৳19,000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৳162,000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৳54,000</w:t>
            </w:r>
          </w:p>
        </w:tc>
      </w:tr>
    </w:tbl>
    <w:p/>
    <w:p>
      <w:r>
        <w:rPr>
          <w:b w:val="0"/>
          <w:i/>
          <w:sz w:val="18"/>
        </w:rPr>
        <w:t>Media spend is paid by the property directly to the platform. It is never routed through the provider and never exceeds the written ceiling.</w:t>
      </w:r>
    </w:p>
    <w:p>
      <w:pPr>
        <w:pStyle w:val="Heading1"/>
      </w:pPr>
      <w:r>
        <w:rPr>
          <w:color w:val="1F3864"/>
        </w:rPr>
        <w:t>5. What we learned</w:t>
      </w:r>
    </w:p>
    <w:p>
      <w:r>
        <w:rPr>
          <w:b w:val="0"/>
          <w:i w:val="0"/>
        </w:rPr>
        <w:t>· Branded search produced 48% of search clicks. Those are largely guests who already knew the property; the non-brand share is the part this work can influence.</w:t>
      </w:r>
    </w:p>
    <w:p>
      <w:r>
        <w:rPr>
          <w:b w:val="0"/>
          <w:i w:val="0"/>
        </w:rPr>
        <w:t>· Paid media: 8,925 clicks at ৳12 each, 159 platform-reported conversions — treated as directional only.</w:t>
      </w:r>
    </w:p>
    <w:p>
      <w:r>
        <w:rPr>
          <w:b w:val="0"/>
          <w:i w:val="0"/>
        </w:rPr>
        <w:t>· Of 369 direct room-nights in this window, 23 (6%) are counted as incremental after the agreed adjustment. The remainder is attributed to demand the property already owned.</w:t>
      </w:r>
    </w:p>
    <w:p>
      <w:r>
        <w:rPr>
          <w:b w:val="0"/>
          <w:i w:val="0"/>
        </w:rPr>
        <w:t>· The two admissible methods disagree by 8 room-nights. The plan's method is reported as primary, but a result that only survives under one method should be treated as soft.</w:t>
      </w:r>
    </w:p>
    <w:p>
      <w:r>
        <w:rPr>
          <w:b w:val="0"/>
          <w:i w:val="0"/>
        </w:rPr>
        <w:t>· Feasibility: break-even needs a 77% lift in incremental direct volume; anything above 60% is not a promise worth making</w:t>
      </w:r>
    </w:p>
    <w:p>
      <w:r>
        <w:rPr>
          <w:b w:val="0"/>
          <w:i w:val="0"/>
        </w:rPr>
        <w:t>· Latest month's direct volume is up against the running average of the window.</w:t>
      </w:r>
    </w:p>
    <w:p>
      <w:pPr>
        <w:pStyle w:val="Heading1"/>
      </w:pPr>
      <w:r>
        <w:rPr>
          <w:color w:val="1F3864"/>
        </w:rPr>
        <w:t>6. Decisions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020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8164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164"/>
          </w:tcPr>
          <w:p>
            <w:r/>
            <w:r>
              <w:rPr>
                <w:sz w:val="18"/>
              </w:rPr>
              <w:t>Recommend stopping, in writing, before the hotel has to ask.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164"/>
          </w:tcPr>
          <w:p>
            <w:r/>
            <w:r>
              <w:rPr>
                <w:sz w:val="18"/>
              </w:rPr>
              <w:t>If the hotel wishes to continue, re-scope to measurement-only and re-agree the target first.</w:t>
            </w:r>
          </w:p>
        </w:tc>
      </w:tr>
    </w:tbl>
    <w:p/>
    <w:p>
      <w:r>
        <w:rPr>
          <w:b w:val="0"/>
          <w:i w:val="0"/>
          <w:sz w:val="18"/>
        </w:rPr>
        <w:t>Break-even for this window: 257 incremental room-nights (86 per month). Review point: Decision point — 30 days.</w:t>
      </w:r>
    </w:p>
    <w:p>
      <w:r>
        <w:rPr>
          <w:b w:val="0"/>
          <w:i w:val="0"/>
          <w:sz w:val="18"/>
        </w:rPr>
        <w:t>Approvals are requested through the recorded queue; nothing public or financial proceeds without one.</w:t>
      </w:r>
    </w:p>
    <w:p>
      <w:pPr>
        <w:pStyle w:val="Heading1"/>
      </w:pPr>
      <w:r>
        <w:rPr>
          <w:color w:val="1F3864"/>
        </w:rPr>
        <w:t>7. Honest status</w:t>
      </w:r>
    </w:p>
    <w:p>
      <w:r>
        <w:rPr>
          <w:b/>
          <w:i w:val="0"/>
        </w:rPr>
        <w:t>STOP: Stop or re-scope — 19% of target after 3 months of clean data</w:t>
      </w:r>
    </w:p>
    <w:p>
      <w:r>
        <w:rPr>
          <w:b w:val="0"/>
          <w:i w:val="0"/>
          <w:sz w:val="18"/>
        </w:rPr>
        <w:t>· Feasibility check: break-even needs 86 incremental room-nights at this property's economics — break-even needs a 77% lift in incremental direct volume; anything above 60% is not a promise worth making</w:t>
      </w:r>
    </w:p>
    <w:p>
      <w:r>
        <w:rPr>
          <w:b w:val="0"/>
          <w:i w:val="0"/>
          <w:sz w:val="18"/>
        </w:rPr>
        <w:t>· Produced 23 incremental direct room-nights against a target of 120 (19%) and a break-even of 86</w:t>
      </w:r>
    </w:p>
    <w:p>
      <w:r>
        <w:rPr>
          <w:b w:val="0"/>
          <w:i w:val="0"/>
          <w:sz w:val="18"/>
        </w:rPr>
        <w:t>· Below 50% of target with reconciled data and no guardrail breach: the work is not producing measurable direct demand at this property.</w:t>
      </w:r>
    </w:p>
    <w:p>
      <w:r>
        <w:rPr>
          <w:b/>
          <w:i w:val="0"/>
        </w:rPr>
        <w:t>One line: behind — 23 incremental room-nights against a break-even of 86; the work is not creating measurable direct demand at this property.</w:t>
      </w:r>
    </w:p>
    <w:p>
      <w:pPr>
        <w:pStyle w:val="Heading2"/>
      </w:pPr>
      <w:r>
        <w:rPr>
          <w:color w:val="1F3864"/>
        </w:rPr>
        <w:t>Seasonality check</w:t>
      </w:r>
    </w:p>
    <w:p>
      <w:r>
        <w:rPr>
          <w:b/>
          <w:i w:val="0"/>
        </w:rPr>
        <w:t>Peak-to-trough ratio 3.92 — a seasonal business (annual reliability, 15 months observed).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1247"/>
          </w:tcPr>
          <w:p>
            <w:r/>
            <w:r>
              <w:rPr>
                <w:b/>
                <w:sz w:val="18"/>
              </w:rPr>
              <w:t>Month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01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02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03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04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05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06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07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08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09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10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11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12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Index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1.39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1.22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1.10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0.94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0.76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0.46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0.39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0.50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0.64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1.04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1.23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1.54</w:t>
            </w:r>
          </w:p>
        </w:tc>
      </w:tr>
    </w:tbl>
    <w:p/>
    <w:p>
      <w:r>
        <w:rPr>
          <w:b w:val="0"/>
          <w:i w:val="0"/>
          <w:sz w:val="18"/>
        </w:rPr>
        <w:t>This window's seasonal index is 1.273 against a full year of 1.00 — NOT representative of a year.</w:t>
      </w:r>
    </w:p>
    <w:p>
      <w:r>
        <w:rPr>
          <w:b w:val="0"/>
          <w:i w:val="0"/>
          <w:sz w:val="18"/>
        </w:rPr>
        <w:t>Break-even is producible in 0 of 15 observed months. Verdict on the fee as sold: NOT_VIABLE.</w:t>
      </w:r>
    </w:p>
    <w:p>
      <w:r>
        <w:rPr>
          <w:b w:val="0"/>
          <w:i w:val="0"/>
          <w:sz w:val="18"/>
        </w:rPr>
        <w:t>· Break-even is producible in only 0 of 15 months (2024-10, 2024-11, 2024-12, 2025-01… cannot pay back).</w:t>
      </w:r>
    </w:p>
    <w:p>
      <w:r>
        <w:rPr>
          <w:b w:val="0"/>
          <w:i w:val="0"/>
          <w:sz w:val="18"/>
        </w:rPr>
        <w:t>· The annual average says this hotel is viable; the month-by-month arithmetic says it is viable only in part of the year. Signing a flat monthly fee here would mean charging through the season the hotel cannot earn in.</w:t>
      </w:r>
    </w:p>
    <w:p>
      <w:r>
        <w:rPr>
          <w:b w:val="0"/>
          <w:i w:val="0"/>
          <w:sz w:val="18"/>
        </w:rPr>
        <w:t>Months that cannot pay back: 2024-10, 2024-11, 2024-12, 2025-01, 2025-02, 2025-03, 2025-04, 2025-05, 2025-06, 2025-07, 2025-08, 2025-09, 2025-10, 2025-11, 2025-12.</w:t>
      </w:r>
    </w:p>
    <w:p>
      <w:pPr>
        <w:pStyle w:val="Heading1"/>
      </w:pPr>
      <w:r>
        <w:rPr>
          <w:color w:val="1F3864"/>
        </w:rPr>
        <w:t>What this report does not claim</w:t>
      </w:r>
    </w:p>
    <w:p>
      <w:r>
        <w:rPr>
          <w:b w:val="0"/>
          <w:i w:val="0"/>
          <w:sz w:val="18"/>
        </w:rPr>
        <w:t>· Platform-reported ROAS. It counts bookings that would have happened anyway and cannot see the commission saved.</w:t>
      </w:r>
    </w:p>
    <w:p>
      <w:r>
        <w:rPr>
          <w:b w:val="0"/>
          <w:i w:val="0"/>
          <w:sz w:val="18"/>
        </w:rPr>
        <w:t>· OTA bookings as growth. OTA demand is the property's existing base.</w:t>
      </w:r>
    </w:p>
    <w:p>
      <w:r>
        <w:rPr>
          <w:b w:val="0"/>
          <w:i w:val="0"/>
          <w:sz w:val="18"/>
        </w:rPr>
        <w:t>· Walk-ins, untracked phone bookings, or corporate accounts.</w:t>
      </w:r>
    </w:p>
    <w:p>
      <w:r>
        <w:rPr>
          <w:b w:val="0"/>
          <w:i w:val="0"/>
          <w:sz w:val="18"/>
        </w:rPr>
        <w:t>· Any effect on dates the property would have sold out regardless.</w:t>
      </w:r>
    </w:p>
    <w:p>
      <w:r>
        <w:rPr>
          <w:b w:val="0"/>
          <w:i w:val="0"/>
          <w:sz w:val="18"/>
        </w:rPr>
        <w:t>· Anything measured in a window with an unrecorded anomaly.</w:t>
      </w:r>
    </w:p>
    <w:p>
      <w:pPr>
        <w:pStyle w:val="Heading1"/>
      </w:pPr>
      <w:r>
        <w:rPr>
          <w:color w:val="1F3864"/>
        </w:rPr>
        <w:t>Appendix — 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Rows</w:t>
            </w:r>
          </w:p>
        </w:tc>
        <w:tc>
          <w:tcPr>
            <w:tcW w:type="dxa" w:w="4082"/>
          </w:tcPr>
          <w:p>
            <w:r/>
            <w:r>
              <w:rPr>
                <w:b/>
                <w:sz w:val="18"/>
              </w:rPr>
              <w:t>Period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GA4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1,463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2024-10-01 → 2025-12-31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Search Console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914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2024-10-01 → 2025-12-31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Booking engine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1,234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2024-10-01 → 2025-12-31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PMS / channel manager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2024-10 → 2025-12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OTA statements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2024-10 → 2025-12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Media spend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2025-10 → 2025-12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Fees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2025-10 → 2025-12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Action ledger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2025-10-08 → 2025-12-08</w:t>
            </w:r>
          </w:p>
        </w:tc>
      </w:tr>
    </w:tbl>
    <w:p/>
    <w:p>
      <w:r>
        <w:rPr>
          <w:b w:val="0"/>
          <w:i/>
          <w:sz w:val="18"/>
        </w:rPr>
        <w:t>Every figure in this report traces to these files. If a source disagrees with another, the disagreement is in §2, not smoothed over.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