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FC4C" w14:textId="77777777" w:rsidR="00DA3EFA" w:rsidRDefault="00DA3EFA" w:rsidP="00DA3EFA">
      <w:pPr>
        <w:jc w:val="left"/>
        <w:rPr>
          <w:rFonts w:cs="Arial"/>
          <w:b/>
          <w:color w:val="1F497D"/>
          <w:sz w:val="72"/>
          <w:szCs w:val="72"/>
        </w:rPr>
      </w:pPr>
      <w:r>
        <w:rPr>
          <w:noProof/>
          <w:lang w:eastAsia="en-GB"/>
        </w:rPr>
        <w:drawing>
          <wp:inline distT="0" distB="0" distL="0" distR="0" wp14:anchorId="2A9BCDC3" wp14:editId="36317DBE">
            <wp:extent cx="2667043" cy="946800"/>
            <wp:effectExtent l="0" t="0" r="0" b="0"/>
            <wp:docPr id="2" name="Picture 2" descr="C:\Users\andrewss\Desktop\bioinforma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ss\Desktop\bioinformatics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43" cy="946800"/>
                    </a:xfrm>
                    <a:prstGeom prst="rect">
                      <a:avLst/>
                    </a:prstGeom>
                    <a:noFill/>
                    <a:ln>
                      <a:noFill/>
                    </a:ln>
                  </pic:spPr>
                </pic:pic>
              </a:graphicData>
            </a:graphic>
          </wp:inline>
        </w:drawing>
      </w:r>
    </w:p>
    <w:p w14:paraId="45D7DFB4" w14:textId="77777777" w:rsidR="00DA3EFA" w:rsidRDefault="00DA3EFA" w:rsidP="00DA3EFA">
      <w:pPr>
        <w:jc w:val="center"/>
        <w:rPr>
          <w:rFonts w:cs="Arial"/>
          <w:b/>
          <w:color w:val="1F497D"/>
          <w:sz w:val="72"/>
          <w:szCs w:val="72"/>
        </w:rPr>
      </w:pPr>
    </w:p>
    <w:p w14:paraId="05ADCC0B" w14:textId="77777777" w:rsidR="00DA3EFA" w:rsidRDefault="00DA3EFA" w:rsidP="00DA3EFA">
      <w:pPr>
        <w:jc w:val="center"/>
        <w:rPr>
          <w:rFonts w:cs="Arial"/>
          <w:b/>
          <w:color w:val="1F497D"/>
          <w:sz w:val="72"/>
          <w:szCs w:val="72"/>
        </w:rPr>
      </w:pPr>
    </w:p>
    <w:p w14:paraId="777978B1" w14:textId="77777777" w:rsidR="00DA3EFA" w:rsidRDefault="00DA3EFA" w:rsidP="00DA3EFA">
      <w:pPr>
        <w:jc w:val="center"/>
        <w:rPr>
          <w:rFonts w:cs="Arial"/>
          <w:b/>
          <w:color w:val="1F497D"/>
          <w:sz w:val="72"/>
          <w:szCs w:val="72"/>
        </w:rPr>
      </w:pPr>
    </w:p>
    <w:p w14:paraId="0A180F12" w14:textId="77777777" w:rsidR="00DA3EFA" w:rsidRDefault="00DA3EFA" w:rsidP="00DA3EFA">
      <w:pPr>
        <w:jc w:val="center"/>
        <w:rPr>
          <w:rFonts w:cs="Arial"/>
          <w:b/>
          <w:color w:val="1F497D"/>
          <w:sz w:val="72"/>
          <w:szCs w:val="72"/>
        </w:rPr>
      </w:pPr>
    </w:p>
    <w:p w14:paraId="5806E740" w14:textId="77777777" w:rsidR="00DA5AA1" w:rsidRDefault="00DA3EFA" w:rsidP="00DA3EFA">
      <w:pPr>
        <w:jc w:val="center"/>
        <w:rPr>
          <w:color w:val="1F497D"/>
        </w:rPr>
      </w:pPr>
      <w:r w:rsidRPr="00DA3EFA">
        <w:rPr>
          <w:rFonts w:cs="Arial"/>
          <w:b/>
          <w:color w:val="1F497D"/>
          <w:sz w:val="72"/>
          <w:szCs w:val="72"/>
        </w:rPr>
        <w:t xml:space="preserve">Exercises: </w:t>
      </w:r>
      <w:r w:rsidRPr="00DA3EFA">
        <w:rPr>
          <w:rFonts w:cs="Arial"/>
          <w:b/>
          <w:color w:val="1F497D"/>
          <w:sz w:val="72"/>
          <w:szCs w:val="72"/>
        </w:rPr>
        <w:br/>
      </w:r>
      <w:r w:rsidR="00C42A87">
        <w:rPr>
          <w:rFonts w:cs="Arial"/>
          <w:b/>
          <w:color w:val="1F497D"/>
          <w:sz w:val="72"/>
          <w:szCs w:val="72"/>
        </w:rPr>
        <w:t>Exploring</w:t>
      </w:r>
      <w:r w:rsidR="00622251">
        <w:rPr>
          <w:rFonts w:cs="Arial"/>
          <w:b/>
          <w:color w:val="1F497D"/>
          <w:sz w:val="72"/>
          <w:szCs w:val="72"/>
        </w:rPr>
        <w:t xml:space="preserve"> ChIP-Seq</w:t>
      </w:r>
      <w:r w:rsidRPr="00DA3EFA">
        <w:rPr>
          <w:rFonts w:cs="Arial"/>
          <w:b/>
          <w:color w:val="1F497D"/>
          <w:sz w:val="72"/>
          <w:szCs w:val="72"/>
        </w:rPr>
        <w:t xml:space="preserve"> data</w:t>
      </w:r>
      <w:r w:rsidRPr="00DA3EFA">
        <w:rPr>
          <w:rFonts w:cs="Arial"/>
          <w:b/>
          <w:color w:val="1F497D"/>
          <w:sz w:val="72"/>
          <w:szCs w:val="72"/>
        </w:rPr>
        <w:br/>
      </w:r>
    </w:p>
    <w:p w14:paraId="1BE2678E" w14:textId="77777777" w:rsidR="00DA3EFA" w:rsidRDefault="00DA3EFA" w:rsidP="00DA3EFA">
      <w:pPr>
        <w:jc w:val="center"/>
        <w:rPr>
          <w:color w:val="1F497D"/>
        </w:rPr>
      </w:pPr>
    </w:p>
    <w:p w14:paraId="57AB7C3D" w14:textId="77777777" w:rsidR="00DA3EFA" w:rsidRDefault="00DA3EFA" w:rsidP="00DA3EFA">
      <w:pPr>
        <w:jc w:val="center"/>
        <w:rPr>
          <w:color w:val="1F497D"/>
        </w:rPr>
      </w:pPr>
    </w:p>
    <w:p w14:paraId="68CA1F34" w14:textId="77777777" w:rsidR="00DA3EFA" w:rsidRDefault="00DA3EFA" w:rsidP="00DA3EFA">
      <w:pPr>
        <w:jc w:val="center"/>
        <w:rPr>
          <w:color w:val="1F497D"/>
        </w:rPr>
      </w:pPr>
    </w:p>
    <w:p w14:paraId="2D1BEF13" w14:textId="77777777" w:rsidR="00DA3EFA" w:rsidRDefault="00DA3EFA" w:rsidP="00DA3EFA">
      <w:pPr>
        <w:jc w:val="center"/>
        <w:rPr>
          <w:color w:val="1F497D"/>
        </w:rPr>
      </w:pPr>
    </w:p>
    <w:p w14:paraId="23AF75EF" w14:textId="77777777" w:rsidR="00DA3EFA" w:rsidRDefault="00DA3EFA" w:rsidP="00DA3EFA">
      <w:pPr>
        <w:jc w:val="center"/>
        <w:rPr>
          <w:color w:val="1F497D"/>
        </w:rPr>
      </w:pPr>
    </w:p>
    <w:p w14:paraId="1D4C16FC" w14:textId="77777777" w:rsidR="00DA3EFA" w:rsidRDefault="00DA3EFA" w:rsidP="00DA3EFA">
      <w:pPr>
        <w:jc w:val="center"/>
        <w:rPr>
          <w:color w:val="1F497D"/>
        </w:rPr>
      </w:pPr>
    </w:p>
    <w:p w14:paraId="0B1A8E21" w14:textId="77777777" w:rsidR="00DA3EFA" w:rsidRDefault="00DA3EFA" w:rsidP="00DA3EFA">
      <w:pPr>
        <w:jc w:val="center"/>
        <w:rPr>
          <w:color w:val="1F497D"/>
        </w:rPr>
      </w:pPr>
    </w:p>
    <w:p w14:paraId="14CB2D88" w14:textId="77777777" w:rsidR="00DA3EFA" w:rsidRDefault="00DA3EFA" w:rsidP="00DA3EFA">
      <w:pPr>
        <w:jc w:val="center"/>
        <w:rPr>
          <w:color w:val="1F497D"/>
        </w:rPr>
      </w:pPr>
    </w:p>
    <w:p w14:paraId="519E6DF5" w14:textId="77777777" w:rsidR="00DA3EFA" w:rsidRDefault="00DA3EFA" w:rsidP="00DA3EFA">
      <w:pPr>
        <w:jc w:val="center"/>
        <w:rPr>
          <w:color w:val="1F497D"/>
        </w:rPr>
      </w:pPr>
    </w:p>
    <w:p w14:paraId="45ED28A5" w14:textId="77777777" w:rsidR="00DA3EFA" w:rsidRDefault="00DA3EFA" w:rsidP="00DA3EFA">
      <w:pPr>
        <w:jc w:val="center"/>
        <w:rPr>
          <w:color w:val="1F497D"/>
        </w:rPr>
      </w:pPr>
    </w:p>
    <w:p w14:paraId="363D1736" w14:textId="77777777" w:rsidR="00DA3EFA" w:rsidRDefault="00DA3EFA" w:rsidP="00DA3EFA">
      <w:pPr>
        <w:jc w:val="center"/>
        <w:rPr>
          <w:color w:val="1F497D"/>
        </w:rPr>
      </w:pPr>
    </w:p>
    <w:p w14:paraId="60B04137" w14:textId="77777777" w:rsidR="00DA3EFA" w:rsidRDefault="00DA3EFA" w:rsidP="00DA3EFA">
      <w:pPr>
        <w:jc w:val="center"/>
        <w:rPr>
          <w:color w:val="1F497D"/>
        </w:rPr>
      </w:pPr>
    </w:p>
    <w:p w14:paraId="64C2C993" w14:textId="77777777" w:rsidR="00DA3EFA" w:rsidRDefault="00DA3EFA" w:rsidP="00DA3EFA">
      <w:pPr>
        <w:jc w:val="center"/>
        <w:rPr>
          <w:color w:val="1F497D"/>
        </w:rPr>
      </w:pPr>
    </w:p>
    <w:p w14:paraId="1FBBEA24" w14:textId="77777777" w:rsidR="00DA3EFA" w:rsidRDefault="00DA3EFA" w:rsidP="00DA3EFA">
      <w:pPr>
        <w:jc w:val="center"/>
        <w:rPr>
          <w:color w:val="1F497D"/>
        </w:rPr>
      </w:pPr>
    </w:p>
    <w:p w14:paraId="07122379" w14:textId="77777777" w:rsidR="00DA3EFA" w:rsidRDefault="00DA3EFA" w:rsidP="00DA3EFA">
      <w:pPr>
        <w:jc w:val="center"/>
        <w:rPr>
          <w:color w:val="1F497D"/>
        </w:rPr>
      </w:pPr>
    </w:p>
    <w:p w14:paraId="5DE79BDE" w14:textId="77777777" w:rsidR="00DA3EFA" w:rsidRDefault="00DA3EFA" w:rsidP="00DA3EFA">
      <w:pPr>
        <w:jc w:val="center"/>
        <w:rPr>
          <w:color w:val="1F497D"/>
        </w:rPr>
      </w:pPr>
    </w:p>
    <w:p w14:paraId="1953755C" w14:textId="77777777" w:rsidR="00DA3EFA" w:rsidRDefault="00DA3EFA" w:rsidP="00DA3EFA">
      <w:pPr>
        <w:jc w:val="center"/>
        <w:rPr>
          <w:color w:val="1F497D"/>
        </w:rPr>
      </w:pPr>
    </w:p>
    <w:p w14:paraId="31C9F881" w14:textId="77777777" w:rsidR="00DA3EFA" w:rsidRDefault="00DA3EFA" w:rsidP="00DA3EFA">
      <w:pPr>
        <w:jc w:val="center"/>
        <w:rPr>
          <w:color w:val="1F497D"/>
        </w:rPr>
      </w:pPr>
    </w:p>
    <w:p w14:paraId="2C4F3B8A" w14:textId="77777777" w:rsidR="00DA3EFA" w:rsidRDefault="00DA3EFA" w:rsidP="00DA3EFA">
      <w:pPr>
        <w:jc w:val="center"/>
        <w:rPr>
          <w:color w:val="1F497D"/>
        </w:rPr>
      </w:pPr>
    </w:p>
    <w:p w14:paraId="76ABEC54" w14:textId="77777777" w:rsidR="00DA3EFA" w:rsidRDefault="00DA3EFA" w:rsidP="00DA3EFA">
      <w:pPr>
        <w:jc w:val="center"/>
        <w:rPr>
          <w:color w:val="1F497D"/>
        </w:rPr>
      </w:pPr>
    </w:p>
    <w:p w14:paraId="3C96527E" w14:textId="77777777" w:rsidR="00DA3EFA" w:rsidRDefault="00DA3EFA" w:rsidP="00DA3EFA">
      <w:pPr>
        <w:jc w:val="center"/>
        <w:rPr>
          <w:color w:val="1F497D"/>
        </w:rPr>
      </w:pPr>
    </w:p>
    <w:p w14:paraId="6DE78EE7" w14:textId="77777777" w:rsidR="00DA3EFA" w:rsidRDefault="00DA3EFA" w:rsidP="00DA3EFA">
      <w:pPr>
        <w:jc w:val="center"/>
        <w:rPr>
          <w:color w:val="1F497D"/>
        </w:rPr>
      </w:pPr>
    </w:p>
    <w:p w14:paraId="676219AB" w14:textId="77777777" w:rsidR="00DA3EFA" w:rsidRDefault="006B183C" w:rsidP="00DA3EFA">
      <w:pPr>
        <w:pStyle w:val="Heading2"/>
        <w:jc w:val="center"/>
      </w:pPr>
      <w:r>
        <w:t xml:space="preserve">Version </w:t>
      </w:r>
      <w:r w:rsidR="00184CFE">
        <w:t>2021-04</w:t>
      </w:r>
    </w:p>
    <w:p w14:paraId="397FA8BC" w14:textId="77777777" w:rsidR="00DA3EFA" w:rsidRDefault="00DA3EFA" w:rsidP="00DA3EFA"/>
    <w:p w14:paraId="7179188C" w14:textId="77777777" w:rsidR="00160615" w:rsidRPr="00DE15FD" w:rsidRDefault="00160615" w:rsidP="00160615">
      <w:pPr>
        <w:pStyle w:val="Heading1"/>
      </w:pPr>
      <w:bookmarkStart w:id="0" w:name="_Toc415048670"/>
      <w:r w:rsidRPr="00DE15FD">
        <w:lastRenderedPageBreak/>
        <w:t>Licence</w:t>
      </w:r>
      <w:bookmarkEnd w:id="0"/>
    </w:p>
    <w:p w14:paraId="4DAFB469" w14:textId="77777777" w:rsidR="00160615" w:rsidRDefault="00622251" w:rsidP="00160615">
      <w:r>
        <w:t>This manual is © 20</w:t>
      </w:r>
      <w:r w:rsidR="00F312E5">
        <w:t>1</w:t>
      </w:r>
      <w:r w:rsidR="00F43829">
        <w:t>8</w:t>
      </w:r>
      <w:r w:rsidR="00184CFE">
        <w:t>-21</w:t>
      </w:r>
      <w:r w:rsidR="00160615">
        <w:t>, Simon Andrews.</w:t>
      </w:r>
    </w:p>
    <w:p w14:paraId="68A8FC3B" w14:textId="77777777" w:rsidR="00160615" w:rsidRDefault="00160615" w:rsidP="00160615"/>
    <w:p w14:paraId="35E14657" w14:textId="77777777" w:rsidR="00160615" w:rsidRDefault="00160615" w:rsidP="00160615">
      <w:r>
        <w:t>This manual is distributed under the creative commons Attribution-Non-Commercial-Share Alike 2.0 licence.  This means that you are free:</w:t>
      </w:r>
    </w:p>
    <w:p w14:paraId="1E544875" w14:textId="77777777" w:rsidR="00160615" w:rsidRDefault="00160615" w:rsidP="00160615"/>
    <w:p w14:paraId="226C639B" w14:textId="77777777" w:rsidR="00160615" w:rsidRDefault="00160615" w:rsidP="00160615">
      <w:pPr>
        <w:numPr>
          <w:ilvl w:val="0"/>
          <w:numId w:val="4"/>
        </w:numPr>
      </w:pPr>
      <w:r>
        <w:t>to copy, distribute, display, and perform the work</w:t>
      </w:r>
    </w:p>
    <w:p w14:paraId="33360681" w14:textId="77777777" w:rsidR="00160615" w:rsidRDefault="00160615" w:rsidP="00160615">
      <w:pPr>
        <w:ind w:left="360"/>
      </w:pPr>
    </w:p>
    <w:p w14:paraId="3AA44A7F" w14:textId="77777777" w:rsidR="00160615" w:rsidRDefault="00160615" w:rsidP="00160615">
      <w:pPr>
        <w:numPr>
          <w:ilvl w:val="0"/>
          <w:numId w:val="4"/>
        </w:numPr>
      </w:pPr>
      <w:r>
        <w:t>to make derivative works</w:t>
      </w:r>
    </w:p>
    <w:p w14:paraId="4BCAB67D" w14:textId="77777777" w:rsidR="00160615" w:rsidRDefault="00160615" w:rsidP="00160615"/>
    <w:p w14:paraId="3AC7B6C5" w14:textId="77777777" w:rsidR="00160615" w:rsidRDefault="00160615" w:rsidP="00160615">
      <w:r>
        <w:t>Under the following conditions:</w:t>
      </w:r>
    </w:p>
    <w:p w14:paraId="1ABB89D9" w14:textId="77777777" w:rsidR="00160615" w:rsidRDefault="00160615" w:rsidP="00160615"/>
    <w:p w14:paraId="27A3FAFD" w14:textId="77777777" w:rsidR="00160615" w:rsidRDefault="00160615" w:rsidP="00160615">
      <w:pPr>
        <w:numPr>
          <w:ilvl w:val="0"/>
          <w:numId w:val="5"/>
        </w:numPr>
      </w:pPr>
      <w:r>
        <w:t>Attribution. You must give the original author credit.</w:t>
      </w:r>
    </w:p>
    <w:p w14:paraId="58E07561" w14:textId="77777777" w:rsidR="00160615" w:rsidRDefault="00160615" w:rsidP="00160615"/>
    <w:p w14:paraId="3603F04B" w14:textId="77777777" w:rsidR="00160615" w:rsidRDefault="00160615" w:rsidP="00160615">
      <w:pPr>
        <w:numPr>
          <w:ilvl w:val="0"/>
          <w:numId w:val="5"/>
        </w:numPr>
      </w:pPr>
      <w:r>
        <w:t>Non-Commercial. You may not use this work for commercial purposes.</w:t>
      </w:r>
    </w:p>
    <w:p w14:paraId="50262FDB" w14:textId="77777777" w:rsidR="00160615" w:rsidRDefault="00160615" w:rsidP="00160615"/>
    <w:p w14:paraId="6406D0C1" w14:textId="77777777" w:rsidR="00160615" w:rsidRDefault="00160615" w:rsidP="00160615">
      <w:pPr>
        <w:numPr>
          <w:ilvl w:val="0"/>
          <w:numId w:val="5"/>
        </w:numPr>
      </w:pPr>
      <w:r>
        <w:t>Share Alike. If you alter, transform, or build upon this work, you may distribute the resulting work only under a licence identical to this one.</w:t>
      </w:r>
    </w:p>
    <w:p w14:paraId="7483610A" w14:textId="77777777" w:rsidR="00160615" w:rsidRDefault="00160615" w:rsidP="00160615"/>
    <w:p w14:paraId="6F2EB02B" w14:textId="77777777" w:rsidR="00160615" w:rsidRDefault="00160615" w:rsidP="00160615">
      <w:r>
        <w:t>Please note that:</w:t>
      </w:r>
    </w:p>
    <w:p w14:paraId="6D29656B" w14:textId="77777777" w:rsidR="00160615" w:rsidRDefault="00160615" w:rsidP="00160615"/>
    <w:p w14:paraId="6824A730" w14:textId="77777777" w:rsidR="00160615" w:rsidRDefault="00160615" w:rsidP="00160615">
      <w:pPr>
        <w:numPr>
          <w:ilvl w:val="0"/>
          <w:numId w:val="6"/>
        </w:numPr>
      </w:pPr>
      <w:r>
        <w:t>For any reuse or distribution, you must make clear to others the licence terms of this work.</w:t>
      </w:r>
    </w:p>
    <w:p w14:paraId="612EDD3D" w14:textId="77777777" w:rsidR="00160615" w:rsidRDefault="00160615" w:rsidP="00160615">
      <w:pPr>
        <w:numPr>
          <w:ilvl w:val="0"/>
          <w:numId w:val="6"/>
        </w:numPr>
      </w:pPr>
      <w:r>
        <w:t>Any of these conditions can be waived if you get permission from the copyright holder.</w:t>
      </w:r>
    </w:p>
    <w:p w14:paraId="5DEA5037" w14:textId="77777777" w:rsidR="00160615" w:rsidRDefault="00160615" w:rsidP="00160615">
      <w:pPr>
        <w:numPr>
          <w:ilvl w:val="0"/>
          <w:numId w:val="6"/>
        </w:numPr>
      </w:pPr>
      <w:r>
        <w:t>Nothing in this license impairs or restricts the author's moral rights.</w:t>
      </w:r>
    </w:p>
    <w:p w14:paraId="01142CC5" w14:textId="77777777" w:rsidR="00160615" w:rsidRDefault="00160615" w:rsidP="00160615"/>
    <w:p w14:paraId="7E062C6C" w14:textId="77777777" w:rsidR="00160615" w:rsidRDefault="00160615" w:rsidP="00160615">
      <w:r>
        <w:t xml:space="preserve">Full details of this licence can be found at </w:t>
      </w:r>
    </w:p>
    <w:p w14:paraId="4DE3278B" w14:textId="77777777" w:rsidR="00160615" w:rsidRDefault="00000000" w:rsidP="00160615">
      <w:hyperlink r:id="rId9" w:history="1">
        <w:r w:rsidR="00160615">
          <w:rPr>
            <w:rStyle w:val="Hyperlink"/>
          </w:rPr>
          <w:t>http://creativecommons.org/licenses/by-nc-sa/2.0/uk/legalcode</w:t>
        </w:r>
      </w:hyperlink>
    </w:p>
    <w:p w14:paraId="1E70CBB3" w14:textId="77777777" w:rsidR="00160615" w:rsidRDefault="00160615" w:rsidP="00160615">
      <w:pPr>
        <w:pStyle w:val="Heading1"/>
      </w:pPr>
      <w:r>
        <w:br/>
      </w:r>
      <w:r>
        <w:br/>
      </w:r>
      <w:r>
        <w:br/>
      </w:r>
      <w:r>
        <w:br/>
      </w:r>
      <w:r>
        <w:br/>
      </w:r>
      <w:r>
        <w:br/>
      </w:r>
      <w:r>
        <w:br/>
      </w:r>
      <w:r>
        <w:br/>
      </w:r>
      <w:r>
        <w:br/>
      </w:r>
      <w:r>
        <w:br/>
      </w:r>
      <w:r>
        <w:br/>
      </w:r>
    </w:p>
    <w:p w14:paraId="68436173" w14:textId="77777777" w:rsidR="00C87A8E" w:rsidRPr="00C87A8E" w:rsidRDefault="00160615" w:rsidP="00C87A8E">
      <w:pPr>
        <w:pStyle w:val="Heading1"/>
      </w:pPr>
      <w:r>
        <w:br w:type="column"/>
      </w:r>
      <w:r>
        <w:lastRenderedPageBreak/>
        <w:t>Introduction</w:t>
      </w:r>
    </w:p>
    <w:p w14:paraId="7BFE674B" w14:textId="77777777" w:rsidR="00160615" w:rsidRDefault="00160615" w:rsidP="00160615">
      <w:r>
        <w:t xml:space="preserve">In this session we will go through </w:t>
      </w:r>
      <w:r w:rsidR="00622251">
        <w:t xml:space="preserve">how to </w:t>
      </w:r>
      <w:r w:rsidR="00D153C9">
        <w:t>visualise and explore the ChIP data we processed in the first exercise.</w:t>
      </w:r>
    </w:p>
    <w:p w14:paraId="69CDA560" w14:textId="77777777" w:rsidR="00160615" w:rsidRDefault="00160615" w:rsidP="00160615">
      <w:pPr>
        <w:pStyle w:val="ListParagraph"/>
        <w:jc w:val="left"/>
      </w:pPr>
    </w:p>
    <w:p w14:paraId="114E3AE8" w14:textId="77777777" w:rsidR="00C87A8E" w:rsidRPr="00C87A8E" w:rsidRDefault="00160615" w:rsidP="00C87A8E">
      <w:pPr>
        <w:pStyle w:val="Heading1"/>
      </w:pPr>
      <w:r>
        <w:t>Software</w:t>
      </w:r>
    </w:p>
    <w:p w14:paraId="01368065" w14:textId="77777777" w:rsidR="00160615" w:rsidRDefault="00160615" w:rsidP="00160615">
      <w:r>
        <w:t>The software which will be used in this session is listed below.  Software which requires a linux environment is indicated by an asterisk*:</w:t>
      </w:r>
    </w:p>
    <w:p w14:paraId="22E85951" w14:textId="77777777" w:rsidR="00160615" w:rsidRDefault="00160615" w:rsidP="00160615"/>
    <w:p w14:paraId="46B73BDD" w14:textId="77777777" w:rsidR="00160615" w:rsidRDefault="00160615" w:rsidP="00160615">
      <w:pPr>
        <w:pStyle w:val="ListParagraph"/>
        <w:numPr>
          <w:ilvl w:val="0"/>
          <w:numId w:val="2"/>
        </w:numPr>
        <w:jc w:val="left"/>
      </w:pPr>
      <w:r>
        <w:t>SeqMonk (</w:t>
      </w:r>
      <w:hyperlink r:id="rId10" w:history="1">
        <w:r w:rsidR="000F1E73" w:rsidRPr="00634F4F">
          <w:rPr>
            <w:rStyle w:val="Hyperlink"/>
          </w:rPr>
          <w:t>http://www.bioinformatics.babraham.ac.uk/projects/seqmonk/</w:t>
        </w:r>
      </w:hyperlink>
      <w:r>
        <w:t>)</w:t>
      </w:r>
    </w:p>
    <w:p w14:paraId="7E805E8B" w14:textId="77777777" w:rsidR="00160615" w:rsidRDefault="00160615" w:rsidP="00160615">
      <w:pPr>
        <w:pStyle w:val="ListParagraph"/>
        <w:jc w:val="left"/>
      </w:pPr>
    </w:p>
    <w:p w14:paraId="1DB7E725" w14:textId="77777777" w:rsidR="00160615" w:rsidRDefault="00160615" w:rsidP="00160615">
      <w:pPr>
        <w:pStyle w:val="Heading1"/>
      </w:pPr>
      <w:r>
        <w:t>Data</w:t>
      </w:r>
    </w:p>
    <w:p w14:paraId="332B389B" w14:textId="77777777" w:rsidR="0013449B" w:rsidRDefault="00160615" w:rsidP="0013449B">
      <w:r>
        <w:t>The da</w:t>
      </w:r>
      <w:r w:rsidR="0013449B">
        <w:t xml:space="preserve">ta in this practical comes from </w:t>
      </w:r>
      <w:r w:rsidR="00310C3D">
        <w:t>ENCODE</w:t>
      </w:r>
      <w:r>
        <w:t xml:space="preserve"> accession </w:t>
      </w:r>
      <w:r w:rsidR="00310C3D" w:rsidRPr="00310C3D">
        <w:t>ENCSR260AKX</w:t>
      </w:r>
      <w:r w:rsidR="0013449B" w:rsidRPr="0013449B">
        <w:t xml:space="preserve"> </w:t>
      </w:r>
    </w:p>
    <w:p w14:paraId="1C2754B3" w14:textId="77777777" w:rsidR="0013449B" w:rsidRDefault="0013449B" w:rsidP="0013449B">
      <w:r w:rsidRPr="0013449B">
        <w:rPr>
          <w:i/>
        </w:rPr>
        <w:t>C. elegans</w:t>
      </w:r>
      <w:r w:rsidR="00160615">
        <w:t xml:space="preserve"> genome data and GTF models come from Ensembl </w:t>
      </w:r>
    </w:p>
    <w:p w14:paraId="2BE907F5" w14:textId="77777777" w:rsidR="00160615" w:rsidRDefault="00160615" w:rsidP="0013449B">
      <w:r>
        <w:t>(</w:t>
      </w:r>
      <w:hyperlink r:id="rId11" w:history="1">
        <w:r w:rsidR="0013449B" w:rsidRPr="00801062">
          <w:rPr>
            <w:rStyle w:val="Hyperlink"/>
          </w:rPr>
          <w:t>https://www.ensembl.org/Caenorhabditis_elegans/</w:t>
        </w:r>
      </w:hyperlink>
      <w:r w:rsidR="0013449B">
        <w:t>)</w:t>
      </w:r>
    </w:p>
    <w:p w14:paraId="25E30CEF" w14:textId="77777777" w:rsidR="00155C15" w:rsidRDefault="00155C15" w:rsidP="00155C15">
      <w:pPr>
        <w:pStyle w:val="Heading1"/>
      </w:pPr>
    </w:p>
    <w:p w14:paraId="1273F8E1" w14:textId="77777777" w:rsidR="00155C15" w:rsidRDefault="00155C15" w:rsidP="00155C15">
      <w:pPr>
        <w:pStyle w:val="Heading1"/>
      </w:pPr>
    </w:p>
    <w:p w14:paraId="061F913B" w14:textId="77777777" w:rsidR="00155C15" w:rsidRDefault="00155C15" w:rsidP="00155C15">
      <w:pPr>
        <w:pStyle w:val="Heading1"/>
      </w:pPr>
    </w:p>
    <w:p w14:paraId="04132E79" w14:textId="77777777" w:rsidR="00155C15" w:rsidRDefault="00155C15" w:rsidP="00155C15">
      <w:pPr>
        <w:pStyle w:val="Heading1"/>
      </w:pPr>
    </w:p>
    <w:p w14:paraId="6EEA879C" w14:textId="77777777" w:rsidR="00155C15" w:rsidRDefault="00155C15" w:rsidP="00155C15">
      <w:pPr>
        <w:pStyle w:val="Heading1"/>
      </w:pPr>
    </w:p>
    <w:p w14:paraId="36615998" w14:textId="77777777" w:rsidR="00155C15" w:rsidRDefault="00155C15" w:rsidP="00155C15">
      <w:pPr>
        <w:pStyle w:val="Heading1"/>
      </w:pPr>
    </w:p>
    <w:p w14:paraId="4FB6E1AD" w14:textId="77777777" w:rsidR="00155C15" w:rsidRDefault="00155C15" w:rsidP="00155C15">
      <w:pPr>
        <w:pStyle w:val="Heading1"/>
      </w:pPr>
    </w:p>
    <w:p w14:paraId="35FC924C" w14:textId="77777777" w:rsidR="0009021F" w:rsidRDefault="00155C15" w:rsidP="00D153C9">
      <w:pPr>
        <w:pStyle w:val="Heading2"/>
        <w:rPr>
          <w:b w:val="0"/>
          <w:snapToGrid w:val="0"/>
          <w:color w:val="1F497D" w:themeColor="text2"/>
          <w:sz w:val="24"/>
        </w:rPr>
      </w:pPr>
      <w:r>
        <w:br w:type="column"/>
      </w:r>
    </w:p>
    <w:p w14:paraId="35854F64" w14:textId="77777777" w:rsidR="00155C15" w:rsidRPr="00E7736B" w:rsidRDefault="00155C15" w:rsidP="004A2D4D">
      <w:pPr>
        <w:pStyle w:val="Heading2"/>
        <w:rPr>
          <w:rFonts w:eastAsiaTheme="majorEastAsia" w:cstheme="majorBidi"/>
          <w:bCs/>
          <w:color w:val="365F91" w:themeColor="accent1" w:themeShade="BF"/>
          <w:szCs w:val="28"/>
        </w:rPr>
      </w:pPr>
      <w:r>
        <w:t xml:space="preserve">Exercise </w:t>
      </w:r>
      <w:r w:rsidR="00D153C9">
        <w:t>1</w:t>
      </w:r>
      <w:r>
        <w:t xml:space="preserve">: Visualisation and </w:t>
      </w:r>
      <w:r w:rsidR="00310C3D">
        <w:t>Exploration</w:t>
      </w:r>
    </w:p>
    <w:p w14:paraId="56438ABD" w14:textId="77777777" w:rsidR="00155C15" w:rsidRDefault="00310C3D" w:rsidP="00155C15">
      <w:r>
        <w:t>After mapping our data we’re going to look at it in SeqMonk and work out the nature of the enrichment and find any quality issues in the data which might not have been evident from the raw read level.</w:t>
      </w:r>
      <w:r w:rsidR="00184CFE">
        <w:t xml:space="preserve">  You could import from the BAM file(s) you created in the initial exercise, but to save time we’re imported this data into a SeqMonk project file for you already.  The SeqMonk file is based on the same genome assembly we used to map the data.</w:t>
      </w:r>
    </w:p>
    <w:p w14:paraId="782E6593" w14:textId="77777777" w:rsidR="008F5785" w:rsidRDefault="008F5785" w:rsidP="00155C15"/>
    <w:p w14:paraId="26FBAE57" w14:textId="77777777" w:rsidR="00155C15" w:rsidRDefault="00155C15" w:rsidP="004A2D4D">
      <w:pPr>
        <w:pStyle w:val="Heading3"/>
      </w:pPr>
      <w:r>
        <w:t>S</w:t>
      </w:r>
      <w:r w:rsidR="00D153C9">
        <w:t>tep 1</w:t>
      </w:r>
      <w:r>
        <w:t xml:space="preserve">.1 </w:t>
      </w:r>
      <w:r w:rsidR="00184CFE">
        <w:t>Opening</w:t>
      </w:r>
      <w:r>
        <w:t xml:space="preserve"> mapped data into SeqMonk</w:t>
      </w:r>
    </w:p>
    <w:p w14:paraId="205C15DA" w14:textId="77777777" w:rsidR="00155C15" w:rsidRDefault="00155C15" w:rsidP="00155C15">
      <w:r>
        <w:t>Open SeqMonk on your machine either by double clicking the SeqMonk icon or by typing ‘</w:t>
      </w:r>
      <w:r w:rsidRPr="008F5785">
        <w:rPr>
          <w:rStyle w:val="codeChar"/>
        </w:rPr>
        <w:t>seqmonk</w:t>
      </w:r>
      <w:r>
        <w:t>’ in a linux command shell.</w:t>
      </w:r>
    </w:p>
    <w:p w14:paraId="07BF024C" w14:textId="77777777" w:rsidR="008F5785" w:rsidRDefault="008F5785" w:rsidP="00155C15"/>
    <w:p w14:paraId="45C7D6A1" w14:textId="77777777" w:rsidR="00184CFE" w:rsidRDefault="00310C3D" w:rsidP="00184CFE">
      <w:r>
        <w:t xml:space="preserve">We are going to </w:t>
      </w:r>
      <w:r w:rsidR="00184CFE">
        <w:t>load a</w:t>
      </w:r>
      <w:r>
        <w:t xml:space="preserve"> project </w:t>
      </w:r>
      <w:r w:rsidR="00184CFE">
        <w:t>file into which we’ve already imported the mapped data you saw in the first exercise.</w:t>
      </w:r>
    </w:p>
    <w:p w14:paraId="1E81C119" w14:textId="77777777" w:rsidR="00184CFE" w:rsidRDefault="00184CFE" w:rsidP="00184CFE"/>
    <w:p w14:paraId="72D9910E" w14:textId="77777777" w:rsidR="00782166" w:rsidRPr="00076EF2" w:rsidRDefault="00184CFE" w:rsidP="00184CFE">
      <w:pPr>
        <w:rPr>
          <w:b/>
        </w:rPr>
      </w:pPr>
      <w:r>
        <w:t xml:space="preserve">The file to import is called </w:t>
      </w:r>
      <w:r w:rsidRPr="00184CFE">
        <w:rPr>
          <w:rStyle w:val="codeChar"/>
        </w:rPr>
        <w:t>tbp1.smk</w:t>
      </w:r>
      <w:r>
        <w:t xml:space="preserve"> and is in the </w:t>
      </w:r>
      <w:r w:rsidRPr="00184CFE">
        <w:rPr>
          <w:rStyle w:val="codeChar"/>
        </w:rPr>
        <w:t>Desktop_ChIP_Data/Worm_Results</w:t>
      </w:r>
      <w:r>
        <w:t xml:space="preserve"> folder.</w:t>
      </w:r>
    </w:p>
    <w:p w14:paraId="1F9EB009" w14:textId="77777777" w:rsidR="004A081B" w:rsidRDefault="004A081B" w:rsidP="004A2D4D">
      <w:pPr>
        <w:pStyle w:val="Heading3"/>
      </w:pPr>
    </w:p>
    <w:p w14:paraId="25D41D1E" w14:textId="77777777" w:rsidR="00076EF2" w:rsidRDefault="00076EF2" w:rsidP="004A2D4D">
      <w:pPr>
        <w:pStyle w:val="Heading3"/>
      </w:pPr>
      <w:r>
        <w:t xml:space="preserve">Step </w:t>
      </w:r>
      <w:r w:rsidR="00D153C9">
        <w:t>1.</w:t>
      </w:r>
      <w:r>
        <w:t>2 Examination of the raw data</w:t>
      </w:r>
    </w:p>
    <w:p w14:paraId="556DC530" w14:textId="77777777" w:rsidR="00076EF2" w:rsidRDefault="00076EF2" w:rsidP="00076EF2">
      <w:pPr>
        <w:pStyle w:val="SUBHeading3"/>
        <w:rPr>
          <w:b w:val="0"/>
          <w:color w:val="auto"/>
        </w:rPr>
      </w:pPr>
      <w:r w:rsidRPr="00076EF2">
        <w:rPr>
          <w:b w:val="0"/>
          <w:color w:val="auto"/>
        </w:rPr>
        <w:t xml:space="preserve">In any sequencing analysis the first step in your analysis should be to </w:t>
      </w:r>
      <w:r>
        <w:rPr>
          <w:b w:val="0"/>
          <w:color w:val="auto"/>
        </w:rPr>
        <w:t>spend a couple of minutes looking through the raw data to see if you can see any obvious problems.  Look around the genome and see if you think this data is OK.  Questions to focus on would be:</w:t>
      </w:r>
    </w:p>
    <w:p w14:paraId="6F32B29A" w14:textId="77777777" w:rsidR="00076EF2" w:rsidRDefault="00076EF2" w:rsidP="00076EF2">
      <w:pPr>
        <w:pStyle w:val="SUBHeading3"/>
        <w:rPr>
          <w:b w:val="0"/>
          <w:color w:val="auto"/>
        </w:rPr>
      </w:pPr>
    </w:p>
    <w:p w14:paraId="06FABAEE" w14:textId="77777777" w:rsidR="00076EF2" w:rsidRDefault="003606E2" w:rsidP="00076EF2">
      <w:pPr>
        <w:pStyle w:val="SUBHeading3"/>
        <w:numPr>
          <w:ilvl w:val="0"/>
          <w:numId w:val="12"/>
        </w:numPr>
        <w:rPr>
          <w:b w:val="0"/>
          <w:color w:val="auto"/>
        </w:rPr>
      </w:pPr>
      <w:r>
        <w:rPr>
          <w:b w:val="0"/>
          <w:color w:val="auto"/>
        </w:rPr>
        <w:t>Do we see enrichment in any of the samples</w:t>
      </w:r>
      <w:r w:rsidR="00076EF2">
        <w:rPr>
          <w:b w:val="0"/>
          <w:color w:val="auto"/>
        </w:rPr>
        <w:t>?</w:t>
      </w:r>
      <w:r>
        <w:rPr>
          <w:b w:val="0"/>
          <w:color w:val="auto"/>
        </w:rPr>
        <w:t xml:space="preserve"> If so is it the ChIP or Input?</w:t>
      </w:r>
    </w:p>
    <w:p w14:paraId="5BE1EF09" w14:textId="77777777" w:rsidR="003606E2" w:rsidRDefault="003606E2" w:rsidP="00076EF2">
      <w:pPr>
        <w:pStyle w:val="SUBHeading3"/>
        <w:numPr>
          <w:ilvl w:val="0"/>
          <w:numId w:val="12"/>
        </w:numPr>
        <w:rPr>
          <w:b w:val="0"/>
          <w:color w:val="auto"/>
        </w:rPr>
      </w:pPr>
      <w:r>
        <w:rPr>
          <w:b w:val="0"/>
          <w:color w:val="auto"/>
        </w:rPr>
        <w:t>Is there any evidence of enrichment in the input?</w:t>
      </w:r>
    </w:p>
    <w:p w14:paraId="059C1D6A" w14:textId="77777777" w:rsidR="003606E2" w:rsidRDefault="003606E2" w:rsidP="00076EF2">
      <w:pPr>
        <w:pStyle w:val="SUBHeading3"/>
        <w:numPr>
          <w:ilvl w:val="0"/>
          <w:numId w:val="12"/>
        </w:numPr>
        <w:rPr>
          <w:b w:val="0"/>
          <w:color w:val="auto"/>
        </w:rPr>
      </w:pPr>
      <w:r>
        <w:rPr>
          <w:b w:val="0"/>
          <w:color w:val="auto"/>
        </w:rPr>
        <w:t>Is enrichment similar between the two ChIP replicates?</w:t>
      </w:r>
    </w:p>
    <w:p w14:paraId="5121299F" w14:textId="77777777" w:rsidR="003606E2" w:rsidRDefault="003606E2" w:rsidP="00076EF2">
      <w:pPr>
        <w:pStyle w:val="SUBHeading3"/>
        <w:numPr>
          <w:ilvl w:val="0"/>
          <w:numId w:val="12"/>
        </w:numPr>
        <w:rPr>
          <w:b w:val="0"/>
          <w:color w:val="auto"/>
        </w:rPr>
      </w:pPr>
      <w:r>
        <w:rPr>
          <w:b w:val="0"/>
          <w:color w:val="auto"/>
        </w:rPr>
        <w:t>What is the nature of the enrichment – sharp peaks or broad regions?</w:t>
      </w:r>
    </w:p>
    <w:p w14:paraId="0046A8DC" w14:textId="77777777" w:rsidR="003606E2" w:rsidRDefault="003606E2" w:rsidP="00076EF2">
      <w:pPr>
        <w:pStyle w:val="SUBHeading3"/>
        <w:numPr>
          <w:ilvl w:val="0"/>
          <w:numId w:val="12"/>
        </w:numPr>
        <w:rPr>
          <w:b w:val="0"/>
          <w:color w:val="auto"/>
        </w:rPr>
      </w:pPr>
      <w:r>
        <w:rPr>
          <w:b w:val="0"/>
          <w:color w:val="auto"/>
        </w:rPr>
        <w:t>What is the strand bias of the reads around enriched regions? Does this make sense?</w:t>
      </w:r>
    </w:p>
    <w:p w14:paraId="31C8A935" w14:textId="77777777" w:rsidR="003606E2" w:rsidRDefault="00421C78" w:rsidP="00076EF2">
      <w:pPr>
        <w:pStyle w:val="SUBHeading3"/>
        <w:numPr>
          <w:ilvl w:val="0"/>
          <w:numId w:val="12"/>
        </w:numPr>
        <w:rPr>
          <w:b w:val="0"/>
          <w:color w:val="auto"/>
        </w:rPr>
      </w:pPr>
      <w:r>
        <w:rPr>
          <w:b w:val="0"/>
          <w:color w:val="auto"/>
        </w:rPr>
        <w:t>If we were to extend the reads, how long an extension should we use?</w:t>
      </w:r>
    </w:p>
    <w:p w14:paraId="7A103350" w14:textId="77777777" w:rsidR="0009256B" w:rsidRPr="0009256B" w:rsidRDefault="0009256B" w:rsidP="0009256B">
      <w:pPr>
        <w:pStyle w:val="SUBHeading3"/>
        <w:numPr>
          <w:ilvl w:val="0"/>
          <w:numId w:val="12"/>
        </w:numPr>
        <w:rPr>
          <w:b w:val="0"/>
          <w:color w:val="auto"/>
        </w:rPr>
      </w:pPr>
      <w:r>
        <w:rPr>
          <w:b w:val="0"/>
          <w:color w:val="auto"/>
        </w:rPr>
        <w:t>Is there evidence of technical duplication (PCR artefacts)?</w:t>
      </w:r>
    </w:p>
    <w:p w14:paraId="5A8D8337" w14:textId="77777777" w:rsidR="00076EF2" w:rsidRDefault="00076EF2" w:rsidP="00076EF2">
      <w:pPr>
        <w:pStyle w:val="SUBHeading3"/>
      </w:pPr>
    </w:p>
    <w:p w14:paraId="01EFB844" w14:textId="77777777" w:rsidR="0009256B" w:rsidRDefault="0009256B" w:rsidP="004A2D4D">
      <w:pPr>
        <w:pStyle w:val="Heading3"/>
      </w:pPr>
      <w:r>
        <w:t xml:space="preserve">Step </w:t>
      </w:r>
      <w:r w:rsidR="00D153C9">
        <w:t>1</w:t>
      </w:r>
      <w:r>
        <w:t xml:space="preserve">.3 </w:t>
      </w:r>
      <w:r w:rsidR="000F6ADB">
        <w:t>Quan</w:t>
      </w:r>
      <w:r w:rsidR="00421C78">
        <w:t>t</w:t>
      </w:r>
      <w:r w:rsidR="000F6ADB">
        <w:t>itation</w:t>
      </w:r>
    </w:p>
    <w:p w14:paraId="647CAFAA" w14:textId="77777777" w:rsidR="000F6ADB" w:rsidRDefault="000F6ADB" w:rsidP="00155C15">
      <w:r>
        <w:t>To get a more quantitative view of our data we can do a simple running window quantitation of the whole genome.</w:t>
      </w:r>
    </w:p>
    <w:p w14:paraId="1E6BF7FC" w14:textId="77777777" w:rsidR="000F6ADB" w:rsidRDefault="000F6ADB" w:rsidP="00155C15"/>
    <w:p w14:paraId="2F154641" w14:textId="77777777" w:rsidR="000F6ADB" w:rsidRDefault="000F6ADB" w:rsidP="00155C15">
      <w:r>
        <w:t xml:space="preserve">To make the probes we use </w:t>
      </w:r>
      <w:r w:rsidRPr="004A081B">
        <w:rPr>
          <w:b/>
          <w:color w:val="1F497D" w:themeColor="text2"/>
        </w:rPr>
        <w:t>Data &gt; Define Probes &gt; Running Window Probes</w:t>
      </w:r>
      <w:r>
        <w:t>.  We will make 500bp probes tiled end to end across the genome.</w:t>
      </w:r>
    </w:p>
    <w:p w14:paraId="5E34FEEF" w14:textId="77777777" w:rsidR="000F6ADB" w:rsidRDefault="000F6ADB" w:rsidP="00155C15"/>
    <w:p w14:paraId="3224F011" w14:textId="77777777" w:rsidR="000F6ADB" w:rsidRDefault="000F6ADB" w:rsidP="000F6ADB">
      <w:pPr>
        <w:jc w:val="center"/>
      </w:pPr>
      <w:r>
        <w:rPr>
          <w:noProof/>
          <w:lang w:eastAsia="en-GB"/>
        </w:rPr>
        <w:drawing>
          <wp:inline distT="0" distB="0" distL="0" distR="0" wp14:anchorId="23B1BBF0" wp14:editId="7483BED3">
            <wp:extent cx="3752850" cy="213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8736" cy="2146834"/>
                    </a:xfrm>
                    <a:prstGeom prst="rect">
                      <a:avLst/>
                    </a:prstGeom>
                  </pic:spPr>
                </pic:pic>
              </a:graphicData>
            </a:graphic>
          </wp:inline>
        </w:drawing>
      </w:r>
    </w:p>
    <w:p w14:paraId="4E1A7C77" w14:textId="77777777" w:rsidR="000F6ADB" w:rsidRDefault="000F6ADB" w:rsidP="000F6ADB">
      <w:pPr>
        <w:jc w:val="center"/>
      </w:pPr>
    </w:p>
    <w:p w14:paraId="6925B539" w14:textId="77777777" w:rsidR="000F6ADB" w:rsidRDefault="000F6ADB" w:rsidP="000F6ADB">
      <w:pPr>
        <w:jc w:val="left"/>
      </w:pPr>
      <w:r>
        <w:lastRenderedPageBreak/>
        <w:t>For the quantitation (which should open automatically) we will do a simple globally normalised linear quantitation.  Note that you need to turn off the option to log transform.</w:t>
      </w:r>
    </w:p>
    <w:p w14:paraId="66A63D4C" w14:textId="77777777" w:rsidR="000F6ADB" w:rsidRDefault="000F6ADB" w:rsidP="000F6ADB">
      <w:pPr>
        <w:jc w:val="left"/>
      </w:pPr>
    </w:p>
    <w:p w14:paraId="128A748A" w14:textId="77777777" w:rsidR="000F6ADB" w:rsidRDefault="000F6ADB" w:rsidP="000F6ADB">
      <w:pPr>
        <w:jc w:val="center"/>
      </w:pPr>
      <w:r>
        <w:rPr>
          <w:noProof/>
          <w:lang w:eastAsia="en-GB"/>
        </w:rPr>
        <w:drawing>
          <wp:inline distT="0" distB="0" distL="0" distR="0" wp14:anchorId="7D3CA048" wp14:editId="19DDDF46">
            <wp:extent cx="3743325" cy="1795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218" cy="1802528"/>
                    </a:xfrm>
                    <a:prstGeom prst="rect">
                      <a:avLst/>
                    </a:prstGeom>
                  </pic:spPr>
                </pic:pic>
              </a:graphicData>
            </a:graphic>
          </wp:inline>
        </w:drawing>
      </w:r>
    </w:p>
    <w:p w14:paraId="64A58322" w14:textId="77777777" w:rsidR="000F6ADB" w:rsidRDefault="000F6ADB" w:rsidP="000F6ADB">
      <w:pPr>
        <w:jc w:val="left"/>
      </w:pPr>
    </w:p>
    <w:p w14:paraId="3CA4A79D" w14:textId="77777777" w:rsidR="000F6ADB" w:rsidRDefault="000F6ADB" w:rsidP="000F6ADB">
      <w:pPr>
        <w:jc w:val="left"/>
      </w:pPr>
      <w:r>
        <w:t>You can now look at a quantitative view across your genome. You might need to adjust the data zoom (</w:t>
      </w:r>
      <w:r w:rsidRPr="004A081B">
        <w:rPr>
          <w:b/>
          <w:color w:val="1F497D" w:themeColor="text2"/>
        </w:rPr>
        <w:t>Control + Z</w:t>
      </w:r>
      <w:r>
        <w:t>) to get the tops of the peaks to be visible.</w:t>
      </w:r>
    </w:p>
    <w:p w14:paraId="13BEF9F8" w14:textId="77777777" w:rsidR="000F6ADB" w:rsidRDefault="000F6ADB" w:rsidP="000F6ADB">
      <w:pPr>
        <w:jc w:val="left"/>
      </w:pPr>
    </w:p>
    <w:p w14:paraId="208860F5" w14:textId="77777777" w:rsidR="000F6ADB" w:rsidRDefault="000F6ADB" w:rsidP="004A2D4D">
      <w:pPr>
        <w:pStyle w:val="Heading3"/>
      </w:pPr>
      <w:r>
        <w:t xml:space="preserve">Step </w:t>
      </w:r>
      <w:r w:rsidR="00D153C9">
        <w:t>1</w:t>
      </w:r>
      <w:r>
        <w:t>.4 QC</w:t>
      </w:r>
    </w:p>
    <w:p w14:paraId="2AFC63E2" w14:textId="77777777" w:rsidR="000F6ADB" w:rsidRDefault="000F6ADB" w:rsidP="000F6ADB">
      <w:pPr>
        <w:jc w:val="left"/>
      </w:pPr>
      <w:r>
        <w:t>We can do some initial checks on the quality of the data to see if it all looks good.  Firstly we can look at the distribution of values in the input sample, so that we can identify and remove any places which have unusually high input signal.</w:t>
      </w:r>
    </w:p>
    <w:p w14:paraId="2F909684" w14:textId="77777777" w:rsidR="000F6ADB" w:rsidRDefault="000F6ADB" w:rsidP="000F6ADB">
      <w:pPr>
        <w:jc w:val="left"/>
      </w:pPr>
    </w:p>
    <w:p w14:paraId="58EB0F62" w14:textId="77777777" w:rsidR="000F6ADB" w:rsidRDefault="000F6ADB" w:rsidP="000F6ADB">
      <w:pPr>
        <w:jc w:val="left"/>
      </w:pPr>
      <w:r>
        <w:t xml:space="preserve">To do this select the input sample in the data view (top left window) and then do </w:t>
      </w:r>
      <w:r w:rsidRPr="004A081B">
        <w:rPr>
          <w:b/>
          <w:color w:val="1F497D" w:themeColor="text2"/>
        </w:rPr>
        <w:t>Plots &gt; Probe Value Histogram</w:t>
      </w:r>
      <w:r>
        <w:t>.  This will show the range of values in the input.  Due to some large outliers you will need to zoom in (by clicking and dragging) to the far left of the plot.</w:t>
      </w:r>
    </w:p>
    <w:p w14:paraId="4CB9FCBD" w14:textId="77777777" w:rsidR="000F6ADB" w:rsidRDefault="000F6ADB" w:rsidP="000F6ADB">
      <w:pPr>
        <w:jc w:val="left"/>
      </w:pPr>
    </w:p>
    <w:p w14:paraId="1621CC35" w14:textId="77777777" w:rsidR="000F6ADB" w:rsidRDefault="000F6ADB" w:rsidP="000F6ADB">
      <w:pPr>
        <w:jc w:val="left"/>
      </w:pPr>
      <w:r>
        <w:t>Have a look at what the normal range of values is in the input.</w:t>
      </w:r>
    </w:p>
    <w:p w14:paraId="29A3D629" w14:textId="77777777" w:rsidR="000F6ADB" w:rsidRDefault="000F6ADB" w:rsidP="000F6ADB">
      <w:pPr>
        <w:jc w:val="left"/>
      </w:pPr>
    </w:p>
    <w:p w14:paraId="0D5BB29F" w14:textId="77777777" w:rsidR="000F6ADB" w:rsidRDefault="000F6ADB" w:rsidP="000F6ADB">
      <w:pPr>
        <w:jc w:val="left"/>
      </w:pPr>
      <w:r>
        <w:t>Next we will filter out probes with unusual input values.  Hopefully you saw that by the time you hit a quantitated value of 70 then there were virtually no regions in the genome with that level of signal.  We’ll also get rid of regions with no data at all in the input as they’re probably just holes in the assembly.</w:t>
      </w:r>
    </w:p>
    <w:p w14:paraId="11E03B6E" w14:textId="77777777" w:rsidR="000F6ADB" w:rsidRDefault="000F6ADB" w:rsidP="000F6ADB">
      <w:pPr>
        <w:jc w:val="left"/>
      </w:pPr>
    </w:p>
    <w:p w14:paraId="6254B13E" w14:textId="77777777" w:rsidR="00F40F81" w:rsidRDefault="000F6ADB" w:rsidP="000F6ADB">
      <w:pPr>
        <w:jc w:val="left"/>
      </w:pPr>
      <w:r>
        <w:t xml:space="preserve">To do this go to </w:t>
      </w:r>
      <w:r w:rsidRPr="004A081B">
        <w:rPr>
          <w:b/>
          <w:color w:val="1F497D" w:themeColor="text2"/>
        </w:rPr>
        <w:t>Filtering &gt; Filter on Values &gt; Individual Probes</w:t>
      </w:r>
      <w:r w:rsidR="00F40F81">
        <w:t>.  We’ll select probes with a values between 1 and 70 in the input.</w:t>
      </w:r>
    </w:p>
    <w:p w14:paraId="66207FE6" w14:textId="77777777" w:rsidR="004A081B" w:rsidRDefault="004A081B" w:rsidP="000F6ADB">
      <w:pPr>
        <w:jc w:val="left"/>
      </w:pPr>
    </w:p>
    <w:p w14:paraId="07D7755F" w14:textId="77777777" w:rsidR="00F40F81" w:rsidRDefault="00F40F81" w:rsidP="00031162">
      <w:pPr>
        <w:jc w:val="center"/>
      </w:pPr>
      <w:r>
        <w:rPr>
          <w:noProof/>
          <w:lang w:eastAsia="en-GB"/>
        </w:rPr>
        <w:drawing>
          <wp:inline distT="0" distB="0" distL="0" distR="0" wp14:anchorId="6FCB304E" wp14:editId="61092329">
            <wp:extent cx="3895725" cy="1947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3964" cy="1951983"/>
                    </a:xfrm>
                    <a:prstGeom prst="rect">
                      <a:avLst/>
                    </a:prstGeom>
                  </pic:spPr>
                </pic:pic>
              </a:graphicData>
            </a:graphic>
          </wp:inline>
        </w:drawing>
      </w:r>
    </w:p>
    <w:p w14:paraId="6FBE76AE" w14:textId="77777777" w:rsidR="00F40F81" w:rsidRDefault="00F40F81" w:rsidP="000F6ADB">
      <w:pPr>
        <w:jc w:val="left"/>
      </w:pPr>
    </w:p>
    <w:p w14:paraId="78DBE1C0" w14:textId="77777777" w:rsidR="00F40F81" w:rsidRDefault="00F40F81" w:rsidP="000F6ADB">
      <w:pPr>
        <w:jc w:val="left"/>
      </w:pPr>
      <w:r>
        <w:t>You can call the list which is generated “Sensible Input”.  You can see it by expanding the “All Probes” list in the data view.  Select this newly created list and see how many probes were removed by this filtering.</w:t>
      </w:r>
    </w:p>
    <w:p w14:paraId="26707C5C" w14:textId="77777777" w:rsidR="00F40F81" w:rsidRDefault="00F40F81" w:rsidP="000F6ADB">
      <w:pPr>
        <w:jc w:val="left"/>
      </w:pPr>
    </w:p>
    <w:p w14:paraId="445FA7C5" w14:textId="77777777" w:rsidR="00F40F81" w:rsidRDefault="00F40F81" w:rsidP="000F6ADB">
      <w:pPr>
        <w:jc w:val="left"/>
      </w:pPr>
      <w:r>
        <w:t>Other things we want to check are the distributions of values.  To do this we are going to use:</w:t>
      </w:r>
    </w:p>
    <w:p w14:paraId="24B3FBF2" w14:textId="77777777" w:rsidR="00F40F81" w:rsidRDefault="00F40F81" w:rsidP="000F6ADB">
      <w:pPr>
        <w:jc w:val="left"/>
      </w:pPr>
      <w:r>
        <w:t xml:space="preserve"> </w:t>
      </w:r>
    </w:p>
    <w:p w14:paraId="27D5426A" w14:textId="77777777" w:rsidR="00F40F81" w:rsidRPr="004A081B" w:rsidRDefault="00F40F81" w:rsidP="000F6ADB">
      <w:pPr>
        <w:jc w:val="left"/>
        <w:rPr>
          <w:b/>
          <w:color w:val="1F497D" w:themeColor="text2"/>
        </w:rPr>
      </w:pPr>
      <w:r w:rsidRPr="004A081B">
        <w:rPr>
          <w:b/>
          <w:color w:val="1F497D" w:themeColor="text2"/>
        </w:rPr>
        <w:t xml:space="preserve">Plots &gt; </w:t>
      </w:r>
      <w:r w:rsidRPr="00421C78">
        <w:rPr>
          <w:b/>
          <w:color w:val="1F497D" w:themeColor="text2"/>
        </w:rPr>
        <w:t>Cumulative D</w:t>
      </w:r>
      <w:r w:rsidRPr="004A081B">
        <w:rPr>
          <w:b/>
          <w:color w:val="1F497D" w:themeColor="text2"/>
        </w:rPr>
        <w:t>istribution Plot &gt; Visible Data Stores</w:t>
      </w:r>
    </w:p>
    <w:p w14:paraId="3B61ABA2" w14:textId="77777777" w:rsidR="00F40F81" w:rsidRDefault="00F40F81" w:rsidP="000F6ADB">
      <w:pPr>
        <w:jc w:val="left"/>
      </w:pPr>
    </w:p>
    <w:p w14:paraId="2D023880" w14:textId="77777777" w:rsidR="00F40F81" w:rsidRPr="004A081B" w:rsidRDefault="00F40F81" w:rsidP="000F6ADB">
      <w:pPr>
        <w:jc w:val="left"/>
        <w:rPr>
          <w:b/>
          <w:color w:val="1F497D" w:themeColor="text2"/>
        </w:rPr>
      </w:pPr>
      <w:r w:rsidRPr="004A081B">
        <w:rPr>
          <w:b/>
          <w:color w:val="1F497D" w:themeColor="text2"/>
        </w:rPr>
        <w:t>Plots &gt; QQ Distribution &gt; Visible Data Stores</w:t>
      </w:r>
    </w:p>
    <w:p w14:paraId="493E4763" w14:textId="77777777" w:rsidR="00F40F81" w:rsidRDefault="00F40F81" w:rsidP="000F6ADB">
      <w:pPr>
        <w:jc w:val="left"/>
      </w:pPr>
    </w:p>
    <w:p w14:paraId="75458657" w14:textId="77777777" w:rsidR="00F40F81" w:rsidRDefault="00F40F81" w:rsidP="000F6ADB">
      <w:pPr>
        <w:jc w:val="left"/>
      </w:pPr>
      <w:r>
        <w:t>Try running these plots from both the All Probes and Sensible Input lists to compare the results.  Do you see obvious evidence of enrichment, and is this consistent between the two ChIP replicates?</w:t>
      </w:r>
    </w:p>
    <w:p w14:paraId="073FAE98" w14:textId="77777777" w:rsidR="00F40F81" w:rsidRDefault="00F40F81" w:rsidP="000F6ADB">
      <w:pPr>
        <w:jc w:val="left"/>
      </w:pPr>
    </w:p>
    <w:p w14:paraId="3119C1C8" w14:textId="77777777" w:rsidR="00F40F81" w:rsidRDefault="00F40F81" w:rsidP="000F6ADB">
      <w:pPr>
        <w:jc w:val="left"/>
      </w:pPr>
      <w:r>
        <w:t>We can also check the duplication of our samples.  To do this start from the “Sensible Input” list and then select:</w:t>
      </w:r>
    </w:p>
    <w:p w14:paraId="442BD0DA" w14:textId="77777777" w:rsidR="00F40F81" w:rsidRDefault="00F40F81" w:rsidP="000F6ADB">
      <w:pPr>
        <w:jc w:val="left"/>
      </w:pPr>
    </w:p>
    <w:p w14:paraId="5FF801B4" w14:textId="77777777" w:rsidR="00F40F81" w:rsidRPr="004A081B" w:rsidRDefault="00F40F81" w:rsidP="000F6ADB">
      <w:pPr>
        <w:jc w:val="left"/>
        <w:rPr>
          <w:b/>
          <w:color w:val="1F497D" w:themeColor="text2"/>
        </w:rPr>
      </w:pPr>
      <w:r w:rsidRPr="004A081B">
        <w:rPr>
          <w:b/>
          <w:color w:val="1F497D" w:themeColor="text2"/>
        </w:rPr>
        <w:t>Plots &gt; Duplication Plot</w:t>
      </w:r>
    </w:p>
    <w:p w14:paraId="48662D4F" w14:textId="77777777" w:rsidR="00F40F81" w:rsidRDefault="00F40F81" w:rsidP="000F6ADB">
      <w:pPr>
        <w:jc w:val="left"/>
      </w:pPr>
    </w:p>
    <w:p w14:paraId="12E4FE27" w14:textId="77777777" w:rsidR="00F40F81" w:rsidRDefault="00F40F81" w:rsidP="000F6ADB">
      <w:pPr>
        <w:jc w:val="left"/>
      </w:pPr>
      <w:r>
        <w:t>If we see universally low duplication, or if the duplication is proportional with the read density then we are fine.  If we see high duplication not related to high overall read density then we potentially have a PCR duplication problem.</w:t>
      </w:r>
    </w:p>
    <w:p w14:paraId="75F6D876" w14:textId="77777777" w:rsidR="00F40F81" w:rsidRDefault="00F40F81" w:rsidP="000F6ADB">
      <w:pPr>
        <w:jc w:val="left"/>
      </w:pPr>
    </w:p>
    <w:p w14:paraId="19DB0CD9" w14:textId="77777777" w:rsidR="00F40F81" w:rsidRDefault="00F40F81" w:rsidP="000F6ADB">
      <w:pPr>
        <w:jc w:val="left"/>
      </w:pPr>
      <w:r>
        <w:t>Do these samples look like they have a duplication problem?</w:t>
      </w:r>
    </w:p>
    <w:p w14:paraId="03889C8E" w14:textId="77777777" w:rsidR="00F40F81" w:rsidRDefault="00F40F81" w:rsidP="000F6ADB">
      <w:pPr>
        <w:jc w:val="left"/>
      </w:pPr>
    </w:p>
    <w:p w14:paraId="2AEA9E26" w14:textId="77777777" w:rsidR="003B16F4" w:rsidRDefault="003B16F4" w:rsidP="000F6ADB">
      <w:pPr>
        <w:jc w:val="left"/>
      </w:pPr>
      <w:r>
        <w:t>Finally</w:t>
      </w:r>
      <w:r w:rsidR="004E28DB">
        <w:t>,</w:t>
      </w:r>
      <w:r>
        <w:t xml:space="preserve"> we can use a scatterplot to compare the signal in the input with the ChIP samples, and the two ChIPs with each other to see whether there is enrichment and how consistent it is.</w:t>
      </w:r>
    </w:p>
    <w:p w14:paraId="05C1D1E1" w14:textId="77777777" w:rsidR="003B16F4" w:rsidRDefault="003B16F4" w:rsidP="000F6ADB">
      <w:pPr>
        <w:jc w:val="left"/>
      </w:pPr>
    </w:p>
    <w:p w14:paraId="779D4F72" w14:textId="77777777" w:rsidR="005C7F4F" w:rsidRPr="004A081B" w:rsidRDefault="003B16F4" w:rsidP="000F6ADB">
      <w:pPr>
        <w:jc w:val="left"/>
        <w:rPr>
          <w:b/>
          <w:color w:val="1F497D" w:themeColor="text2"/>
        </w:rPr>
      </w:pPr>
      <w:r w:rsidRPr="004A081B">
        <w:rPr>
          <w:b/>
          <w:color w:val="1F497D" w:themeColor="text2"/>
        </w:rPr>
        <w:t>Plots &gt; Scatterplot</w:t>
      </w:r>
    </w:p>
    <w:p w14:paraId="68FDB6C8" w14:textId="77777777" w:rsidR="005C7F4F" w:rsidRDefault="005C7F4F" w:rsidP="000F6ADB">
      <w:pPr>
        <w:jc w:val="left"/>
      </w:pPr>
    </w:p>
    <w:p w14:paraId="685A05EC" w14:textId="77777777" w:rsidR="005C7F4F" w:rsidRDefault="005C7F4F" w:rsidP="000F6ADB">
      <w:pPr>
        <w:jc w:val="left"/>
      </w:pPr>
      <w:r>
        <w:t>Is there obvious enrichment over input?</w:t>
      </w:r>
    </w:p>
    <w:p w14:paraId="60A224D2" w14:textId="77777777" w:rsidR="005C7F4F" w:rsidRDefault="005C7F4F" w:rsidP="000F6ADB">
      <w:pPr>
        <w:jc w:val="left"/>
      </w:pPr>
    </w:p>
    <w:p w14:paraId="476B7051" w14:textId="77777777" w:rsidR="005C7F4F" w:rsidRDefault="005C7F4F" w:rsidP="000F6ADB">
      <w:pPr>
        <w:jc w:val="left"/>
      </w:pPr>
      <w:r>
        <w:t>Is the enrichment level for the two ChIPs consistent?</w:t>
      </w:r>
    </w:p>
    <w:p w14:paraId="7FC0C011" w14:textId="77777777" w:rsidR="005C7F4F" w:rsidRDefault="005C7F4F" w:rsidP="000F6ADB">
      <w:pPr>
        <w:jc w:val="left"/>
      </w:pPr>
    </w:p>
    <w:p w14:paraId="20955AEB" w14:textId="77777777" w:rsidR="005C7F4F" w:rsidRDefault="005C7F4F" w:rsidP="004A2D4D">
      <w:pPr>
        <w:pStyle w:val="Heading3"/>
      </w:pPr>
      <w:r>
        <w:t xml:space="preserve">Step </w:t>
      </w:r>
      <w:r w:rsidR="00D153C9">
        <w:t>1</w:t>
      </w:r>
      <w:r>
        <w:t>.5 Profiling positional enrichment</w:t>
      </w:r>
    </w:p>
    <w:p w14:paraId="1CCD9DE6" w14:textId="77777777" w:rsidR="00D8468F" w:rsidRDefault="00D8468F" w:rsidP="000F6ADB">
      <w:pPr>
        <w:jc w:val="left"/>
      </w:pPr>
      <w:r>
        <w:t>In the final part of the exploration of this data we will look to see whether we need to do peak calling on our data or whether we can identify regions of the genome defined by annotation features which will capture the enrichment efficiently.</w:t>
      </w:r>
    </w:p>
    <w:p w14:paraId="172F40B2" w14:textId="77777777" w:rsidR="00421C78" w:rsidRDefault="00421C78" w:rsidP="000F6ADB">
      <w:pPr>
        <w:jc w:val="left"/>
      </w:pPr>
    </w:p>
    <w:p w14:paraId="0AD1B2BA" w14:textId="77777777" w:rsidR="00421C78" w:rsidRDefault="00421C78" w:rsidP="000F6ADB">
      <w:pPr>
        <w:jc w:val="left"/>
      </w:pPr>
      <w:r>
        <w:t>Before we do an automated analysis of the enrichment positions, have a look at the data manually and see if you can see a relationship between the enrichment position and the gene features in the data.</w:t>
      </w:r>
    </w:p>
    <w:p w14:paraId="29C236AE" w14:textId="77777777" w:rsidR="00D8468F" w:rsidRDefault="00D8468F" w:rsidP="000F6ADB">
      <w:pPr>
        <w:jc w:val="left"/>
      </w:pPr>
    </w:p>
    <w:p w14:paraId="1AB87207" w14:textId="77777777" w:rsidR="00D8468F" w:rsidRDefault="00D8468F" w:rsidP="000F6ADB">
      <w:pPr>
        <w:jc w:val="left"/>
      </w:pPr>
      <w:r>
        <w:t xml:space="preserve">To look at the positional enrichment of our </w:t>
      </w:r>
      <w:r w:rsidR="00446996">
        <w:t>data we will use a quantitation trend plot which looks at the average signal over different parts of a type of feature.</w:t>
      </w:r>
    </w:p>
    <w:p w14:paraId="30FB2E97" w14:textId="77777777" w:rsidR="00446996" w:rsidRDefault="00446996" w:rsidP="000F6ADB">
      <w:pPr>
        <w:jc w:val="left"/>
      </w:pPr>
    </w:p>
    <w:p w14:paraId="2F372B9A" w14:textId="77777777" w:rsidR="00446996" w:rsidRPr="004A081B" w:rsidRDefault="00446996" w:rsidP="000F6ADB">
      <w:pPr>
        <w:jc w:val="left"/>
        <w:rPr>
          <w:b/>
          <w:color w:val="1F497D" w:themeColor="text2"/>
        </w:rPr>
      </w:pPr>
      <w:r w:rsidRPr="004A081B">
        <w:rPr>
          <w:b/>
          <w:color w:val="1F497D" w:themeColor="text2"/>
        </w:rPr>
        <w:t>Plots &gt; Quantitation Trend Plot</w:t>
      </w:r>
    </w:p>
    <w:p w14:paraId="72907721" w14:textId="77777777" w:rsidR="00446996" w:rsidRDefault="00446996" w:rsidP="000F6ADB">
      <w:pPr>
        <w:jc w:val="left"/>
      </w:pPr>
    </w:p>
    <w:p w14:paraId="2B371211" w14:textId="77777777" w:rsidR="00446996" w:rsidRDefault="00446996" w:rsidP="000F6ADB">
      <w:pPr>
        <w:jc w:val="left"/>
      </w:pPr>
      <w:r>
        <w:t>We can start by looking at the signal over the whole of a gene +/- 5kb</w:t>
      </w:r>
    </w:p>
    <w:p w14:paraId="7ABCF15C" w14:textId="77777777" w:rsidR="00446996" w:rsidRDefault="00446996" w:rsidP="000F6ADB">
      <w:pPr>
        <w:jc w:val="left"/>
      </w:pPr>
    </w:p>
    <w:p w14:paraId="3D8458CC" w14:textId="77777777" w:rsidR="004A2D4D" w:rsidRDefault="004A2D4D" w:rsidP="004A2D4D">
      <w:pPr>
        <w:jc w:val="center"/>
      </w:pPr>
      <w:r>
        <w:rPr>
          <w:noProof/>
          <w:lang w:eastAsia="en-GB"/>
        </w:rPr>
        <w:lastRenderedPageBreak/>
        <w:drawing>
          <wp:inline distT="0" distB="0" distL="0" distR="0" wp14:anchorId="3696BB6E" wp14:editId="4FA13524">
            <wp:extent cx="3857625" cy="18323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164" cy="1841178"/>
                    </a:xfrm>
                    <a:prstGeom prst="rect">
                      <a:avLst/>
                    </a:prstGeom>
                  </pic:spPr>
                </pic:pic>
              </a:graphicData>
            </a:graphic>
          </wp:inline>
        </w:drawing>
      </w:r>
    </w:p>
    <w:p w14:paraId="194F660D" w14:textId="77777777" w:rsidR="00446996" w:rsidRDefault="00446996" w:rsidP="000F6ADB">
      <w:pPr>
        <w:jc w:val="left"/>
      </w:pPr>
    </w:p>
    <w:p w14:paraId="160AAF55" w14:textId="77777777" w:rsidR="00446996" w:rsidRDefault="00446996" w:rsidP="000F6ADB">
      <w:pPr>
        <w:jc w:val="left"/>
      </w:pPr>
      <w:r>
        <w:t xml:space="preserve">What does this suggest about the location of the enrichment?  </w:t>
      </w:r>
      <w:r w:rsidR="004A2D4D">
        <w:t>Could the signal here be confounded by the size of genes we commonly see in worm?</w:t>
      </w:r>
    </w:p>
    <w:p w14:paraId="32F5029B" w14:textId="77777777" w:rsidR="004A2D4D" w:rsidRDefault="004A2D4D" w:rsidP="000F6ADB">
      <w:pPr>
        <w:jc w:val="left"/>
      </w:pPr>
    </w:p>
    <w:p w14:paraId="7C71CD05" w14:textId="77777777" w:rsidR="004A2D4D" w:rsidRDefault="004A2D4D" w:rsidP="000F6ADB">
      <w:pPr>
        <w:jc w:val="left"/>
      </w:pPr>
      <w:r>
        <w:t>We can do a second plot looking specifically at the promoters of genes.</w:t>
      </w:r>
    </w:p>
    <w:p w14:paraId="34D33B6B" w14:textId="77777777" w:rsidR="004A2D4D" w:rsidRDefault="004A2D4D" w:rsidP="000F6ADB">
      <w:pPr>
        <w:jc w:val="left"/>
      </w:pPr>
    </w:p>
    <w:p w14:paraId="269B426D" w14:textId="77777777" w:rsidR="004A2D4D" w:rsidRDefault="004A2D4D" w:rsidP="004A2D4D">
      <w:pPr>
        <w:jc w:val="center"/>
      </w:pPr>
      <w:r>
        <w:rPr>
          <w:noProof/>
          <w:lang w:eastAsia="en-GB"/>
        </w:rPr>
        <w:drawing>
          <wp:inline distT="0" distB="0" distL="0" distR="0" wp14:anchorId="7680792C" wp14:editId="39B577AF">
            <wp:extent cx="3848100" cy="1827848"/>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3377" cy="1830354"/>
                    </a:xfrm>
                    <a:prstGeom prst="rect">
                      <a:avLst/>
                    </a:prstGeom>
                  </pic:spPr>
                </pic:pic>
              </a:graphicData>
            </a:graphic>
          </wp:inline>
        </w:drawing>
      </w:r>
    </w:p>
    <w:p w14:paraId="2D501F2C" w14:textId="77777777" w:rsidR="004A2D4D" w:rsidRDefault="004A2D4D" w:rsidP="000F6ADB">
      <w:pPr>
        <w:jc w:val="left"/>
      </w:pPr>
    </w:p>
    <w:p w14:paraId="75C8B113" w14:textId="77777777" w:rsidR="004A2D4D" w:rsidRDefault="004A2D4D" w:rsidP="000F6ADB">
      <w:pPr>
        <w:jc w:val="left"/>
      </w:pPr>
      <w:r>
        <w:t>Does this change our view about where the enrichment is?</w:t>
      </w:r>
    </w:p>
    <w:p w14:paraId="2F3E1ACB" w14:textId="77777777" w:rsidR="004A2D4D" w:rsidRDefault="004A2D4D" w:rsidP="000F6ADB">
      <w:pPr>
        <w:jc w:val="left"/>
      </w:pPr>
    </w:p>
    <w:p w14:paraId="7C969F01" w14:textId="77777777" w:rsidR="004A2D4D" w:rsidRDefault="004A2D4D" w:rsidP="000F6ADB">
      <w:pPr>
        <w:jc w:val="left"/>
      </w:pPr>
      <w:r>
        <w:t>It looks like promoters might be a good candidate for defining our enrichment.  We can see whether restricting our analysis to promoters will capture the vast majority of the signal in our data.  To do this we’ll filter out all of the probes which overlap promoters</w:t>
      </w:r>
      <w:r w:rsidR="00B618F9">
        <w:t xml:space="preserve"> (start of gene +/- 500bp)</w:t>
      </w:r>
      <w:r>
        <w:t>, and then see whether there is significant enrichment outside those regions.</w:t>
      </w:r>
    </w:p>
    <w:p w14:paraId="395EF195" w14:textId="77777777" w:rsidR="004A2D4D" w:rsidRDefault="004A2D4D" w:rsidP="000F6ADB">
      <w:pPr>
        <w:jc w:val="left"/>
      </w:pPr>
    </w:p>
    <w:p w14:paraId="0A66C3AA" w14:textId="77777777" w:rsidR="004A2D4D" w:rsidRPr="004A081B" w:rsidRDefault="004A2D4D" w:rsidP="000F6ADB">
      <w:pPr>
        <w:jc w:val="left"/>
        <w:rPr>
          <w:b/>
          <w:color w:val="1F497D" w:themeColor="text2"/>
        </w:rPr>
      </w:pPr>
      <w:r w:rsidRPr="004A081B">
        <w:rPr>
          <w:b/>
          <w:color w:val="1F497D" w:themeColor="text2"/>
        </w:rPr>
        <w:t>Filtering &gt; Filter by Features</w:t>
      </w:r>
    </w:p>
    <w:p w14:paraId="236CFEC4" w14:textId="77777777" w:rsidR="004A2D4D" w:rsidRDefault="004A2D4D" w:rsidP="000F6ADB">
      <w:pPr>
        <w:jc w:val="left"/>
      </w:pPr>
    </w:p>
    <w:p w14:paraId="27766CE9" w14:textId="77777777" w:rsidR="004A2D4D" w:rsidRDefault="00B618F9" w:rsidP="004A2D4D">
      <w:pPr>
        <w:jc w:val="center"/>
      </w:pPr>
      <w:r>
        <w:rPr>
          <w:noProof/>
          <w:lang w:eastAsia="en-GB"/>
        </w:rPr>
        <w:lastRenderedPageBreak/>
        <w:drawing>
          <wp:inline distT="0" distB="0" distL="0" distR="0" wp14:anchorId="01BD413B" wp14:editId="547C20F1">
            <wp:extent cx="3990975" cy="3234066"/>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6083" cy="3238205"/>
                    </a:xfrm>
                    <a:prstGeom prst="rect">
                      <a:avLst/>
                    </a:prstGeom>
                  </pic:spPr>
                </pic:pic>
              </a:graphicData>
            </a:graphic>
          </wp:inline>
        </w:drawing>
      </w:r>
    </w:p>
    <w:p w14:paraId="053CF9F8" w14:textId="77777777" w:rsidR="004A2D4D" w:rsidRDefault="004A2D4D" w:rsidP="000F6ADB">
      <w:pPr>
        <w:jc w:val="left"/>
      </w:pPr>
    </w:p>
    <w:p w14:paraId="0F4E51F9" w14:textId="77777777" w:rsidR="004A2D4D" w:rsidRDefault="004A2D4D" w:rsidP="000F6ADB">
      <w:pPr>
        <w:jc w:val="left"/>
      </w:pPr>
      <w:r>
        <w:t>Call the list you generate “Promoter Regions” it should be a sub-list of “Sensible Input”. You can repeat the filter but selecting “Not overlapping” as the relationship with the feature to get the non-promoter probes.</w:t>
      </w:r>
    </w:p>
    <w:p w14:paraId="4AAB7DBF" w14:textId="77777777" w:rsidR="004A2D4D" w:rsidRDefault="004A2D4D" w:rsidP="000F6ADB">
      <w:pPr>
        <w:jc w:val="left"/>
      </w:pPr>
    </w:p>
    <w:p w14:paraId="3003DC62" w14:textId="77777777" w:rsidR="004A2D4D" w:rsidRDefault="004A2D4D" w:rsidP="000F6ADB">
      <w:pPr>
        <w:jc w:val="left"/>
      </w:pPr>
      <w:r>
        <w:t>To see</w:t>
      </w:r>
      <w:r w:rsidR="00B618F9">
        <w:t xml:space="preserve"> how well the promoters capture the enrichment signal we can plot out a scatterplot of the “Sensible Input” list for the input vs one of the ChIP samples (it doesn’t really matter which one).  We can then use the “Highlight Sublists” option to highlight on the scatterplot the promoter and non-promoter regions.  You can turn off the “Common Scale” option to make better use of the available space in the plot.</w:t>
      </w:r>
    </w:p>
    <w:p w14:paraId="1F2A66D5" w14:textId="77777777" w:rsidR="00B618F9" w:rsidRDefault="00B618F9" w:rsidP="000F6ADB">
      <w:pPr>
        <w:jc w:val="left"/>
      </w:pPr>
    </w:p>
    <w:p w14:paraId="38B7BAF1" w14:textId="77777777" w:rsidR="00B618F9" w:rsidRDefault="00B618F9" w:rsidP="000F6ADB">
      <w:pPr>
        <w:jc w:val="left"/>
      </w:pPr>
      <w:r>
        <w:t>Does this suggest that an analysis of promoters might be an effective way to analyse this data?</w:t>
      </w:r>
    </w:p>
    <w:p w14:paraId="7B8B86EA" w14:textId="77777777" w:rsidR="00446996" w:rsidRDefault="00446996" w:rsidP="000F6ADB">
      <w:pPr>
        <w:jc w:val="left"/>
      </w:pPr>
    </w:p>
    <w:p w14:paraId="32C3B745" w14:textId="77777777" w:rsidR="000F6ADB" w:rsidRDefault="000F6ADB" w:rsidP="000F6ADB">
      <w:pPr>
        <w:rPr>
          <w:rFonts w:ascii="Courier New" w:hAnsi="Courier New" w:cs="Courier New"/>
        </w:rPr>
      </w:pPr>
    </w:p>
    <w:p w14:paraId="195A9A13" w14:textId="77777777" w:rsidR="007F20FD" w:rsidRDefault="000F6ADB" w:rsidP="004A2D4D">
      <w:pPr>
        <w:pStyle w:val="Heading3"/>
      </w:pPr>
      <w:r>
        <w:lastRenderedPageBreak/>
        <w:t xml:space="preserve">Step </w:t>
      </w:r>
      <w:r w:rsidR="00D153C9">
        <w:t>1</w:t>
      </w:r>
      <w:r>
        <w:t>.4</w:t>
      </w:r>
      <w:r w:rsidR="00155C15">
        <w:t xml:space="preserve"> </w:t>
      </w:r>
      <w:r>
        <w:t>Input Value Range Histogram</w:t>
      </w:r>
    </w:p>
    <w:p w14:paraId="43D593BC" w14:textId="77777777" w:rsidR="00155C15" w:rsidRDefault="000F6ADB" w:rsidP="00155C15">
      <w:pPr>
        <w:pStyle w:val="Heading3"/>
      </w:pPr>
      <w:r>
        <w:rPr>
          <w:noProof/>
          <w:lang w:eastAsia="en-GB"/>
        </w:rPr>
        <w:drawing>
          <wp:inline distT="0" distB="0" distL="0" distR="0" wp14:anchorId="39089359" wp14:editId="190986FD">
            <wp:extent cx="5796280" cy="3142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142615"/>
                    </a:xfrm>
                    <a:prstGeom prst="rect">
                      <a:avLst/>
                    </a:prstGeom>
                  </pic:spPr>
                </pic:pic>
              </a:graphicData>
            </a:graphic>
          </wp:inline>
        </w:drawing>
      </w:r>
    </w:p>
    <w:p w14:paraId="73915C0D" w14:textId="77777777" w:rsidR="00EE357A" w:rsidRPr="00EE357A" w:rsidRDefault="00EE357A" w:rsidP="00EE357A"/>
    <w:p w14:paraId="2A8546E0" w14:textId="77777777" w:rsidR="00D153C9" w:rsidRDefault="00D153C9" w:rsidP="00D153C9">
      <w:pPr>
        <w:pStyle w:val="Heading3"/>
      </w:pPr>
      <w:r>
        <w:lastRenderedPageBreak/>
        <w:t>Step 1.4 Cumulative distribution plot</w:t>
      </w:r>
    </w:p>
    <w:p w14:paraId="55FCC56F" w14:textId="77777777" w:rsidR="007F20FD" w:rsidRDefault="007F20FD" w:rsidP="007F20FD">
      <w:pPr>
        <w:pStyle w:val="SUBHeading3"/>
      </w:pPr>
    </w:p>
    <w:p w14:paraId="5D2F06CB" w14:textId="77777777" w:rsidR="001728BA" w:rsidRDefault="00F40F81" w:rsidP="00E05214">
      <w:pPr>
        <w:pStyle w:val="SUBHeading3"/>
        <w:jc w:val="center"/>
      </w:pPr>
      <w:r>
        <w:rPr>
          <w:noProof/>
          <w:lang w:eastAsia="en-GB"/>
        </w:rPr>
        <w:drawing>
          <wp:inline distT="0" distB="0" distL="0" distR="0" wp14:anchorId="1D8C6098" wp14:editId="2D62620A">
            <wp:extent cx="4457700" cy="33179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0685" cy="3320125"/>
                    </a:xfrm>
                    <a:prstGeom prst="rect">
                      <a:avLst/>
                    </a:prstGeom>
                  </pic:spPr>
                </pic:pic>
              </a:graphicData>
            </a:graphic>
          </wp:inline>
        </w:drawing>
      </w:r>
    </w:p>
    <w:p w14:paraId="702480EB" w14:textId="77777777" w:rsidR="00D153C9" w:rsidRDefault="00D153C9" w:rsidP="00D153C9">
      <w:pPr>
        <w:pStyle w:val="Heading3"/>
      </w:pPr>
    </w:p>
    <w:p w14:paraId="4372BC25" w14:textId="77777777" w:rsidR="00D153C9" w:rsidRDefault="00D153C9" w:rsidP="00D153C9">
      <w:pPr>
        <w:pStyle w:val="Heading3"/>
      </w:pPr>
      <w:r>
        <w:t>Step 1.4 QQ plot</w:t>
      </w:r>
    </w:p>
    <w:p w14:paraId="23A8AC30" w14:textId="77777777" w:rsidR="00F40F81" w:rsidRDefault="00F40F81" w:rsidP="00E05214">
      <w:pPr>
        <w:pStyle w:val="SUBHeading3"/>
        <w:jc w:val="center"/>
      </w:pPr>
    </w:p>
    <w:p w14:paraId="18E271A0" w14:textId="77777777" w:rsidR="00F40F81" w:rsidRDefault="00F40F81" w:rsidP="00E05214">
      <w:pPr>
        <w:pStyle w:val="SUBHeading3"/>
        <w:jc w:val="center"/>
      </w:pPr>
      <w:r>
        <w:rPr>
          <w:noProof/>
          <w:lang w:eastAsia="en-GB"/>
        </w:rPr>
        <w:drawing>
          <wp:inline distT="0" distB="0" distL="0" distR="0" wp14:anchorId="3257E3AA" wp14:editId="70C5B5EA">
            <wp:extent cx="4495800" cy="333255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9210" cy="3335079"/>
                    </a:xfrm>
                    <a:prstGeom prst="rect">
                      <a:avLst/>
                    </a:prstGeom>
                  </pic:spPr>
                </pic:pic>
              </a:graphicData>
            </a:graphic>
          </wp:inline>
        </w:drawing>
      </w:r>
    </w:p>
    <w:p w14:paraId="422DC5D7" w14:textId="77777777" w:rsidR="00E21510" w:rsidRDefault="00E21510" w:rsidP="00E05214">
      <w:pPr>
        <w:pStyle w:val="SUBHeading3"/>
        <w:jc w:val="center"/>
      </w:pPr>
    </w:p>
    <w:p w14:paraId="710BA437" w14:textId="77777777" w:rsidR="001728BA" w:rsidRDefault="001728BA" w:rsidP="007F20FD">
      <w:pPr>
        <w:pStyle w:val="SUBHeading3"/>
      </w:pPr>
    </w:p>
    <w:p w14:paraId="66A7CD63" w14:textId="77777777" w:rsidR="00D153C9" w:rsidRDefault="00D153C9">
      <w:pPr>
        <w:spacing w:line="240" w:lineRule="auto"/>
        <w:jc w:val="left"/>
        <w:rPr>
          <w:b/>
          <w:snapToGrid w:val="0"/>
          <w:color w:val="1F497D" w:themeColor="text2"/>
          <w:sz w:val="24"/>
        </w:rPr>
      </w:pPr>
      <w:r>
        <w:br w:type="page"/>
      </w:r>
    </w:p>
    <w:p w14:paraId="4E7F2F19" w14:textId="77777777" w:rsidR="00D153C9" w:rsidRDefault="00D153C9" w:rsidP="00D153C9">
      <w:pPr>
        <w:pStyle w:val="Heading3"/>
      </w:pPr>
      <w:r>
        <w:lastRenderedPageBreak/>
        <w:t>Step 1.4 Duplication plot</w:t>
      </w:r>
    </w:p>
    <w:p w14:paraId="003EADA6" w14:textId="77777777" w:rsidR="00D153C9" w:rsidRDefault="00D153C9">
      <w:pPr>
        <w:spacing w:line="240" w:lineRule="auto"/>
        <w:jc w:val="left"/>
      </w:pPr>
    </w:p>
    <w:p w14:paraId="7F986B6E" w14:textId="77777777" w:rsidR="005C7F4F" w:rsidRDefault="003B16F4">
      <w:pPr>
        <w:spacing w:line="240" w:lineRule="auto"/>
        <w:jc w:val="left"/>
      </w:pPr>
      <w:r>
        <w:rPr>
          <w:noProof/>
          <w:lang w:eastAsia="en-GB"/>
        </w:rPr>
        <w:drawing>
          <wp:inline distT="0" distB="0" distL="0" distR="0" wp14:anchorId="6BE0C4F2" wp14:editId="28F06A55">
            <wp:extent cx="5796280" cy="38639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6280" cy="3863975"/>
                    </a:xfrm>
                    <a:prstGeom prst="rect">
                      <a:avLst/>
                    </a:prstGeom>
                  </pic:spPr>
                </pic:pic>
              </a:graphicData>
            </a:graphic>
          </wp:inline>
        </w:drawing>
      </w:r>
    </w:p>
    <w:p w14:paraId="155E48A9" w14:textId="77777777" w:rsidR="004A081B" w:rsidRDefault="004A081B">
      <w:pPr>
        <w:spacing w:line="240" w:lineRule="auto"/>
        <w:jc w:val="left"/>
      </w:pPr>
    </w:p>
    <w:p w14:paraId="5D163A42" w14:textId="77777777" w:rsidR="005C7F4F" w:rsidRDefault="005C7F4F">
      <w:pPr>
        <w:spacing w:line="240" w:lineRule="auto"/>
        <w:jc w:val="left"/>
      </w:pPr>
    </w:p>
    <w:p w14:paraId="38C5DF07" w14:textId="77777777" w:rsidR="00D153C9" w:rsidRDefault="00D153C9" w:rsidP="00D153C9">
      <w:pPr>
        <w:pStyle w:val="Heading3"/>
      </w:pPr>
      <w:r>
        <w:t>Step 1.4 Scatterplots</w:t>
      </w:r>
    </w:p>
    <w:p w14:paraId="1A09DC59" w14:textId="77777777" w:rsidR="00E21510" w:rsidRDefault="005C7F4F">
      <w:pPr>
        <w:spacing w:line="240" w:lineRule="auto"/>
        <w:jc w:val="left"/>
        <w:rPr>
          <w:b/>
          <w:snapToGrid w:val="0"/>
          <w:color w:val="1F497D" w:themeColor="text2"/>
        </w:rPr>
      </w:pPr>
      <w:r>
        <w:rPr>
          <w:noProof/>
          <w:lang w:eastAsia="en-GB"/>
        </w:rPr>
        <w:drawing>
          <wp:inline distT="0" distB="0" distL="0" distR="0" wp14:anchorId="2A2C0071" wp14:editId="7519C66A">
            <wp:extent cx="2867025" cy="29747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1019" cy="2978850"/>
                    </a:xfrm>
                    <a:prstGeom prst="rect">
                      <a:avLst/>
                    </a:prstGeom>
                  </pic:spPr>
                </pic:pic>
              </a:graphicData>
            </a:graphic>
          </wp:inline>
        </w:drawing>
      </w:r>
      <w:r w:rsidRPr="005C7F4F">
        <w:rPr>
          <w:noProof/>
          <w:lang w:eastAsia="en-GB"/>
        </w:rPr>
        <w:t xml:space="preserve"> </w:t>
      </w:r>
      <w:r>
        <w:rPr>
          <w:noProof/>
          <w:lang w:eastAsia="en-GB"/>
        </w:rPr>
        <w:drawing>
          <wp:inline distT="0" distB="0" distL="0" distR="0" wp14:anchorId="78DDC8C4" wp14:editId="6F6BF592">
            <wp:extent cx="2876550" cy="298459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3538" cy="3002217"/>
                    </a:xfrm>
                    <a:prstGeom prst="rect">
                      <a:avLst/>
                    </a:prstGeom>
                  </pic:spPr>
                </pic:pic>
              </a:graphicData>
            </a:graphic>
          </wp:inline>
        </w:drawing>
      </w:r>
      <w:r w:rsidR="00E21510">
        <w:br w:type="page"/>
      </w:r>
    </w:p>
    <w:p w14:paraId="0756FCC8" w14:textId="77777777" w:rsidR="00155C15" w:rsidRDefault="00454556" w:rsidP="004A2D4D">
      <w:pPr>
        <w:pStyle w:val="Heading3"/>
      </w:pPr>
      <w:r>
        <w:lastRenderedPageBreak/>
        <w:t xml:space="preserve">Step </w:t>
      </w:r>
      <w:r w:rsidR="00D153C9">
        <w:t>1</w:t>
      </w:r>
      <w:r>
        <w:t>.</w:t>
      </w:r>
      <w:r w:rsidR="004A2D4D">
        <w:t>5</w:t>
      </w:r>
      <w:r w:rsidR="00155C15">
        <w:t xml:space="preserve"> </w:t>
      </w:r>
      <w:r w:rsidR="004A2D4D">
        <w:t>Positional Enrichment</w:t>
      </w:r>
    </w:p>
    <w:p w14:paraId="2F2C2BD8" w14:textId="77777777" w:rsidR="007F20FD" w:rsidRDefault="004A2D4D" w:rsidP="007F20FD">
      <w:pPr>
        <w:pStyle w:val="SUBHeading3"/>
      </w:pPr>
      <w:r>
        <w:rPr>
          <w:noProof/>
          <w:lang w:eastAsia="en-GB"/>
        </w:rPr>
        <w:drawing>
          <wp:inline distT="0" distB="0" distL="0" distR="0" wp14:anchorId="1BB8D14F" wp14:editId="1C429380">
            <wp:extent cx="5796280" cy="28981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6280" cy="2898140"/>
                    </a:xfrm>
                    <a:prstGeom prst="rect">
                      <a:avLst/>
                    </a:prstGeom>
                  </pic:spPr>
                </pic:pic>
              </a:graphicData>
            </a:graphic>
          </wp:inline>
        </w:drawing>
      </w:r>
    </w:p>
    <w:p w14:paraId="4C9AD73B" w14:textId="77777777" w:rsidR="00B618F9" w:rsidRDefault="00B618F9" w:rsidP="007F20FD">
      <w:pPr>
        <w:pStyle w:val="SUBHeading3"/>
      </w:pPr>
    </w:p>
    <w:p w14:paraId="6B3FE380" w14:textId="77777777" w:rsidR="004A2D4D" w:rsidRDefault="004A2D4D" w:rsidP="007F20FD">
      <w:pPr>
        <w:pStyle w:val="SUBHeading3"/>
      </w:pPr>
      <w:r>
        <w:rPr>
          <w:noProof/>
          <w:lang w:eastAsia="en-GB"/>
        </w:rPr>
        <w:drawing>
          <wp:inline distT="0" distB="0" distL="0" distR="0" wp14:anchorId="41215A22" wp14:editId="378BB2E1">
            <wp:extent cx="5796280" cy="28981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6280" cy="2898140"/>
                    </a:xfrm>
                    <a:prstGeom prst="rect">
                      <a:avLst/>
                    </a:prstGeom>
                  </pic:spPr>
                </pic:pic>
              </a:graphicData>
            </a:graphic>
          </wp:inline>
        </w:drawing>
      </w:r>
    </w:p>
    <w:p w14:paraId="0D078304" w14:textId="77777777" w:rsidR="008C3939" w:rsidRDefault="008C3939" w:rsidP="007F20FD">
      <w:pPr>
        <w:pStyle w:val="SUBHeading3"/>
      </w:pPr>
    </w:p>
    <w:p w14:paraId="7439D7F0" w14:textId="77777777" w:rsidR="00D153C9" w:rsidRDefault="00D153C9">
      <w:pPr>
        <w:spacing w:line="240" w:lineRule="auto"/>
        <w:jc w:val="left"/>
        <w:rPr>
          <w:b/>
          <w:snapToGrid w:val="0"/>
          <w:color w:val="1F497D" w:themeColor="text2"/>
          <w:sz w:val="24"/>
        </w:rPr>
      </w:pPr>
      <w:r>
        <w:br w:type="page"/>
      </w:r>
    </w:p>
    <w:p w14:paraId="6A1E07D3" w14:textId="77777777" w:rsidR="00D153C9" w:rsidRDefault="00D153C9" w:rsidP="00D153C9">
      <w:pPr>
        <w:pStyle w:val="Heading3"/>
      </w:pPr>
      <w:r>
        <w:lastRenderedPageBreak/>
        <w:t>Step 1.5 Scatterplot highlighting promoters</w:t>
      </w:r>
    </w:p>
    <w:p w14:paraId="1D1F0A63" w14:textId="77777777" w:rsidR="008C3939" w:rsidRDefault="00B618F9" w:rsidP="007F20FD">
      <w:pPr>
        <w:pStyle w:val="SUBHeading3"/>
      </w:pPr>
      <w:r>
        <w:rPr>
          <w:noProof/>
          <w:lang w:eastAsia="en-GB"/>
        </w:rPr>
        <w:drawing>
          <wp:inline distT="0" distB="0" distL="0" distR="0" wp14:anchorId="055A2421" wp14:editId="6E28B6EA">
            <wp:extent cx="5796280" cy="59620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6280" cy="5962015"/>
                    </a:xfrm>
                    <a:prstGeom prst="rect">
                      <a:avLst/>
                    </a:prstGeom>
                  </pic:spPr>
                </pic:pic>
              </a:graphicData>
            </a:graphic>
          </wp:inline>
        </w:drawing>
      </w:r>
    </w:p>
    <w:p w14:paraId="4ADE3E8C" w14:textId="77777777" w:rsidR="00155C15" w:rsidRPr="009F5DCB" w:rsidRDefault="00155C15" w:rsidP="00155C15">
      <w:pPr>
        <w:jc w:val="center"/>
      </w:pPr>
    </w:p>
    <w:p w14:paraId="4B125EBF" w14:textId="77777777" w:rsidR="00155C15" w:rsidRDefault="00155C15" w:rsidP="00155C15"/>
    <w:p w14:paraId="1AC98FB8" w14:textId="77777777" w:rsidR="003375B8" w:rsidRDefault="003375B8" w:rsidP="00155C15">
      <w:pPr>
        <w:jc w:val="center"/>
      </w:pPr>
    </w:p>
    <w:p w14:paraId="419B4083" w14:textId="77777777" w:rsidR="003375B8" w:rsidRDefault="003375B8" w:rsidP="00155C15">
      <w:pPr>
        <w:jc w:val="center"/>
      </w:pPr>
    </w:p>
    <w:p w14:paraId="7C06C40B" w14:textId="77777777" w:rsidR="00DA3EFA" w:rsidRPr="00DA3EFA" w:rsidRDefault="00DA3EFA" w:rsidP="00DA3EFA"/>
    <w:sectPr w:rsidR="00DA3EFA" w:rsidRPr="00DA3EFA" w:rsidSect="008E493F">
      <w:headerReference w:type="default" r:id="rId27"/>
      <w:type w:val="continuous"/>
      <w:pgSz w:w="11906" w:h="16838"/>
      <w:pgMar w:top="1077" w:right="1077" w:bottom="107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19E5" w14:textId="77777777" w:rsidR="0096006A" w:rsidRDefault="0096006A" w:rsidP="00DA3EFA">
      <w:pPr>
        <w:spacing w:line="240" w:lineRule="auto"/>
      </w:pPr>
      <w:r>
        <w:separator/>
      </w:r>
    </w:p>
  </w:endnote>
  <w:endnote w:type="continuationSeparator" w:id="0">
    <w:p w14:paraId="608D1C1D" w14:textId="77777777" w:rsidR="0096006A" w:rsidRDefault="0096006A" w:rsidP="00DA3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33D0" w14:textId="77777777" w:rsidR="0096006A" w:rsidRDefault="0096006A" w:rsidP="00DA3EFA">
      <w:pPr>
        <w:spacing w:line="240" w:lineRule="auto"/>
      </w:pPr>
      <w:r>
        <w:separator/>
      </w:r>
    </w:p>
  </w:footnote>
  <w:footnote w:type="continuationSeparator" w:id="0">
    <w:p w14:paraId="67F05F6C" w14:textId="77777777" w:rsidR="0096006A" w:rsidRDefault="0096006A" w:rsidP="00DA3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7E96F" w14:textId="77777777" w:rsidR="003F6320" w:rsidRDefault="003F6320" w:rsidP="003F63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4CFE">
      <w:rPr>
        <w:rStyle w:val="PageNumber"/>
        <w:noProof/>
      </w:rPr>
      <w:t>12</w:t>
    </w:r>
    <w:r>
      <w:rPr>
        <w:rStyle w:val="PageNumber"/>
      </w:rPr>
      <w:fldChar w:fldCharType="end"/>
    </w:r>
  </w:p>
  <w:p w14:paraId="2462FFBF" w14:textId="77777777" w:rsidR="00DA3EFA" w:rsidRDefault="00DA3EFA" w:rsidP="00DA3EFA">
    <w:pPr>
      <w:pStyle w:val="Header"/>
      <w:ind w:right="360"/>
    </w:pPr>
    <w:r>
      <w:rPr>
        <w:noProof/>
        <w:lang w:eastAsia="en-GB"/>
      </w:rPr>
      <w:drawing>
        <wp:anchor distT="0" distB="0" distL="114300" distR="114300" simplePos="0" relativeHeight="251656192" behindDoc="0" locked="0" layoutInCell="1" allowOverlap="1" wp14:anchorId="55A3116A" wp14:editId="6BDFF09D">
          <wp:simplePos x="0" y="0"/>
          <wp:positionH relativeFrom="column">
            <wp:posOffset>0</wp:posOffset>
          </wp:positionH>
          <wp:positionV relativeFrom="paragraph">
            <wp:posOffset>-89535</wp:posOffset>
          </wp:positionV>
          <wp:extent cx="810000" cy="288000"/>
          <wp:effectExtent l="0" t="0" r="0" b="0"/>
          <wp:wrapSquare wrapText="r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0000" cy="2880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3F6320">
      <w:t xml:space="preserve">Exercises: </w:t>
    </w:r>
    <w:r w:rsidR="00D153C9">
      <w:t>Visualising and Exploring</w:t>
    </w:r>
    <w:r w:rsidR="0013449B">
      <w:t xml:space="preserve"> ChIP</w:t>
    </w:r>
    <w:r w:rsidR="003F6320">
      <w:t>-Seq data</w:t>
    </w:r>
  </w:p>
  <w:p w14:paraId="04FA139D" w14:textId="77777777" w:rsidR="00DA3EFA" w:rsidRDefault="00DA3EFA" w:rsidP="00160615">
    <w:pPr>
      <w:pStyle w:val="Header"/>
      <w:spacing w:after="200"/>
    </w:pPr>
    <w:r>
      <w:rPr>
        <w:noProof/>
        <w:lang w:eastAsia="en-GB"/>
      </w:rPr>
      <mc:AlternateContent>
        <mc:Choice Requires="wps">
          <w:drawing>
            <wp:anchor distT="0" distB="0" distL="114300" distR="114300" simplePos="0" relativeHeight="251658240" behindDoc="0" locked="0" layoutInCell="0" allowOverlap="1" wp14:anchorId="091EA077" wp14:editId="76FE9838">
              <wp:simplePos x="0" y="0"/>
              <wp:positionH relativeFrom="column">
                <wp:posOffset>24765</wp:posOffset>
              </wp:positionH>
              <wp:positionV relativeFrom="paragraph">
                <wp:posOffset>118110</wp:posOffset>
              </wp:positionV>
              <wp:extent cx="5760720" cy="0"/>
              <wp:effectExtent l="0" t="0" r="11430" b="19050"/>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26336" id="Line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9.3pt" to="455.55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" o:allowincell="f">
              <w10:wrap type="topAndBotto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8C2"/>
    <w:multiLevelType w:val="hybridMultilevel"/>
    <w:tmpl w:val="016C0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609B4"/>
    <w:multiLevelType w:val="hybridMultilevel"/>
    <w:tmpl w:val="FDD8D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42ADA"/>
    <w:multiLevelType w:val="hybridMultilevel"/>
    <w:tmpl w:val="2D20AFE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29833E69"/>
    <w:multiLevelType w:val="hybridMultilevel"/>
    <w:tmpl w:val="011C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83506"/>
    <w:multiLevelType w:val="hybridMultilevel"/>
    <w:tmpl w:val="84040966"/>
    <w:lvl w:ilvl="0" w:tplc="D3842ADC">
      <w:start w:val="1"/>
      <w:numFmt w:val="bullet"/>
      <w:lvlText w:val=""/>
      <w:lvlJc w:val="left"/>
      <w:pPr>
        <w:ind w:left="720" w:hanging="360"/>
      </w:pPr>
      <w:rPr>
        <w:rFonts w:ascii="Symbol" w:hAnsi="Symbol" w:hint="default"/>
        <w:color w:val="1F497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234BE5"/>
    <w:multiLevelType w:val="hybridMultilevel"/>
    <w:tmpl w:val="86BC3ED2"/>
    <w:lvl w:ilvl="0" w:tplc="759C4A24">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320641"/>
    <w:multiLevelType w:val="hybridMultilevel"/>
    <w:tmpl w:val="4FE8D07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15:restartNumberingAfterBreak="0">
    <w:nsid w:val="61792DAB"/>
    <w:multiLevelType w:val="hybridMultilevel"/>
    <w:tmpl w:val="36E6A204"/>
    <w:lvl w:ilvl="0" w:tplc="22BC07EE">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162BB6"/>
    <w:multiLevelType w:val="hybridMultilevel"/>
    <w:tmpl w:val="99A24070"/>
    <w:lvl w:ilvl="0" w:tplc="77BA79B4">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C2403"/>
    <w:multiLevelType w:val="hybridMultilevel"/>
    <w:tmpl w:val="967CB31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15:restartNumberingAfterBreak="0">
    <w:nsid w:val="77E85CC7"/>
    <w:multiLevelType w:val="hybridMultilevel"/>
    <w:tmpl w:val="35E4FB02"/>
    <w:lvl w:ilvl="0" w:tplc="218AEEC0">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683385"/>
    <w:multiLevelType w:val="hybridMultilevel"/>
    <w:tmpl w:val="D5BC07FC"/>
    <w:lvl w:ilvl="0" w:tplc="9F24D192">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292559">
    <w:abstractNumId w:val="7"/>
  </w:num>
  <w:num w:numId="2" w16cid:durableId="1021247562">
    <w:abstractNumId w:val="10"/>
  </w:num>
  <w:num w:numId="3" w16cid:durableId="2131245881">
    <w:abstractNumId w:val="11"/>
  </w:num>
  <w:num w:numId="4" w16cid:durableId="147502954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74361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496324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8319860">
    <w:abstractNumId w:val="1"/>
  </w:num>
  <w:num w:numId="8" w16cid:durableId="128211911">
    <w:abstractNumId w:val="5"/>
  </w:num>
  <w:num w:numId="9" w16cid:durableId="1035351968">
    <w:abstractNumId w:val="0"/>
  </w:num>
  <w:num w:numId="10" w16cid:durableId="989675713">
    <w:abstractNumId w:val="2"/>
  </w:num>
  <w:num w:numId="11" w16cid:durableId="1069183596">
    <w:abstractNumId w:val="4"/>
  </w:num>
  <w:num w:numId="12" w16cid:durableId="2145387466">
    <w:abstractNumId w:val="8"/>
  </w:num>
  <w:num w:numId="13" w16cid:durableId="1701124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FA"/>
    <w:rsid w:val="00031162"/>
    <w:rsid w:val="000720A0"/>
    <w:rsid w:val="00076EF2"/>
    <w:rsid w:val="0009021F"/>
    <w:rsid w:val="0009256B"/>
    <w:rsid w:val="000D4C02"/>
    <w:rsid w:val="000D740A"/>
    <w:rsid w:val="000F0ECE"/>
    <w:rsid w:val="000F1E73"/>
    <w:rsid w:val="000F6ADB"/>
    <w:rsid w:val="00113D25"/>
    <w:rsid w:val="00127D3B"/>
    <w:rsid w:val="0013449B"/>
    <w:rsid w:val="00155C15"/>
    <w:rsid w:val="00156421"/>
    <w:rsid w:val="00160615"/>
    <w:rsid w:val="001728BA"/>
    <w:rsid w:val="00184CFE"/>
    <w:rsid w:val="001B4568"/>
    <w:rsid w:val="00212092"/>
    <w:rsid w:val="00287EF3"/>
    <w:rsid w:val="002A1F48"/>
    <w:rsid w:val="002A61D2"/>
    <w:rsid w:val="002F3DDA"/>
    <w:rsid w:val="00310C3D"/>
    <w:rsid w:val="00317061"/>
    <w:rsid w:val="003375B8"/>
    <w:rsid w:val="00340979"/>
    <w:rsid w:val="003606E2"/>
    <w:rsid w:val="003A20E6"/>
    <w:rsid w:val="003A223E"/>
    <w:rsid w:val="003A3383"/>
    <w:rsid w:val="003B16F4"/>
    <w:rsid w:val="003F6320"/>
    <w:rsid w:val="00421C78"/>
    <w:rsid w:val="00442BD3"/>
    <w:rsid w:val="00446996"/>
    <w:rsid w:val="00454556"/>
    <w:rsid w:val="0046246E"/>
    <w:rsid w:val="00480D9E"/>
    <w:rsid w:val="004815D7"/>
    <w:rsid w:val="0048790D"/>
    <w:rsid w:val="004A081B"/>
    <w:rsid w:val="004A2D4D"/>
    <w:rsid w:val="004B12F5"/>
    <w:rsid w:val="004E28DB"/>
    <w:rsid w:val="00583AA9"/>
    <w:rsid w:val="005A3CD9"/>
    <w:rsid w:val="005C7F4F"/>
    <w:rsid w:val="005E14F7"/>
    <w:rsid w:val="00622251"/>
    <w:rsid w:val="00661093"/>
    <w:rsid w:val="0066263C"/>
    <w:rsid w:val="006B183C"/>
    <w:rsid w:val="006E3475"/>
    <w:rsid w:val="0070323F"/>
    <w:rsid w:val="00722780"/>
    <w:rsid w:val="00733784"/>
    <w:rsid w:val="00782166"/>
    <w:rsid w:val="007B6080"/>
    <w:rsid w:val="007C69E5"/>
    <w:rsid w:val="007E4D5F"/>
    <w:rsid w:val="007F20FD"/>
    <w:rsid w:val="008216F3"/>
    <w:rsid w:val="00844B51"/>
    <w:rsid w:val="00887F57"/>
    <w:rsid w:val="008C3939"/>
    <w:rsid w:val="008E493F"/>
    <w:rsid w:val="008F5785"/>
    <w:rsid w:val="00901C37"/>
    <w:rsid w:val="009046EA"/>
    <w:rsid w:val="009378E2"/>
    <w:rsid w:val="0096006A"/>
    <w:rsid w:val="009A6F7E"/>
    <w:rsid w:val="00A03819"/>
    <w:rsid w:val="00A066EF"/>
    <w:rsid w:val="00A242E1"/>
    <w:rsid w:val="00A465DA"/>
    <w:rsid w:val="00A5245C"/>
    <w:rsid w:val="00A84446"/>
    <w:rsid w:val="00A933DE"/>
    <w:rsid w:val="00AA7C39"/>
    <w:rsid w:val="00B05A9D"/>
    <w:rsid w:val="00B32044"/>
    <w:rsid w:val="00B5153C"/>
    <w:rsid w:val="00B618F9"/>
    <w:rsid w:val="00B67B3F"/>
    <w:rsid w:val="00B86173"/>
    <w:rsid w:val="00BC07FE"/>
    <w:rsid w:val="00BC2665"/>
    <w:rsid w:val="00BD3E41"/>
    <w:rsid w:val="00BD4916"/>
    <w:rsid w:val="00BD4CC7"/>
    <w:rsid w:val="00C20F71"/>
    <w:rsid w:val="00C42A87"/>
    <w:rsid w:val="00C5219E"/>
    <w:rsid w:val="00C56FC6"/>
    <w:rsid w:val="00C63551"/>
    <w:rsid w:val="00C87A8E"/>
    <w:rsid w:val="00CB1790"/>
    <w:rsid w:val="00CB6FCC"/>
    <w:rsid w:val="00D153C9"/>
    <w:rsid w:val="00D16EEA"/>
    <w:rsid w:val="00D22F9E"/>
    <w:rsid w:val="00D33A7E"/>
    <w:rsid w:val="00D44B43"/>
    <w:rsid w:val="00D828A1"/>
    <w:rsid w:val="00D8468F"/>
    <w:rsid w:val="00DA01BF"/>
    <w:rsid w:val="00DA3373"/>
    <w:rsid w:val="00DA3EFA"/>
    <w:rsid w:val="00DA5AA1"/>
    <w:rsid w:val="00DB455C"/>
    <w:rsid w:val="00DB4E35"/>
    <w:rsid w:val="00DE7A93"/>
    <w:rsid w:val="00E05214"/>
    <w:rsid w:val="00E21510"/>
    <w:rsid w:val="00E44425"/>
    <w:rsid w:val="00E641D0"/>
    <w:rsid w:val="00E7736B"/>
    <w:rsid w:val="00E8343B"/>
    <w:rsid w:val="00EE357A"/>
    <w:rsid w:val="00F312E5"/>
    <w:rsid w:val="00F404B8"/>
    <w:rsid w:val="00F40F81"/>
    <w:rsid w:val="00F43829"/>
    <w:rsid w:val="00F52B06"/>
    <w:rsid w:val="00FB1C3A"/>
    <w:rsid w:val="00FB6995"/>
    <w:rsid w:val="00FD1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CA430"/>
  <w15:docId w15:val="{60D87389-E5E9-46A5-BCA4-F91DCDEA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6EA"/>
    <w:pPr>
      <w:spacing w:line="288" w:lineRule="auto"/>
      <w:jc w:val="both"/>
    </w:pPr>
    <w:rPr>
      <w:rFonts w:ascii="Arial" w:hAnsi="Arial"/>
    </w:rPr>
  </w:style>
  <w:style w:type="paragraph" w:styleId="Heading1">
    <w:name w:val="heading 1"/>
    <w:basedOn w:val="Normal"/>
    <w:next w:val="Normal"/>
    <w:link w:val="Heading1Char"/>
    <w:qFormat/>
    <w:rsid w:val="009046EA"/>
    <w:pPr>
      <w:keepNext/>
      <w:outlineLvl w:val="0"/>
    </w:pPr>
    <w:rPr>
      <w:b/>
      <w:color w:val="1F497D"/>
      <w:sz w:val="36"/>
    </w:rPr>
  </w:style>
  <w:style w:type="paragraph" w:styleId="Heading2">
    <w:name w:val="heading 2"/>
    <w:basedOn w:val="Normal"/>
    <w:next w:val="Normal"/>
    <w:link w:val="Heading2Char"/>
    <w:qFormat/>
    <w:rsid w:val="009046EA"/>
    <w:pPr>
      <w:keepNext/>
      <w:outlineLvl w:val="1"/>
    </w:pPr>
    <w:rPr>
      <w:b/>
      <w:i/>
      <w:color w:val="1F497D"/>
      <w:sz w:val="28"/>
    </w:rPr>
  </w:style>
  <w:style w:type="paragraph" w:styleId="Heading3">
    <w:name w:val="heading 3"/>
    <w:basedOn w:val="Normal"/>
    <w:next w:val="Normal"/>
    <w:link w:val="Heading3Char"/>
    <w:qFormat/>
    <w:rsid w:val="009046EA"/>
    <w:pPr>
      <w:keepNext/>
      <w:outlineLvl w:val="2"/>
    </w:pPr>
    <w:rPr>
      <w:b/>
      <w:snapToGrid w:val="0"/>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link w:val="codeChar"/>
    <w:qFormat/>
    <w:rsid w:val="009046EA"/>
    <w:pPr>
      <w:tabs>
        <w:tab w:val="left" w:pos="916"/>
        <w:tab w:val="left" w:pos="1832"/>
        <w:tab w:val="left" w:pos="2748"/>
        <w:tab w:val="left" w:pos="3664"/>
        <w:tab w:val="left" w:pos="4580"/>
        <w:tab w:val="left" w:pos="5496"/>
        <w:tab w:val="left" w:pos="6412"/>
        <w:tab w:val="left" w:pos="7328"/>
      </w:tabs>
      <w:spacing w:line="360" w:lineRule="auto"/>
      <w:jc w:val="left"/>
    </w:pPr>
    <w:rPr>
      <w:rFonts w:ascii="Courier New" w:hAnsi="Courier New" w:cs="Courier New"/>
      <w:color w:val="7F0055"/>
    </w:rPr>
  </w:style>
  <w:style w:type="character" w:customStyle="1" w:styleId="codeChar">
    <w:name w:val="code Char"/>
    <w:basedOn w:val="HTMLPreformattedChar"/>
    <w:link w:val="code"/>
    <w:rsid w:val="009046EA"/>
    <w:rPr>
      <w:rFonts w:ascii="Courier New" w:hAnsi="Courier New" w:cs="Courier New"/>
      <w:color w:val="7F0055"/>
    </w:rPr>
  </w:style>
  <w:style w:type="paragraph" w:styleId="HTMLPreformatted">
    <w:name w:val="HTML Preformatted"/>
    <w:basedOn w:val="Normal"/>
    <w:link w:val="HTMLPreformattedChar"/>
    <w:uiPriority w:val="99"/>
    <w:semiHidden/>
    <w:unhideWhenUsed/>
    <w:rsid w:val="009046EA"/>
    <w:rPr>
      <w:rFonts w:ascii="Consolas" w:hAnsi="Consolas" w:cs="Consolas"/>
    </w:rPr>
  </w:style>
  <w:style w:type="character" w:customStyle="1" w:styleId="HTMLPreformattedChar">
    <w:name w:val="HTML Preformatted Char"/>
    <w:basedOn w:val="DefaultParagraphFont"/>
    <w:link w:val="HTMLPreformatted"/>
    <w:uiPriority w:val="99"/>
    <w:semiHidden/>
    <w:rsid w:val="009046EA"/>
    <w:rPr>
      <w:rFonts w:ascii="Consolas" w:hAnsi="Consolas" w:cs="Consolas"/>
    </w:rPr>
  </w:style>
  <w:style w:type="character" w:customStyle="1" w:styleId="Heading1Char">
    <w:name w:val="Heading 1 Char"/>
    <w:link w:val="Heading1"/>
    <w:rsid w:val="009046EA"/>
    <w:rPr>
      <w:rFonts w:ascii="Arial" w:hAnsi="Arial"/>
      <w:b/>
      <w:color w:val="1F497D"/>
      <w:sz w:val="36"/>
    </w:rPr>
  </w:style>
  <w:style w:type="character" w:customStyle="1" w:styleId="Heading2Char">
    <w:name w:val="Heading 2 Char"/>
    <w:basedOn w:val="DefaultParagraphFont"/>
    <w:link w:val="Heading2"/>
    <w:rsid w:val="009046EA"/>
    <w:rPr>
      <w:rFonts w:ascii="Arial" w:hAnsi="Arial"/>
      <w:b/>
      <w:i/>
      <w:color w:val="1F497D"/>
      <w:sz w:val="28"/>
    </w:rPr>
  </w:style>
  <w:style w:type="character" w:customStyle="1" w:styleId="Heading3Char">
    <w:name w:val="Heading 3 Char"/>
    <w:basedOn w:val="DefaultParagraphFont"/>
    <w:link w:val="Heading3"/>
    <w:rsid w:val="009046EA"/>
    <w:rPr>
      <w:rFonts w:ascii="Arial" w:hAnsi="Arial"/>
      <w:b/>
      <w:snapToGrid w:val="0"/>
      <w:color w:val="1F497D" w:themeColor="text2"/>
      <w:sz w:val="24"/>
    </w:rPr>
  </w:style>
  <w:style w:type="paragraph" w:styleId="Caption">
    <w:name w:val="caption"/>
    <w:basedOn w:val="Normal"/>
    <w:next w:val="Normal"/>
    <w:uiPriority w:val="35"/>
    <w:unhideWhenUsed/>
    <w:qFormat/>
    <w:rsid w:val="009046EA"/>
    <w:pPr>
      <w:spacing w:after="200" w:line="240" w:lineRule="auto"/>
    </w:pPr>
    <w:rPr>
      <w:b/>
      <w:bCs/>
      <w:color w:val="4F81BD" w:themeColor="accent1"/>
      <w:sz w:val="18"/>
      <w:szCs w:val="18"/>
    </w:rPr>
  </w:style>
  <w:style w:type="character" w:styleId="Emphasis">
    <w:name w:val="Emphasis"/>
    <w:basedOn w:val="DefaultParagraphFont"/>
    <w:uiPriority w:val="20"/>
    <w:qFormat/>
    <w:rsid w:val="009046EA"/>
    <w:rPr>
      <w:i/>
      <w:iCs/>
    </w:rPr>
  </w:style>
  <w:style w:type="paragraph" w:styleId="NoSpacing">
    <w:name w:val="No Spacing"/>
    <w:uiPriority w:val="1"/>
    <w:qFormat/>
    <w:rsid w:val="009046EA"/>
    <w:pPr>
      <w:jc w:val="both"/>
    </w:pPr>
    <w:rPr>
      <w:rFonts w:ascii="Arial" w:hAnsi="Arial"/>
    </w:rPr>
  </w:style>
  <w:style w:type="paragraph" w:styleId="ListParagraph">
    <w:name w:val="List Paragraph"/>
    <w:basedOn w:val="Normal"/>
    <w:uiPriority w:val="34"/>
    <w:qFormat/>
    <w:rsid w:val="009046EA"/>
    <w:pPr>
      <w:ind w:left="720"/>
      <w:contextualSpacing/>
    </w:pPr>
  </w:style>
  <w:style w:type="character" w:styleId="IntenseEmphasis">
    <w:name w:val="Intense Emphasis"/>
    <w:basedOn w:val="DefaultParagraphFont"/>
    <w:uiPriority w:val="21"/>
    <w:qFormat/>
    <w:rsid w:val="009046EA"/>
    <w:rPr>
      <w:b/>
      <w:bCs/>
      <w:i/>
      <w:iCs/>
      <w:color w:val="4F81BD" w:themeColor="accent1"/>
    </w:rPr>
  </w:style>
  <w:style w:type="paragraph" w:styleId="TOCHeading">
    <w:name w:val="TOC Heading"/>
    <w:basedOn w:val="Heading1"/>
    <w:next w:val="Normal"/>
    <w:uiPriority w:val="39"/>
    <w:semiHidden/>
    <w:unhideWhenUsed/>
    <w:qFormat/>
    <w:rsid w:val="009046E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DA3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FA"/>
    <w:rPr>
      <w:rFonts w:ascii="Tahoma" w:hAnsi="Tahoma" w:cs="Tahoma"/>
      <w:sz w:val="16"/>
      <w:szCs w:val="16"/>
    </w:rPr>
  </w:style>
  <w:style w:type="paragraph" w:styleId="Header">
    <w:name w:val="header"/>
    <w:basedOn w:val="Normal"/>
    <w:link w:val="HeaderChar"/>
    <w:uiPriority w:val="99"/>
    <w:unhideWhenUsed/>
    <w:rsid w:val="00DA3EFA"/>
    <w:pPr>
      <w:tabs>
        <w:tab w:val="center" w:pos="4513"/>
        <w:tab w:val="right" w:pos="9026"/>
      </w:tabs>
      <w:spacing w:line="240" w:lineRule="auto"/>
    </w:pPr>
  </w:style>
  <w:style w:type="character" w:customStyle="1" w:styleId="HeaderChar">
    <w:name w:val="Header Char"/>
    <w:basedOn w:val="DefaultParagraphFont"/>
    <w:link w:val="Header"/>
    <w:uiPriority w:val="99"/>
    <w:rsid w:val="00DA3EFA"/>
    <w:rPr>
      <w:rFonts w:ascii="Arial" w:hAnsi="Arial"/>
    </w:rPr>
  </w:style>
  <w:style w:type="paragraph" w:styleId="Footer">
    <w:name w:val="footer"/>
    <w:basedOn w:val="Normal"/>
    <w:link w:val="FooterChar"/>
    <w:uiPriority w:val="99"/>
    <w:unhideWhenUsed/>
    <w:rsid w:val="00DA3EFA"/>
    <w:pPr>
      <w:tabs>
        <w:tab w:val="center" w:pos="4513"/>
        <w:tab w:val="right" w:pos="9026"/>
      </w:tabs>
      <w:spacing w:line="240" w:lineRule="auto"/>
    </w:pPr>
  </w:style>
  <w:style w:type="character" w:customStyle="1" w:styleId="FooterChar">
    <w:name w:val="Footer Char"/>
    <w:basedOn w:val="DefaultParagraphFont"/>
    <w:link w:val="Footer"/>
    <w:uiPriority w:val="99"/>
    <w:rsid w:val="00DA3EFA"/>
    <w:rPr>
      <w:rFonts w:ascii="Arial" w:hAnsi="Arial"/>
    </w:rPr>
  </w:style>
  <w:style w:type="character" w:styleId="PageNumber">
    <w:name w:val="page number"/>
    <w:basedOn w:val="DefaultParagraphFont"/>
    <w:rsid w:val="003F6320"/>
  </w:style>
  <w:style w:type="character" w:styleId="Hyperlink">
    <w:name w:val="Hyperlink"/>
    <w:basedOn w:val="DefaultParagraphFont"/>
    <w:uiPriority w:val="99"/>
    <w:unhideWhenUsed/>
    <w:rsid w:val="00160615"/>
    <w:rPr>
      <w:color w:val="0000FF" w:themeColor="hyperlink"/>
      <w:u w:val="single"/>
    </w:rPr>
  </w:style>
  <w:style w:type="paragraph" w:customStyle="1" w:styleId="Code0">
    <w:name w:val="Code"/>
    <w:basedOn w:val="Normal"/>
    <w:link w:val="CodeChar0"/>
    <w:rsid w:val="00155C15"/>
    <w:pPr>
      <w:shd w:val="clear" w:color="auto" w:fill="D9D9D9" w:themeFill="background1" w:themeFillShade="D9"/>
      <w:spacing w:line="276" w:lineRule="auto"/>
      <w:jc w:val="left"/>
    </w:pPr>
    <w:rPr>
      <w:rFonts w:ascii="Courier New" w:eastAsiaTheme="minorHAnsi" w:hAnsi="Courier New" w:cs="Courier New"/>
      <w:sz w:val="18"/>
      <w:szCs w:val="18"/>
    </w:rPr>
  </w:style>
  <w:style w:type="character" w:customStyle="1" w:styleId="CodeChar0">
    <w:name w:val="Code Char"/>
    <w:basedOn w:val="DefaultParagraphFont"/>
    <w:link w:val="Code0"/>
    <w:rsid w:val="00155C15"/>
    <w:rPr>
      <w:rFonts w:ascii="Courier New" w:eastAsiaTheme="minorHAnsi" w:hAnsi="Courier New" w:cs="Courier New"/>
      <w:sz w:val="18"/>
      <w:szCs w:val="18"/>
      <w:shd w:val="clear" w:color="auto" w:fill="D9D9D9" w:themeFill="background1" w:themeFillShade="D9"/>
    </w:rPr>
  </w:style>
  <w:style w:type="paragraph" w:customStyle="1" w:styleId="SUBHeading3">
    <w:name w:val="SUBHeading 3"/>
    <w:basedOn w:val="Heading3"/>
    <w:link w:val="SUBHeading3Char"/>
    <w:qFormat/>
    <w:rsid w:val="00155C15"/>
    <w:rPr>
      <w:sz w:val="20"/>
    </w:rPr>
  </w:style>
  <w:style w:type="character" w:customStyle="1" w:styleId="SUBHeading3Char">
    <w:name w:val="SUBHeading 3 Char"/>
    <w:basedOn w:val="Heading3Char"/>
    <w:link w:val="SUBHeading3"/>
    <w:rsid w:val="00155C15"/>
    <w:rPr>
      <w:rFonts w:ascii="Arial" w:hAnsi="Arial"/>
      <w:b/>
      <w:snapToGrid w:val="0"/>
      <w:color w:val="1F497D" w:themeColor="text2"/>
      <w:sz w:val="24"/>
    </w:rPr>
  </w:style>
  <w:style w:type="character" w:styleId="FollowedHyperlink">
    <w:name w:val="FollowedHyperlink"/>
    <w:basedOn w:val="DefaultParagraphFont"/>
    <w:uiPriority w:val="99"/>
    <w:semiHidden/>
    <w:unhideWhenUsed/>
    <w:rsid w:val="000F1E73"/>
    <w:rPr>
      <w:color w:val="800080" w:themeColor="followedHyperlink"/>
      <w:u w:val="single"/>
    </w:rPr>
  </w:style>
  <w:style w:type="paragraph" w:customStyle="1" w:styleId="codeoutput">
    <w:name w:val="code output"/>
    <w:basedOn w:val="code"/>
    <w:link w:val="codeoutputChar"/>
    <w:qFormat/>
    <w:rsid w:val="00442BD3"/>
    <w:rPr>
      <w:color w:val="595959" w:themeColor="text1" w:themeTint="A6"/>
    </w:rPr>
  </w:style>
  <w:style w:type="character" w:customStyle="1" w:styleId="codeoutputChar">
    <w:name w:val="code output Char"/>
    <w:basedOn w:val="codeChar"/>
    <w:link w:val="codeoutput"/>
    <w:rsid w:val="00442BD3"/>
    <w:rPr>
      <w:rFonts w:ascii="Courier New" w:hAnsi="Courier New" w:cs="Courier New"/>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5910">
      <w:bodyDiv w:val="1"/>
      <w:marLeft w:val="0"/>
      <w:marRight w:val="0"/>
      <w:marTop w:val="0"/>
      <w:marBottom w:val="0"/>
      <w:divBdr>
        <w:top w:val="none" w:sz="0" w:space="0" w:color="auto"/>
        <w:left w:val="none" w:sz="0" w:space="0" w:color="auto"/>
        <w:bottom w:val="none" w:sz="0" w:space="0" w:color="auto"/>
        <w:right w:val="none" w:sz="0" w:space="0" w:color="auto"/>
      </w:divBdr>
    </w:div>
    <w:div w:id="15853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sembl.org/Caenorhabditis_elegans/"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bioinformatics.babraham.ac.uk/projects/seqmon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reativecommons.org/licenses/by-nc-sa/2.0/uk/legalcod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8B6A6-039B-49EB-BA4A-4AF91097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Babraham Institute</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Andrews</dc:creator>
  <cp:lastModifiedBy>Shanzida Jahan Siddique</cp:lastModifiedBy>
  <cp:revision>2</cp:revision>
  <cp:lastPrinted>2017-02-01T11:40:00Z</cp:lastPrinted>
  <dcterms:created xsi:type="dcterms:W3CDTF">2023-03-22T15:22:00Z</dcterms:created>
  <dcterms:modified xsi:type="dcterms:W3CDTF">2023-03-22T15:22:00Z</dcterms:modified>
</cp:coreProperties>
</file>