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M5 供应链需求预测与补货决策</w:t>
      </w:r>
    </w:p>
    <w:p>
      <w:pPr>
        <w:jc w:val="center"/>
      </w:pPr>
      <w:r>
        <w:rPr>
          <w:rFonts w:ascii="微软雅黑" w:hAnsi="微软雅黑" w:eastAsia="微软雅黑"/>
          <w:b w:val="0"/>
        </w:rPr>
        <w:t>——从数据入库到成本最优服务水平的完整分析</w:t>
      </w:r>
    </w:p>
    <w:p>
      <w:pPr>
        <w:jc w:val="center"/>
      </w:pPr>
      <w:r>
        <w:rPr>
          <w:rFonts w:ascii="微软雅黑" w:hAnsi="微软雅黑" w:eastAsia="微软雅黑"/>
          <w:b w:val="0"/>
        </w:rPr>
        <w:t>数据范围：Walmart CA_1 门店 FOODS 品类，1,437 个 SKU × 1,941 天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摘要</w:t>
      </w:r>
    </w:p>
    <w:p>
      <w:r>
        <w:rPr>
          <w:rFonts w:ascii="微软雅黑" w:hAnsi="微软雅黑" w:eastAsia="微软雅黑"/>
          <w:b w:val="0"/>
        </w:rPr>
        <w:t>本报告基于 M5 公开数据集，为 CA_1 门店 FOODS 品类的 1,437 个 SKU 建立日需求预测模型，并据此设计 (R,S) 周期补货策略。数据规模 2,789,217 行（SKU-日）。四个模型 10 折滚动回测中，Holt-Winters 与 LightGBM 表现最佳（WMAPE 0.709 / 0.711），显著优于季节朴素法的 0.846。在统一的 95% SKU 级 fill rate 下，LightGBM 预测带来的总成本最低（31,248 美元），比朴素法低 3.7%。</w:t>
      </w:r>
    </w:p>
    <w:p>
      <w:pPr>
        <w:pStyle w:val="Heading1"/>
      </w:pPr>
      <w:r>
        <w:rPr>
          <w:rFonts w:ascii="微软雅黑" w:hAnsi="微软雅黑" w:eastAsia="微软雅黑"/>
        </w:rPr>
        <w:t>1  业务问题与数据边界</w:t>
      </w:r>
    </w:p>
    <w:p>
      <w:r>
        <w:rPr>
          <w:rFonts w:ascii="微软雅黑" w:hAnsi="微软雅黑" w:eastAsia="微软雅黑"/>
          <w:b w:val="0"/>
        </w:rPr>
        <w:t>目标是回答一个问题：在有限库存成本下，如何为 1,437 个 SKU 决定补货量，使缺货损失与持有成本之和最小。</w:t>
      </w:r>
    </w:p>
    <w:p>
      <w:r>
        <w:rPr>
          <w:rFonts w:ascii="微软雅黑" w:hAnsi="微软雅黑" w:eastAsia="微软雅黑"/>
          <w:b/>
        </w:rPr>
        <w:t>边界一：销量 ≠ 需求。数据集只记录成交销量，缺货期间的真实需求无法观测。因此所有模型学习的都是「有货条件下的销量」，服务水平越高，这个偏差越小，但在高缺货场景下预测会被系统性低估。</w:t>
      </w:r>
    </w:p>
    <w:p>
      <w:r>
        <w:rPr>
          <w:rFonts w:ascii="微软雅黑" w:hAnsi="微软雅黑" w:eastAsia="微软雅黑"/>
          <w:b w:val="0"/>
        </w:rPr>
        <w:t>边界二：单店单品类。全部结论仅适用于 CA_1 门店的 FOODS 品类，跨门店、跨品类的迁移未经验证。</w:t>
      </w:r>
    </w:p>
    <w:p>
      <w:r>
        <w:rPr>
          <w:rFonts w:ascii="微软雅黑" w:hAnsi="微软雅黑" w:eastAsia="微软雅黑"/>
          <w:b w:val="0"/>
        </w:rPr>
        <w:t>边界三：外部因素缺失。促销计划、竞品价格、天气等变量不在数据中，价格只能通过「相对近 28 日均价」间接刻画。</w:t>
      </w:r>
    </w:p>
    <w:p>
      <w:pPr>
        <w:pStyle w:val="Heading1"/>
      </w:pPr>
      <w:r>
        <w:rPr>
          <w:rFonts w:ascii="微软雅黑" w:hAnsi="微软雅黑" w:eastAsia="微软雅黑"/>
        </w:rPr>
        <w:t>2  数据工程</w:t>
      </w:r>
    </w:p>
    <w:p>
      <w:r>
        <w:rPr>
          <w:rFonts w:ascii="微软雅黑" w:hAnsi="微软雅黑" w:eastAsia="微软雅黑"/>
          <w:b w:val="0"/>
        </w:rPr>
        <w:t>原始文件为宽表（30,490 行 × 1,941 个日期列），转换为长表后入库 2,789,217 行。采用三表结构：sales（销量）、calendar（日历）、sell_prices（周价格），关联后形成分析视图 v_sales_enriched。</w:t>
      </w:r>
    </w:p>
    <w:p>
      <w:r>
        <w:rPr>
          <w:rFonts w:ascii="微软雅黑" w:hAnsi="微软雅黑" w:eastAsia="微软雅黑"/>
          <w:b w:val="0"/>
        </w:rPr>
        <w:t>2.1  数据质量校验</w:t>
      </w:r>
    </w:p>
    <w:p>
      <w:r>
        <w:rPr>
          <w:rFonts w:ascii="微软雅黑" w:hAnsi="微软雅黑" w:eastAsia="微软雅黑"/>
          <w:b w:val="0"/>
        </w:rPr>
        <w:t>检查 1　主键唯一性：PASS，异常行 0</w:t>
      </w:r>
    </w:p>
    <w:p>
      <w:r>
        <w:rPr>
          <w:rFonts w:ascii="微软雅黑" w:hAnsi="微软雅黑" w:eastAsia="微软雅黑"/>
          <w:b w:val="0"/>
        </w:rPr>
        <w:t>检查 2　行数完整性：PASS，异常行 0</w:t>
      </w:r>
    </w:p>
    <w:p>
      <w:r>
        <w:rPr>
          <w:rFonts w:ascii="微软雅黑" w:hAnsi="微软雅黑" w:eastAsia="微软雅黑"/>
          <w:b w:val="0"/>
        </w:rPr>
        <w:t>检查 3　参照完整性：PASS，异常行 0</w:t>
      </w:r>
    </w:p>
    <w:p>
      <w:r>
        <w:rPr>
          <w:rFonts w:ascii="微软雅黑" w:hAnsi="微软雅黑" w:eastAsia="微软雅黑"/>
          <w:b w:val="0"/>
        </w:rPr>
        <w:t>检查 4　取值合法性：PASS，异常行 0</w:t>
      </w:r>
    </w:p>
    <w:p>
      <w:r>
        <w:rPr>
          <w:rFonts w:ascii="微软雅黑" w:hAnsi="微软雅黑" w:eastAsia="微软雅黑"/>
          <w:b w:val="0"/>
        </w:rPr>
        <w:t>检查 5　时序连续性：PASS，异常行 0</w:t>
      </w:r>
    </w:p>
    <w:p>
      <w:r>
        <w:rPr>
          <w:rFonts w:ascii="微软雅黑" w:hAnsi="微软雅黑" w:eastAsia="微软雅黑"/>
          <w:b w:val="0"/>
        </w:rPr>
        <w:t>检查 6　分布异常：WARN，异常行 1,437（最长连续零天数最大 = 1845）</w:t>
      </w:r>
    </w:p>
    <w:p>
      <w:r>
        <w:rPr>
          <w:rFonts w:ascii="微软雅黑" w:hAnsi="微软雅黑" w:eastAsia="微软雅黑"/>
          <w:b w:val="0"/>
        </w:rPr>
        <w:t>第 6 项为 WARN 属预期：全部 SKU 都存在连续 28 天以上零销量，最长连续零销量达 1,845 天，反映食品类目的长尾结构，非数据缺陷。</w:t>
      </w:r>
    </w:p>
    <w:p>
      <w:r>
        <w:rPr>
          <w:rFonts w:ascii="微软雅黑" w:hAnsi="微软雅黑" w:eastAsia="微软雅黑"/>
          <w:b w:val="0"/>
        </w:rPr>
        <w:t>2.2  ABC 分层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分层</w:t>
            </w:r>
          </w:p>
        </w:tc>
        <w:tc>
          <w:tcPr>
            <w:tcW w:type="dxa" w:w="2160"/>
          </w:tcPr>
          <w:p>
            <w:r>
              <w:t>SKU 数</w:t>
            </w:r>
          </w:p>
        </w:tc>
        <w:tc>
          <w:tcPr>
            <w:tcW w:type="dxa" w:w="2160"/>
          </w:tcPr>
          <w:p>
            <w:r>
              <w:t>SKU 占比</w:t>
            </w:r>
          </w:p>
        </w:tc>
        <w:tc>
          <w:tcPr>
            <w:tcW w:type="dxa" w:w="2160"/>
          </w:tcPr>
          <w:p>
            <w:r>
              <w:t>销售额占比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70.0%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558</w:t>
            </w:r>
          </w:p>
        </w:tc>
        <w:tc>
          <w:tcPr>
            <w:tcW w:type="dxa" w:w="2160"/>
          </w:tcPr>
          <w:p>
            <w:r>
              <w:t>38.8%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BC帕累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2-1  ABC 帕累托曲线</w:t>
      </w:r>
    </w:p>
    <w:p>
      <w:pPr>
        <w:pStyle w:val="Heading1"/>
      </w:pPr>
      <w:r>
        <w:rPr>
          <w:rFonts w:ascii="微软雅黑" w:hAnsi="微软雅黑" w:eastAsia="微软雅黑"/>
        </w:rPr>
        <w:t>3  特征工程与防泄漏</w:t>
      </w:r>
    </w:p>
    <w:p>
      <w:r>
        <w:rPr>
          <w:rFonts w:ascii="微软雅黑" w:hAnsi="微软雅黑" w:eastAsia="微软雅黑"/>
          <w:b w:val="0"/>
        </w:rPr>
        <w:t>铁律：第 t 行的任何特征只能使用 t−1 天及以前的数据。所有滚动窗口右端一律取 「1 PRECEDING」，共构建 19 个特征：滞后（1/7/14/28 天）、滚动均值与标准差（7/28/56 天）、极值、零销量天数、趋势比、价格相对水平。</w:t>
      </w:r>
    </w:p>
    <w:p>
      <w:r>
        <w:rPr>
          <w:rFonts w:ascii="微软雅黑" w:hAnsi="微软雅黑" w:eastAsia="微软雅黑"/>
          <w:b w:val="0"/>
        </w:rPr>
        <w:t>3.1  防泄漏自检</w:t>
      </w:r>
    </w:p>
    <w:p>
      <w:r>
        <w:rPr>
          <w:rFonts w:ascii="微软雅黑" w:hAnsi="微软雅黑" w:eastAsia="微软雅黑"/>
          <w:b w:val="0"/>
        </w:rPr>
        <w:t>正确特征下，每个 SKU 第 1 天的 ma_7 必为空，全表共 1,437 个空值——实测吻合，证明窗口未包含当天。</w:t>
      </w:r>
    </w:p>
    <w:p>
      <w:r>
        <w:rPr>
          <w:rFonts w:ascii="微软雅黑" w:hAnsi="微软雅黑" w:eastAsia="微软雅黑"/>
          <w:b w:val="0"/>
        </w:rPr>
        <w:t>3.2  作弊对照实验</w:t>
      </w:r>
    </w:p>
    <w:p>
      <w:r>
        <w:rPr>
          <w:rFonts w:ascii="微软雅黑" w:hAnsi="微软雅黑" w:eastAsia="微软雅黑"/>
          <w:b w:val="0"/>
        </w:rPr>
        <w:t>构造一个使用「当天前后共 10 天实际均值」的作弊版预测，WMAPE 为 0.595，而正确版 LightGBM 为 0.711，虚高 16%。这说明一旦引入未来信息，离线指标会显著失真，上线后必然崩盘。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泄漏对照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  标签泄漏对照</w:t>
      </w:r>
    </w:p>
    <w:p>
      <w:pPr>
        <w:pStyle w:val="Heading1"/>
      </w:pPr>
      <w:r>
        <w:rPr>
          <w:rFonts w:ascii="微软雅黑" w:hAnsi="微软雅黑" w:eastAsia="微软雅黑"/>
        </w:rPr>
        <w:t>4  四模型回测结果</w:t>
      </w:r>
    </w:p>
    <w:p>
      <w:r>
        <w:rPr>
          <w:rFonts w:ascii="微软雅黑" w:hAnsi="微软雅黑" w:eastAsia="微软雅黑"/>
          <w:b w:val="0"/>
        </w:rPr>
        <w:t>采用 10 折滚动回测：每折用切点之前的数据训练，预测未来 42 天，只考核前 28 天。</w:t>
      </w:r>
    </w:p>
    <w:p>
      <w:r>
        <w:rPr>
          <w:rFonts w:ascii="微软雅黑" w:hAnsi="微软雅黑" w:eastAsia="微软雅黑"/>
          <w:b w:val="0"/>
        </w:rPr>
        <w:t>4.1  整体表现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keepNext/>
            </w:pPr>
            <w:r>
              <w:t>模型</w:t>
            </w:r>
          </w:p>
        </w:tc>
        <w:tc>
          <w:tcPr>
            <w:tcW w:type="dxa" w:w="2880"/>
          </w:tcPr>
          <w:p>
            <w:pPr>
              <w:keepNext/>
            </w:pPr>
            <w:r>
              <w:t>10 折平均 WMAPE</w:t>
            </w:r>
          </w:p>
        </w:tc>
        <w:tc>
          <w:tcPr>
            <w:tcW w:type="dxa" w:w="2880"/>
          </w:tcPr>
          <w:p>
            <w:pPr>
              <w:keepNext/>
            </w:pPr>
            <w:r>
              <w:t>相对季节朴素改善</w:t>
            </w:r>
          </w:p>
        </w:tc>
      </w:tr>
      <w:tr>
        <w:tc>
          <w:tcPr>
            <w:tcW w:type="dxa" w:w="2880"/>
          </w:tcPr>
          <w:p>
            <w:pPr>
              <w:keepNext/>
            </w:pPr>
            <w:r>
              <w:t>hw</w:t>
            </w:r>
          </w:p>
        </w:tc>
        <w:tc>
          <w:tcPr>
            <w:tcW w:type="dxa" w:w="2880"/>
          </w:tcPr>
          <w:p>
            <w:pPr>
              <w:keepNext/>
            </w:pPr>
            <w:r>
              <w:t>0.7090</w:t>
            </w:r>
          </w:p>
        </w:tc>
        <w:tc>
          <w:tcPr>
            <w:tcW w:type="dxa" w:w="2880"/>
          </w:tcPr>
          <w:p>
            <w:pPr>
              <w:keepNext/>
            </w:pPr>
            <w:r>
              <w:t>+16.1%</w:t>
            </w:r>
          </w:p>
        </w:tc>
      </w:tr>
      <w:tr>
        <w:tc>
          <w:tcPr>
            <w:tcW w:type="dxa" w:w="2880"/>
          </w:tcPr>
          <w:p>
            <w:pPr>
              <w:keepNext/>
            </w:pPr>
            <w:r>
              <w:t>lgbm</w:t>
            </w:r>
          </w:p>
        </w:tc>
        <w:tc>
          <w:tcPr>
            <w:tcW w:type="dxa" w:w="2880"/>
          </w:tcPr>
          <w:p>
            <w:pPr>
              <w:keepNext/>
            </w:pPr>
            <w:r>
              <w:t>0.7114</w:t>
            </w:r>
          </w:p>
        </w:tc>
        <w:tc>
          <w:tcPr>
            <w:tcW w:type="dxa" w:w="2880"/>
          </w:tcPr>
          <w:p>
            <w:pPr>
              <w:keepNext/>
            </w:pPr>
            <w:r>
              <w:t>+15.9%</w:t>
            </w:r>
          </w:p>
        </w:tc>
      </w:tr>
      <w:tr>
        <w:tc>
          <w:tcPr>
            <w:tcW w:type="dxa" w:w="2880"/>
          </w:tcPr>
          <w:p>
            <w:pPr>
              <w:keepNext/>
            </w:pPr>
            <w:r>
              <w:t>ma28</w:t>
            </w:r>
          </w:p>
        </w:tc>
        <w:tc>
          <w:tcPr>
            <w:tcW w:type="dxa" w:w="2880"/>
          </w:tcPr>
          <w:p>
            <w:pPr>
              <w:keepNext/>
            </w:pPr>
            <w:r>
              <w:t>0.7285</w:t>
            </w:r>
          </w:p>
        </w:tc>
        <w:tc>
          <w:tcPr>
            <w:tcW w:type="dxa" w:w="2880"/>
          </w:tcPr>
          <w:p>
            <w:pPr>
              <w:keepNext/>
            </w:pPr>
            <w:r>
              <w:t>+13.8%</w:t>
            </w:r>
          </w:p>
        </w:tc>
      </w:tr>
      <w:tr>
        <w:tc>
          <w:tcPr>
            <w:tcW w:type="dxa" w:w="2880"/>
          </w:tcPr>
          <w:p>
            <w:r>
              <w:t>naive</w:t>
            </w:r>
          </w:p>
        </w:tc>
        <w:tc>
          <w:tcPr>
            <w:tcW w:type="dxa" w:w="2880"/>
          </w:tcPr>
          <w:p>
            <w:r>
              <w:t>0.8456</w:t>
            </w:r>
          </w:p>
        </w:tc>
        <w:tc>
          <w:tcPr>
            <w:tcW w:type="dxa" w:w="2880"/>
          </w:tcPr>
          <w:p>
            <w:r>
              <w:t>+0.0%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十折稳定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4-1  10 折回测稳定性</w:t>
      </w:r>
    </w:p>
    <w:p>
      <w:r>
        <w:rPr>
          <w:rFonts w:ascii="微软雅黑" w:hAnsi="微软雅黑" w:eastAsia="微软雅黑"/>
          <w:b w:val="0"/>
        </w:rPr>
        <w:t>4.2  分 ABC 的误差</w:t>
      </w:r>
    </w:p>
    <w:p>
      <w:r>
        <w:rPr>
          <w:rFonts w:ascii="微软雅黑" w:hAnsi="微软雅黑" w:eastAsia="微软雅黑"/>
          <w:b w:val="0"/>
        </w:rPr>
        <w:t>误差随销量层级明显恶化：A 类最好，C 类最差。值得注意的是，在 C 类上单调移动平均（ma28）反而优于 LightGBM——低销量、高间歇性的序列上，复杂模型容易过拟合噪声。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pPr>
              <w:keepNext/>
            </w:pPr>
            <w:r>
              <w:t>分层</w:t>
            </w:r>
          </w:p>
        </w:tc>
        <w:tc>
          <w:tcPr>
            <w:tcW w:type="dxa" w:w="2160"/>
          </w:tcPr>
          <w:p>
            <w:pPr>
              <w:keepNext/>
            </w:pPr>
            <w:r>
              <w:t>LightGBM</w:t>
            </w:r>
          </w:p>
        </w:tc>
        <w:tc>
          <w:tcPr>
            <w:tcW w:type="dxa" w:w="2160"/>
          </w:tcPr>
          <w:p>
            <w:pPr>
              <w:keepNext/>
            </w:pPr>
            <w:r>
              <w:t>ma28</w:t>
            </w:r>
          </w:p>
        </w:tc>
        <w:tc>
          <w:tcPr>
            <w:tcW w:type="dxa" w:w="2160"/>
          </w:tcPr>
          <w:p>
            <w:pPr>
              <w:keepNext/>
            </w:pPr>
            <w:r>
              <w:t>naive</w:t>
            </w:r>
          </w:p>
        </w:tc>
      </w:tr>
      <w:tr>
        <w:tc>
          <w:tcPr>
            <w:tcW w:type="dxa" w:w="2160"/>
          </w:tcPr>
          <w:p>
            <w:pPr>
              <w:keepNext/>
            </w:pPr>
            <w:r>
              <w:t>A 类</w:t>
            </w:r>
          </w:p>
        </w:tc>
        <w:tc>
          <w:tcPr>
            <w:tcW w:type="dxa" w:w="2160"/>
          </w:tcPr>
          <w:p>
            <w:pPr>
              <w:keepNext/>
            </w:pPr>
            <w:r>
              <w:t>0.565</w:t>
            </w:r>
          </w:p>
        </w:tc>
        <w:tc>
          <w:tcPr>
            <w:tcW w:type="dxa" w:w="2160"/>
          </w:tcPr>
          <w:p>
            <w:pPr>
              <w:keepNext/>
            </w:pPr>
            <w:r>
              <w:t>0.589</w:t>
            </w:r>
          </w:p>
        </w:tc>
        <w:tc>
          <w:tcPr>
            <w:tcW w:type="dxa" w:w="2160"/>
          </w:tcPr>
          <w:p>
            <w:pPr>
              <w:keepNext/>
            </w:pPr>
            <w:r>
              <w:t>0.678</w:t>
            </w:r>
          </w:p>
        </w:tc>
      </w:tr>
      <w:tr>
        <w:tc>
          <w:tcPr>
            <w:tcW w:type="dxa" w:w="2160"/>
          </w:tcPr>
          <w:p>
            <w:pPr>
              <w:keepNext/>
            </w:pPr>
            <w:r>
              <w:t>B 类</w:t>
            </w:r>
          </w:p>
        </w:tc>
        <w:tc>
          <w:tcPr>
            <w:tcW w:type="dxa" w:w="2160"/>
          </w:tcPr>
          <w:p>
            <w:pPr>
              <w:keepNext/>
            </w:pPr>
            <w:r>
              <w:t>0.884</w:t>
            </w:r>
          </w:p>
        </w:tc>
        <w:tc>
          <w:tcPr>
            <w:tcW w:type="dxa" w:w="2160"/>
          </w:tcPr>
          <w:p>
            <w:pPr>
              <w:keepNext/>
            </w:pPr>
            <w:r>
              <w:t>0.902</w:t>
            </w:r>
          </w:p>
        </w:tc>
        <w:tc>
          <w:tcPr>
            <w:tcW w:type="dxa" w:w="2160"/>
          </w:tcPr>
          <w:p>
            <w:pPr>
              <w:keepNext/>
            </w:pPr>
            <w:r>
              <w:t>1.073</w:t>
            </w:r>
          </w:p>
        </w:tc>
      </w:tr>
      <w:tr>
        <w:tc>
          <w:tcPr>
            <w:tcW w:type="dxa" w:w="2160"/>
          </w:tcPr>
          <w:p>
            <w:r>
              <w:t>C 类</w:t>
            </w:r>
          </w:p>
        </w:tc>
        <w:tc>
          <w:tcPr>
            <w:tcW w:type="dxa" w:w="2160"/>
          </w:tcPr>
          <w:p>
            <w:r>
              <w:t>1.192</w:t>
            </w:r>
          </w:p>
        </w:tc>
        <w:tc>
          <w:tcPr>
            <w:tcW w:type="dxa" w:w="2160"/>
          </w:tcPr>
          <w:p>
            <w:r>
              <w:t>1.155</w:t>
            </w:r>
          </w:p>
        </w:tc>
        <w:tc>
          <w:tcPr>
            <w:tcW w:type="dxa" w:w="2160"/>
          </w:tcPr>
          <w:p>
            <w:r>
              <w:t>1.323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四模型分ABC误差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4-2  四模型分 ABC 的预测误差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预测vs实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4-3  第 10 折预测与实际对比</w:t>
      </w:r>
    </w:p>
    <w:p>
      <w:r>
        <w:rPr>
          <w:rFonts w:ascii="微软雅黑" w:hAnsi="微软雅黑" w:eastAsia="微软雅黑"/>
          <w:b w:val="0"/>
        </w:rPr>
        <w:t>预测准确复现了周内节律，但在考核窗口内整体略高于实际值，属保守偏置——在补货场景中偏向「多备」是安全侧偏差。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残差分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4-4  残差分布</w:t>
      </w:r>
    </w:p>
    <w:p>
      <w:pPr>
        <w:pStyle w:val="Heading1"/>
      </w:pPr>
      <w:r>
        <w:rPr>
          <w:rFonts w:ascii="微软雅黑" w:hAnsi="微软雅黑" w:eastAsia="微软雅黑"/>
        </w:rPr>
        <w:t>5  补货仿真：等服务水平下的库存效率</w:t>
      </w:r>
    </w:p>
    <w:p>
      <w:r>
        <w:rPr>
          <w:rFonts w:ascii="微软雅黑" w:hAnsi="微软雅黑" w:eastAsia="微软雅黑"/>
          <w:b w:val="0"/>
        </w:rPr>
        <w:t>补货策略为 (R,S)：每 7 天评审一次，提前期 7 天，保护期 14 天。安全库存通过求解 fill rate 方程 β(SS)=0.95 得到，而非简单取分位数——分位数控制的是不缺货概率（cycle service level），不是订单满足率。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/>
        </w:trPr>
        <w:tc>
          <w:tcPr>
            <w:tcW w:type="dxa" w:w="1234"/>
          </w:tcPr>
          <w:p>
            <w:pPr>
              <w:keepNext/>
            </w:pPr>
            <w:r>
              <w:t>预测依据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SKU 级 fill rate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系统 fill rate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平均库存(件)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库存金额($)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DOS(天)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总成本($)</w:t>
            </w:r>
          </w:p>
        </w:tc>
      </w:tr>
      <w:tr>
        <w:tc>
          <w:tcPr>
            <w:tcW w:type="dxa" w:w="1234"/>
          </w:tcPr>
          <w:p>
            <w:pPr>
              <w:keepNext/>
            </w:pPr>
            <w:r>
              <w:t>naive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0.9530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0.9567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40,429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107,121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14.3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32,454</w:t>
            </w:r>
          </w:p>
        </w:tc>
      </w:tr>
      <w:tr>
        <w:tc>
          <w:tcPr>
            <w:tcW w:type="dxa" w:w="1234"/>
          </w:tcPr>
          <w:p>
            <w:pPr>
              <w:keepNext/>
            </w:pPr>
            <w:r>
              <w:t>ma28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0.9528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0.9579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37,097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97,224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13.1</w:t>
            </w:r>
          </w:p>
        </w:tc>
        <w:tc>
          <w:tcPr>
            <w:tcW w:type="dxa" w:w="1234"/>
          </w:tcPr>
          <w:p>
            <w:pPr>
              <w:keepNext/>
            </w:pPr>
            <w:r>
              <w:t>31,576</w:t>
            </w:r>
          </w:p>
        </w:tc>
      </w:tr>
      <w:tr>
        <w:tc>
          <w:tcPr>
            <w:tcW w:type="dxa" w:w="1234"/>
          </w:tcPr>
          <w:p>
            <w:r>
              <w:t>lgbm</w:t>
            </w:r>
          </w:p>
        </w:tc>
        <w:tc>
          <w:tcPr>
            <w:tcW w:type="dxa" w:w="1234"/>
          </w:tcPr>
          <w:p>
            <w:r>
              <w:t>0.9529</w:t>
            </w:r>
          </w:p>
        </w:tc>
        <w:tc>
          <w:tcPr>
            <w:tcW w:type="dxa" w:w="1234"/>
          </w:tcPr>
          <w:p>
            <w:r>
              <w:t>0.9591</w:t>
            </w:r>
          </w:p>
        </w:tc>
        <w:tc>
          <w:tcPr>
            <w:tcW w:type="dxa" w:w="1234"/>
          </w:tcPr>
          <w:p>
            <w:r>
              <w:t>38,670</w:t>
            </w:r>
          </w:p>
        </w:tc>
        <w:tc>
          <w:tcPr>
            <w:tcW w:type="dxa" w:w="1234"/>
          </w:tcPr>
          <w:p>
            <w:r>
              <w:t>101,384</w:t>
            </w:r>
          </w:p>
        </w:tc>
        <w:tc>
          <w:tcPr>
            <w:tcW w:type="dxa" w:w="1234"/>
          </w:tcPr>
          <w:p>
            <w:r>
              <w:t>13.7</w:t>
            </w:r>
          </w:p>
        </w:tc>
        <w:tc>
          <w:tcPr>
            <w:tcW w:type="dxa" w:w="1234"/>
          </w:tcPr>
          <w:p>
            <w:r>
              <w:t>31,248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50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三基准库存对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5-1  同一 fill rate 下的库存与成本对比</w:t>
      </w:r>
    </w:p>
    <w:p>
      <w:r>
        <w:rPr>
          <w:rFonts w:ascii="微软雅黑" w:hAnsi="微软雅黑" w:eastAsia="微软雅黑"/>
          <w:b w:val="0"/>
        </w:rPr>
        <w:t>LightGBM 的总成本最低（31,248），但库存并非最少（101,384 vs ma28 的 97,224）——它用略高的库存换来了更少的缺货。这说明评价补货方案不能只看库存，必须看总成本。</w:t>
      </w:r>
    </w:p>
    <w:p>
      <w:pPr>
        <w:pStyle w:val="Heading1"/>
      </w:pPr>
      <w:r>
        <w:rPr>
          <w:rFonts w:ascii="微软雅黑" w:hAnsi="微软雅黑" w:eastAsia="微软雅黑"/>
        </w:rPr>
        <w:t>6  服务水平与成本的权衡</w:t>
      </w:r>
    </w:p>
    <w:p>
      <w:r>
        <w:rPr>
          <w:rFonts w:ascii="微软雅黑" w:hAnsi="微软雅黑" w:eastAsia="微软雅黑"/>
          <w:b w:val="0"/>
        </w:rPr>
        <w:t>扫描 9~11 个 fill rate 目标点，每个点重新求解安全库存并仿真。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库存服务水平权衡曲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6-1  库存–服务水平权衡曲线</w:t>
      </w:r>
    </w:p>
    <w:p>
      <w:r>
        <w:rPr>
          <w:rFonts w:ascii="微软雅黑" w:hAnsi="微软雅黑" w:eastAsia="微软雅黑"/>
          <w:b w:val="0"/>
        </w:rPr>
        <w:t>库存金额随服务水平加速上升，总成本呈 U 形，成本最优点出现在 99.8%（总成本 18,564 美元）。</w:t>
      </w:r>
    </w:p>
    <w:p>
      <w:r>
        <w:rPr>
          <w:rFonts w:ascii="微软雅黑" w:hAnsi="微软雅黑" w:eastAsia="微软雅黑"/>
          <w:b/>
        </w:rPr>
        <w:t>该最优点明显高于行业常见的 96~98%，原因在于成本参数：持有成本为单价的 22%/年，而缺货损失仅计 25% 毛利。换算下来「多备一件货 553 天」才等于「丢一单的损失」，因此模型自然倾向高服务水平。</w:t>
      </w:r>
    </w:p>
    <w:p>
      <w:r>
        <w:rPr>
          <w:rFonts w:ascii="微软雅黑" w:hAnsi="微软雅黑" w:eastAsia="微软雅黑"/>
          <w:b w:val="0"/>
        </w:rPr>
        <w:t>这提示：若把缺货的信誉成本（客户流失、品牌损伤）纳入，最优点会回落。真实决策中不应只按毛利计算缺货损失。</w:t>
      </w:r>
    </w:p>
    <w:p>
      <w:pPr>
        <w:pStyle w:val="Heading1"/>
      </w:pPr>
      <w:r>
        <w:rPr>
          <w:rFonts w:ascii="微软雅黑" w:hAnsi="微软雅黑" w:eastAsia="微软雅黑"/>
        </w:rPr>
        <w:t>7  结论与建议</w:t>
      </w:r>
    </w:p>
    <w:p>
      <w:r>
        <w:rPr>
          <w:rFonts w:ascii="微软雅黑" w:hAnsi="微软雅黑" w:eastAsia="微软雅黑"/>
          <w:b w:val="0"/>
        </w:rPr>
        <w:t>（1）预测精度能直接转化为成本。同等服务水淮下，LightGBM 比朴素法节省 3.7% 总成本。</w:t>
      </w:r>
    </w:p>
    <w:p>
      <w:r>
        <w:rPr>
          <w:rFonts w:ascii="微软雅黑" w:hAnsi="微软雅黑" w:eastAsia="微软雅黑"/>
          <w:b w:val="0"/>
        </w:rPr>
        <w:t>（2）分层施策。A 类用机器学习模型，C 类（占 SKU 数近四成、仅贡献 10% 销售额）建议用简单移动平均甚至固定补货量，投入产出比更高。</w:t>
      </w:r>
    </w:p>
    <w:p>
      <w:r>
        <w:rPr>
          <w:rFonts w:ascii="微软雅黑" w:hAnsi="微软雅黑" w:eastAsia="微软雅黑"/>
          <w:b w:val="0"/>
        </w:rPr>
        <w:t>（3）服务水平不应只按毛利反推。当前成本假设下最优解接近 99%，实践中需结合缺货的真实业务代价重新标定。</w:t>
      </w:r>
    </w:p>
    <w:p>
      <w:r>
        <w:rPr>
          <w:rFonts w:ascii="微软雅黑" w:hAnsi="微软雅黑" w:eastAsia="微软雅黑"/>
          <w:b w:val="0"/>
        </w:rPr>
        <w:t>7.1  局限</w:t>
      </w:r>
    </w:p>
    <w:p>
      <w:r>
        <w:rPr>
          <w:rFonts w:ascii="微软雅黑" w:hAnsi="微软雅黑" w:eastAsia="微软雅黑"/>
          <w:b w:val="0"/>
        </w:rPr>
        <w:t>销量不等于需求的删失偏差；未纳入促销计划与竞品信息；仅单店单品类；Holt-Winters 与 LightGBM 差距在统计上不显著（0.709 vs 0.711）。</w:t>
      </w:r>
    </w:p>
    <w:p>
      <w:r>
        <w:rPr>
          <w:rFonts w:ascii="微软雅黑" w:hAnsi="微软雅黑" w:eastAsia="微软雅黑"/>
          <w:b w:val="0"/>
        </w:rPr>
        <w:t>7.2  过程中发现并修正的三处缺陷</w:t>
      </w:r>
    </w:p>
    <w:p>
      <w:r>
        <w:rPr>
          <w:rFonts w:ascii="微软雅黑" w:hAnsi="微软雅黑" w:eastAsia="微软雅黑"/>
          <w:b w:val="0"/>
        </w:rPr>
        <w:t>① 价格向前填充分组错误：原实现用「累计空值数」分组，导致无缺失序列的所有行落入同一组，价格被填成历史最高价。改用「累计非空数」分组后，填充值与原始记录完全一致。</w:t>
      </w:r>
    </w:p>
    <w:p>
      <w:r>
        <w:rPr>
          <w:rFonts w:ascii="微软雅黑" w:hAnsi="微软雅黑" w:eastAsia="微软雅黑"/>
          <w:b w:val="0"/>
        </w:rPr>
        <w:t>② 递归预测特征错位：滞后特征在「当天预测向量」上做 np.roll，等于用其他 SKU 的预测值当作自身滞后，WMAPE 高达 0.97。</w:t>
      </w:r>
    </w:p>
    <w:p>
      <w:r>
        <w:rPr>
          <w:rFonts w:ascii="微软雅黑" w:hAnsi="微软雅黑" w:eastAsia="微软雅黑"/>
          <w:b w:val="0"/>
        </w:rPr>
        <w:t>③ 补货仿真在途未清零：订单一进入在途槽位就再未清空，每 7 天重复到货，导致库存虚增、fill rate 恒为 100%。</w:t>
      </w:r>
    </w:p>
    <w:p>
      <w:pPr>
        <w:pStyle w:val="Heading1"/>
      </w:pPr>
      <w:r>
        <w:rPr>
          <w:rFonts w:ascii="微软雅黑" w:hAnsi="微软雅黑" w:eastAsia="微软雅黑"/>
        </w:rPr>
        <w:t>附录  复现步骤</w:t>
      </w:r>
    </w:p>
    <w:p>
      <w:r>
        <w:rPr>
          <w:rFonts w:ascii="微软雅黑" w:hAnsi="微软雅黑" w:eastAsia="微软雅黑"/>
          <w:b w:val="0"/>
        </w:rPr>
        <w:t>1. pip install -r requirements.txt</w:t>
      </w:r>
    </w:p>
    <w:p>
      <w:r>
        <w:rPr>
          <w:rFonts w:ascii="微软雅黑" w:hAnsi="微软雅黑" w:eastAsia="微软雅黑"/>
          <w:b w:val="0"/>
        </w:rPr>
        <w:t>2. 从 Kaggle 下载 M5 数据放入 data/</w:t>
      </w:r>
    </w:p>
    <w:p>
      <w:r>
        <w:rPr>
          <w:rFonts w:ascii="微软雅黑" w:hAnsi="微软雅黑" w:eastAsia="微软雅黑"/>
          <w:b w:val="0"/>
        </w:rPr>
        <w:t>3. py 10_ingest.py → 11_load_sales.py → 12_load_dims.py</w:t>
      </w:r>
    </w:p>
    <w:p>
      <w:r>
        <w:rPr>
          <w:rFonts w:ascii="微软雅黑" w:hAnsi="微软雅黑" w:eastAsia="微软雅黑"/>
          <w:b w:val="0"/>
        </w:rPr>
        <w:t>4. Workbench 执行 sql/02_enrich.sql、02b_fix_price.sql、04_abc.sql</w:t>
      </w:r>
    </w:p>
    <w:p>
      <w:r>
        <w:rPr>
          <w:rFonts w:ascii="微软雅黑" w:hAnsi="微软雅黑" w:eastAsia="微软雅黑"/>
          <w:b w:val="0"/>
        </w:rPr>
        <w:t>5. py 13_build_features.py</w:t>
      </w:r>
    </w:p>
    <w:p>
      <w:r>
        <w:rPr>
          <w:rFonts w:ascii="微软雅黑" w:hAnsi="微软雅黑" w:eastAsia="微软雅黑"/>
          <w:b w:val="0"/>
        </w:rPr>
        <w:t>6. py 30_backtest.py / 31_rerun_lgbm.py</w:t>
      </w:r>
    </w:p>
    <w:p>
      <w:r>
        <w:rPr>
          <w:rFonts w:ascii="微软雅黑" w:hAnsi="微软雅黑" w:eastAsia="微软雅黑"/>
          <w:b w:val="0"/>
        </w:rPr>
        <w:t>7. py 40_simulate.py</w:t>
      </w:r>
    </w:p>
    <w:p>
      <w:r>
        <w:rPr>
          <w:rFonts w:ascii="微软雅黑" w:hAnsi="微软雅黑" w:eastAsia="微软雅黑"/>
          <w:b w:val="0"/>
        </w:rPr>
        <w:t>8. py 50_weekly.py、60_figs_01_04.py、61_figs_05_11.py</w:t>
      </w:r>
    </w:p>
    <w:p>
      <w:r>
        <w:rPr>
          <w:rFonts w:ascii="微软雅黑" w:hAnsi="微软雅黑" w:eastAsia="微软雅黑"/>
          <w:b w:val="0"/>
        </w:rPr>
        <w:t>9. py 70_report.py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