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ROS2延迟（2.11）论文解读A Faster and More Reliable Middleware for Autonomous Driving Systems</w:t>
      </w:r>
    </w:p>
    <w:p>
      <w:r>
        <w:t>作者：林克鲁布</w:t>
      </w:r>
    </w:p>
    <w:p>
      <w:r>
        <w:t>原文：https://zhuanlan.zhihu.com/p/2093699695193354863</w:t>
      </w:r>
    </w:p>
    <w:p>
      <w:r>
        <w:t>论文链接：</w:t>
      </w:r>
    </w:p>
    <w:p>
      <w:r>
        <w:t>https://arxiv.org/abs/2510.11448</w:t>
        <w:br/>
        <w:t>arxiv.org/abs/2510.11448</w:t>
      </w:r>
    </w:p>
    <w:p>
      <w:r>
        <w:t>github:</w:t>
      </w:r>
    </w:p>
    <w:p>
      <w:r>
        <w:t>https://github.com/Croquembouche/DAVOS_SIM</w:t>
      </w:r>
    </w:p>
    <w:p>
      <w:pPr>
        <w:pStyle w:val="Heading1"/>
      </w:pPr>
      <w:r>
        <w:t>1 核心结论与阅读定位</w:t>
      </w:r>
    </w:p>
    <w:p>
      <w:r>
        <w:t>这篇论文提出 Sensor-in-Memory（SIM），通过应用原生数据布局和预分配共享内存，缩短同一主机内传感器到算法的通信路径。其价值在于针对高频图像、点云采用“最新帧优先”的专用数据通道，而不是替代全部 ROS 2 功能。论文报告明显的传输延迟收益，但并发安全证明与部分实验数字存在缺口，适合作为设计和复现实验的起点，不宜直接作为生产安全保证。[1，§III–IV]</w:t>
      </w:r>
    </w:p>
    <w:p>
      <w:pPr>
        <w:pStyle w:val="Heading2"/>
      </w:pPr>
      <w:r>
        <w:t>研究问题</w:t>
      </w:r>
    </w:p>
    <w:p>
      <w:r>
        <w:t>在单个计算单元内运行多个感知和控制进程时，消息格式转换、序列化、拷贝、排队和调度会消耗时延预算。作者希望在保留 ROS 2 节点组织方式的同时，绕过关键大数据路径上的通用消息传输开销。[1，§II]</w:t>
      </w:r>
    </w:p>
    <w:p>
      <w:pPr>
        <w:pStyle w:val="Heading2"/>
      </w:pPr>
      <w:r>
        <w:t>报告范围</w:t>
      </w:r>
    </w:p>
    <w:p>
      <w:r>
        <w:t>本报告覆盖全文，重点解释链接所指的第二节与后续系统设计、实验结果之间的关系。文中“作者报告”表示论文原始主张；“复算”表示依据原文数据计算；“本报告分析”表示技术判断，未通过作者代码或实机实验验证。</w:t>
      </w:r>
    </w:p>
    <w:p>
      <w:pPr>
        <w:pStyle w:val="Heading2"/>
      </w:pPr>
      <w:r>
        <w:t>对 ROS 2 机器人项目的意义</w:t>
      </w:r>
    </w:p>
    <w:p>
      <w:r>
        <w:t>如果项目中相机、点云驱动与感知模块位于同一 Jetson 或工作站，SIM 的思路值得测试。跨主机通信、完整日志记录、严格逐帧处理和多传感器同步仍需单独设计。Orin Nano 的测试结果不能直接外推到 AGX Orin。</w:t>
      </w:r>
    </w:p>
    <w:p>
      <w:pPr>
        <w:pStyle w:val="Heading1"/>
      </w:pPr>
      <w:r>
        <w:t>2 第二节的问题分析与设计要求</w:t>
      </w:r>
    </w:p>
    <w:p>
      <w:pPr>
        <w:pStyle w:val="Heading2"/>
      </w:pPr>
      <w:r>
        <w:t>从传感器到算法的数据路径</w:t>
      </w:r>
    </w:p>
    <w:p>
      <w:r>
        <w:t>论文描述的传统路径为：传感器数据生成，转换为 ROS 消息，经 DDS 传输，再还原为算法使用的内存布局。共享内存传输可能减少其中部分拷贝，却不一定消除应用侧 ROS 消息与 OpenCV 或 PCL 数据的转换。[1，§II-A–D]</w:t>
      </w:r>
    </w:p>
    <w:p>
      <w:pPr>
        <w:pStyle w:val="Heading2"/>
      </w:pPr>
      <w:r>
        <w:t>图 1 ROS 2 与 SIM 数据路径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116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上图为自动驾驶车辆中的数据流与 DDS 的作用，下图为 SIM 概览。</w:t>
      </w:r>
    </w:p>
    <w:p>
      <w:r>
        <w:t>本报告分析：不能把这一示意路径视为所有 ROS 2 配置的实际路径。进程内通信、共享内存传输、DDS data-sharing 和 loaned messages 的适用条件不同；“开启共享内存”也不等于已实现整个应用路径的零拷贝。动态发现主要影响建立和匹配阶段，是否影响每帧稳态延迟需要单独测量。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论文的设计目标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工程上应核验的事项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R1 原生布局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减少序列化与格式转换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像素或点数组的布局和 ABI 是否一致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R2 新鲜度优先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跳过旧帧 限定缓冲空间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丢帧是否破坏跟踪 同步或数据记录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R3 可预测交接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少量原子操作与固定次数拷贝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拷贝时长与并发读写安全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R4 生命周期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序号 心跳 可选校验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超时策略 重启与数据损坏恢复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R5 ROS 2 兼容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局部接入 保留跨 ECU 的 DDS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工具链 桥接开销和故障降级</w:t>
            </w:r>
          </w:p>
        </w:tc>
      </w:tr>
    </w:tbl>
    <w:p>
      <w:pPr>
        <w:spacing w:after="20"/>
      </w:pPr>
    </w:p>
    <w:p>
      <w:pPr>
        <w:pStyle w:val="Heading2"/>
      </w:pPr>
      <w:r>
        <w:t>为什么选择最新帧</w:t>
      </w:r>
    </w:p>
    <w:p>
      <w:r>
        <w:t>当处理速度低于输入速度时，可靠保存每一帧会形成积压。最新帧机制通过放弃中间帧避免无限排队，但减少队列不等于保证实时性：读取、调度、算法计算仍可超时。对控制任务，应同时报告数据年龄、超期比例、丢帧率和有效输出频率。</w:t>
      </w:r>
    </w:p>
    <w:p>
      <w:pPr>
        <w:pStyle w:val="Heading2"/>
      </w:pPr>
      <w:r>
        <w:t>创新定位</w:t>
      </w:r>
    </w:p>
    <w:p>
      <w:r>
        <w:t>本报告认为，贡献主要在于应用原生布局、有限缓冲和 ROS 2 局部接入的组合，而非共享内存或双缓冲本身。其性能与功能取舍是研究重点；要证明优于通用中间件，需要让不同方案承担相同语义并明确哪些功能被省略。</w:t>
      </w:r>
    </w:p>
    <w:p>
      <w:pPr>
        <w:pStyle w:val="Heading1"/>
      </w:pPr>
      <w:r>
        <w:t>3 SIM 系统设计与并发安全审查</w:t>
      </w:r>
    </w:p>
    <w:p>
      <w:r>
        <w:t>每个传感器流对应命名的 POSIX 共享内存区域，初始化时分配头部和两个数据缓冲。单个写者填充后台缓冲、更新元数据，然后以 release 语义切换 front_idx；读者以 acquire 语义读取索引，并将该帧复制到本地工作区。跨 ECU 仍使用 DDS，可通过桥接节点衔接。[1，§III]</w:t>
      </w:r>
    </w:p>
    <w:p>
      <w:pPr>
        <w:pStyle w:val="Heading2"/>
      </w:pPr>
      <w:r>
        <w:t>图 2 SIM 共享内存与双缓冲结构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153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3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SIM 为各传感器映射共享内存，使用 /camera_front 等唯一标识，并根据传感器规格确定缓冲区大小。每个传感器拥有独立区域，不干扰其他传感器。SIM_writerInit(name,size)、SIM_writeData(data,size)、SIM_readerInit(name,size)、SIM_readData(data,size) 和 SIM_destroy(name) 等库接口用于内存管理与数据传递。写者仅在完成写入后切换 front_idx，以确保数据不发生撕裂。</w:t>
      </w:r>
    </w:p>
    <w:p>
      <w:pPr>
        <w:pStyle w:val="Heading2"/>
      </w:pPr>
      <w:r>
        <w:t>SIM 默认仍有数据拷贝</w:t>
      </w:r>
    </w:p>
    <w:p>
      <w:r>
        <w:t>论文的时间模型为 T ≈ B/BWw + Tpublish + B/BWr。B 是帧大小，BWw 和 BWr 为写入和读取的 memcpy 带宽。其默认路径包含写入共享内存与读出到工作区的拷贝。因此，“固定次数拷贝”不代表总耗时与消息大小无关；数据搬运仍是 O(B)，只有索引发布等控制操作可近似为 O(1)。[1，§III-E，III-I]</w:t>
      </w:r>
    </w:p>
    <w:p>
      <w:pPr>
        <w:pStyle w:val="Heading2"/>
      </w:pPr>
      <w:r>
        <w:t>关键问题 双缓冲不自动保证读者安全</w:t>
      </w:r>
    </w:p>
    <w:p>
      <w:r>
        <w:t>以下为本报告基于文字协议构造的反例，不是对未获取的代码实现的定论：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时刻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读者 R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写者 W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t0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读取 front_idx 为 A 开始拷贝 A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 已发布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t1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仍在拷贝 A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写完 B 切换 front_idx 为 B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t2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尚未完成拷贝 A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再次更新时复用 A 覆盖其数据</w:t>
            </w:r>
          </w:p>
        </w:tc>
      </w:tr>
    </w:tbl>
    <w:p>
      <w:pPr>
        <w:spacing w:after="20"/>
      </w:pPr>
    </w:p>
    <w:p>
      <w:r>
        <w:t>release/acquire 能保证已发布写入的可见性，但不能阻止后续覆盖仍被读者使用的缓冲。如果读者被抢占或复制时间跨越两次发布，就可能读到混合帧。论文“永不撕裂”的推导缺少缓冲复用安全条件。另外，若 published length 是全局单一字段，也需保证它与读者选择的帧一致。[1，§III-C–E]</w:t>
      </w:r>
    </w:p>
    <w:p>
      <w:pPr>
        <w:pStyle w:val="Heading2"/>
      </w:pPr>
      <w:r>
        <w:t>需要补充的机制</w:t>
      </w:r>
    </w:p>
    <w:p>
      <w:r>
        <w:t>可考虑缓冲借用与释放、读者占用追踪、受保护的快照复制，或经过严格内存模型验证的版本校验机制。单纯增加一个缓冲或复制后检查序号，不足以自动证明 C++ 中非原子 payload 并发访问合法。多读者、慢读者和进程异常必须纳入证明。</w:t>
      </w:r>
    </w:p>
    <w:p>
      <w:r>
        <w:t>cv::Mat 等结构包含进程私有指针，跨进程共享应保存原始像素、描述元数据和相对偏移，在本进程重建视图；不能直接 memcpy 含裸指针的对象。这个实现细节需要源码确认。</w:t>
      </w:r>
    </w:p>
    <w:p>
      <w:pPr>
        <w:pStyle w:val="Heading1"/>
      </w:pPr>
      <w:r>
        <w:t>4 实验结果与数值核对</w:t>
      </w:r>
    </w:p>
    <w:p>
      <w:r>
        <w:t>嵌入式实验采用 Orin Nano，测试 640×480 相机和每帧 2160 点的 LiDAR；比较 SIM、Fast DDS 与 Zenoh，包含一写一读和一写十读。论文称采用 best-effort、depth=1、绑核和固定时钟，每配置 5 轮、每轮 1000 帧并丢弃前 100 帧。下表只使用图 3 至图 6 图注明确列出的未提权均值。[1，§IV-A–D]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99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数据与拓扑</w:t>
            </w:r>
          </w:p>
        </w:tc>
        <w:tc>
          <w:tcPr>
            <w:tcW w:type="dxa" w:w="199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SIM ms</w:t>
            </w:r>
          </w:p>
        </w:tc>
        <w:tc>
          <w:tcPr>
            <w:tcW w:type="dxa" w:w="199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Fast DDS ms</w:t>
            </w:r>
          </w:p>
        </w:tc>
        <w:tc>
          <w:tcPr>
            <w:tcW w:type="dxa" w:w="199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Zenoh ms</w:t>
            </w:r>
          </w:p>
        </w:tc>
        <w:tc>
          <w:tcPr>
            <w:tcW w:type="dxa" w:w="199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相对 Fast DDS</w:t>
            </w:r>
          </w:p>
        </w:tc>
      </w:tr>
      <w:tr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LiDAR 1W→1R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.226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.685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.839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3.03倍 降67.0%</w:t>
            </w:r>
          </w:p>
        </w:tc>
      </w:tr>
      <w:tr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LiDAR 1W→10R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.542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1.593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2.136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2.94倍 降66.0%</w:t>
            </w:r>
          </w:p>
        </w:tc>
      </w:tr>
      <w:tr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相机 1W→1R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.253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3.400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3.984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13.44倍 降92.6%</w:t>
            </w:r>
          </w:p>
        </w:tc>
      </w:tr>
      <w:tr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相机 1W→10R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.717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7.226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10.484</w:t>
            </w:r>
          </w:p>
        </w:tc>
        <w:tc>
          <w:tcPr>
            <w:tcW w:type="dxa" w:w="1996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10.08倍 降90.1%</w:t>
            </w:r>
          </w:p>
        </w:tc>
      </w:tr>
    </w:tbl>
    <w:p>
      <w:pPr>
        <w:spacing w:after="20"/>
      </w:pPr>
    </w:p>
    <w:p>
      <w:r>
        <w:t>复算方式：加速比＝基线均值/SIM均值；降幅＝1−SIM均值/基线均值。图注均值存在舍入。不能用摘要中的最高降幅代表所有工况，也不能把未提权与 SCHED_FIFO 优先级 99 的结果混为一组。</w:t>
      </w:r>
    </w:p>
    <w:p>
      <w:pPr>
        <w:pStyle w:val="Heading2"/>
      </w:pPr>
      <w:r>
        <w:t>图 3 LiDAR 一写一读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Orin Nano 上的LiDAR传输延迟（一写一读，线性坐标）。线段表示最小值至最大值，实心点表示均值，长刻度表示 p95，短虚线刻度表示 p99。仅测量传输延迟；使用 best-effort QoS，启用零拷贝、线程绑核和固定时钟，未提升调度优先级。跨 5 轮实验的均值及 95% 置信区间（单位 ms）：SIM .226 [.219, .234]；Fast DDS .685 [.650, .720]；Zenoh .839 [.773, .905]。采用 SCHED_FIFO 并将调度优先级设为 99 后，SIM 的平均延迟降至 .158 [.150, .164] ms。</w:t>
      </w:r>
    </w:p>
    <w:p>
      <w:pPr>
        <w:pStyle w:val="Heading2"/>
      </w:pPr>
      <w:r>
        <w:t>图 4 LiDAR 一写十读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 Orin Nano 上的LiDAR传输延迟（一写十读，线性坐标）。线段表示最小值至最大值，实心点表示均值，长刻度表示 p95，短虚线刻度表示 p99。仅测量传输延迟；使用 best-effort QoS，启用零拷贝、线程绑核和固定时钟，未提升调度优先级。跨 5 轮实验的均值及 95% 置信区间（单位 ms）：SIM .542 [.513, .570]；Fast DDS 1.593 [1.583, 1.603]；Zenoh 2.136 [2.077, 2.196]。采用 SCHED_FIFO 并将调度优先级设为 99 后，SIM 的平均延迟降至 .231 [.215, .246] ms。</w:t>
      </w:r>
    </w:p>
    <w:p>
      <w:pPr>
        <w:pStyle w:val="Heading2"/>
      </w:pPr>
      <w:r>
        <w:t>图 5 相机一写一读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 Orin Nano 上的相机传输延迟（一写一读，对数坐标）。线段表示最小值至最大值，实心点表示均值，长刻度表示 p95，短虚线刻度表示 p99。仅测量传输延迟；使用 best-effort QoS，启用零拷贝、线程绑核和固定时钟，未提升调度优先级。跨 5 轮实验的均值及 95% 置信区间（单位 ms）：SIM .253 [.244, .261]；Fast DDS 3.40 [2.881, 3.920]；Zenoh 3.984 [3.877, 4.091]。采用 SCHED_FIFO 并将调度优先级设为 99 后，SIM 的平均延迟降至 .204 [.195, .212] ms。</w:t>
      </w:r>
    </w:p>
    <w:p>
      <w:pPr>
        <w:pStyle w:val="Heading2"/>
      </w:pPr>
      <w:r>
        <w:t>图 6 相机一写十读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6 Orin Nano 上的相机传输延迟（一写十读，对数坐标）。线段表示最小值至最大值，实心点表示均值，长刻度表示 p95，短虚线刻度表示 p99。仅测量传输延迟；使用 best-effort QoS，启用零拷贝、线程绑核和固定时钟，未提升调度优先级。跨 5 轮实验的均值及 95% 置信区间（单位 ms）：SIM .717 [.696, .739]；Fast DDS 7.226 [6.770, 7.682]；Zenoh 10.484 [10.176, 10.792]。采用 SCHED_FIFO 并将调度优先级设为 99 后，SIM 的平均延迟降至 .457 [.126, .797] ms。</w:t>
      </w:r>
    </w:p>
    <w:p>
      <w:pPr>
        <w:pStyle w:val="Heading2"/>
      </w:pPr>
      <w:r>
        <w:t>CPU 与测量公平性</w:t>
      </w:r>
    </w:p>
    <w:p>
      <w:r>
        <w:t>表 IV 的 CPU 用量相近，没有显示全面显著下降；表 III 中 SIM 在多读者工况的调度负载反而较高，且百分比定义不够明确。正文时间戳口径在 publish 前与 publish 后之间变化，CLOCK_REALTIME 与 20 μs 测时开销也需要说明。应公开确切消息类型、RMW 版本、零拷贝验证证据、轮询方式和线程调度设置。[1，§IV]</w:t>
      </w:r>
    </w:p>
    <w:p>
      <w:pPr>
        <w:pStyle w:val="Heading1"/>
      </w:pPr>
      <w:r>
        <w:t>5 实车结果与证据强度</w:t>
      </w:r>
    </w:p>
    <w:p>
      <w:r>
        <w:t>作者在运行 Autoware.Universe 的车辆上报告，原始感知到决策均值为 521.905 ms，其中跨模块 ROS 2 通信路径均值为 369.456 ms。将定位路径改为 SIM 后，NDT 输出频率由 7.5 Hz 提升至 9.5 Hz。对所有主机内阶段的扩展收益，正文标记为 measured/estimated，并说明来自各链路通信成本的推算。[1，§IV-F]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原文或复算值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通信占总均值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70.79%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369.456 / 521.905 仅限该测量口径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定位输出频率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7.5→9.5 Hz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提升约26.7% 属作者报告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全链路节省均值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231.649 ms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含推算 不能当作完整替换后的独立实测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优化后均值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290.256 ms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521.905−231.649 复算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总均值降幅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44.39%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231.649 / 521.905 复算</w:t>
            </w:r>
          </w:p>
        </w:tc>
      </w:tr>
    </w:tbl>
    <w:p>
      <w:pPr>
        <w:spacing w:after="20"/>
      </w:pPr>
    </w:p>
    <w:p>
      <w:pPr>
        <w:pStyle w:val="Heading2"/>
      </w:pPr>
      <w:r>
        <w:t>图 7 实车端到端延迟分解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34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4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 在运行 Autoware.Universe（2024年3月版本）、具备部署条件的 L4 自动驾驶车辆上测得的端到端延迟分解。在预处理和规划任务中，向下游关键应用传递数据的通信延迟远大于任务本身的执行时间；在感知任务中，通信耗时与检测和跟踪算法耗时大致相当。</w:t>
      </w:r>
    </w:p>
    <w:p>
      <w:r>
        <w:t>图 7 对比预处理、定位、感知和规划各阶段的计算与通信成本。此处“通信”应结合测量边界理解，不能全部归因于 DDS 数据搬运。</w:t>
      </w:r>
    </w:p>
    <w:p>
      <w:pPr>
        <w:pStyle w:val="Heading2"/>
      </w:pPr>
      <w:r>
        <w:t>反应距离与制动距离</w:t>
      </w:r>
    </w:p>
    <w:p>
      <w:r>
        <w:t>采用 Δd＝vΔt，40 mph 时 0.231649 s 对应约 4.14 m，70 mph 时对应约 7.25 m。这是减少延迟期间行驶距离的计算；若其他条件相同，可理解为总停车距离中的反应距离减少。它不是轮胎、路面和制动力决定的机械制动距离的直接改善，也不是已经验证的碰撞风险降幅。</w:t>
      </w:r>
    </w:p>
    <w:p>
      <w:pPr>
        <w:pStyle w:val="Heading2"/>
      </w:pPr>
      <w:r>
        <w:t>实车证据的边界</w:t>
      </w:r>
    </w:p>
    <w:p>
      <w:r>
        <w:t>通信路径时间可包含排队、执行器调度和数据转换，不应把 369.456 ms 全部归因于 DDS 数据搬运。论文对多轮实验与 single-run distributions 的表述不一致；定位章节的 121.804 ms 与表 VI 的定位通信均值 12.134 ms 缺少明确口径连接。需要原始 trace 才能完成因果归因。[1，§IV-F]</w:t>
      </w:r>
    </w:p>
    <w:p>
      <w:pPr>
        <w:pStyle w:val="Heading2"/>
      </w:pPr>
      <w:r>
        <w:t>可靠性与安全结论</w:t>
      </w:r>
    </w:p>
    <w:p>
      <w:r>
        <w:t>序号、心跳和校验可提高观测能力，但不等于功能安全认证、故障隔离或硬实时保证。论文对共享内存损坏后的进程终止与恢复描述，缺少故障检测规则、恢复时序和数据一致性条件。最新帧机制能避免积压，却也可能跳过关键事件；应由具体算法与系统需求决定是否适用。</w:t>
      </w:r>
    </w:p>
    <w:p>
      <w:pPr>
        <w:pStyle w:val="Heading1"/>
      </w:pPr>
      <w:r>
        <w:t>6 面向 ROS 2 与 Jetson 的复现建议</w:t>
      </w:r>
    </w:p>
    <w:p>
      <w:r>
        <w:t>以下为本报告建议，尚未在你的 AGX Orin 上执行。先选择相机到感知或点云到定位的一条本机链路，保留跨主机传输路径。只有在通信、转换或排队确实占据关键时延时，替换数据通道才有直接收益。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建议实验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判断依据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建立基线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记录 ROS发行版 RMW 内核 功耗模式 消息大小 QoS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确保他人能复现相同环境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定位瓶颈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分离采集 转换 发布 交接 回调 计算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明确优化能影响的时间区间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公平对比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同进程组合 普通跨进程 DDS 验证过的共享内存 SIM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功能与调度条件可比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压力与正确性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慢读者 十读者 可变帧长 写者重启 高速覆盖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检查撕裂 越界 丢帧和恢复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评估收益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mean p95 p99 max 超期率 数据年龄 输出频率 CPU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同时看时延 新鲜度和资源成本</w:t>
            </w:r>
          </w:p>
        </w:tc>
      </w:tr>
    </w:tbl>
    <w:p>
      <w:pPr>
        <w:spacing w:after="20"/>
      </w:pPr>
    </w:p>
    <w:p>
      <w:pPr>
        <w:pStyle w:val="Heading2"/>
      </w:pPr>
      <w:r>
        <w:t>建议的压力测试</w:t>
      </w:r>
    </w:p>
    <w:p>
      <w:r>
        <w:t>让每帧包含序号、确定性 payload 模式及摘要；在读者复制过程中主动制造长时间抢占，使写者至少完成两次发布。检查一帧内部所有元素是否属于同一序号，并核对 length、容量与元数据。该实验能检验第三节反例在实际实现中是否发生，但测试通过仍不能替代并发安全证明。</w:t>
      </w:r>
    </w:p>
    <w:p>
      <w:pPr>
        <w:pStyle w:val="Heading2"/>
      </w:pPr>
      <w:r>
        <w:t>读论文时最值得追问的五个问题</w:t>
      </w:r>
    </w:p>
    <w:p>
      <w:r>
        <w:t>1 读者尚未完成时，写者如何安全复用缓冲？</w:t>
      </w:r>
    </w:p>
    <w:p>
      <w:r>
        <w:t>2 Fast DDS 基线是否实际走通应用级零拷贝？</w:t>
      </w:r>
    </w:p>
    <w:p>
      <w:r>
        <w:t>3 两边时间戳是否覆盖完全相同的发布成本？</w:t>
      </w:r>
    </w:p>
    <w:p>
      <w:r>
        <w:t>4 全链路 231.649 ms 节省有多少实测、多少推算？</w:t>
      </w:r>
    </w:p>
    <w:p>
      <w:r>
        <w:t>5 提权、轮询、丢帧语义分别贡献了多少性能收益？</w:t>
      </w:r>
    </w:p>
    <w:p>
      <w:pPr>
        <w:pStyle w:val="Heading2"/>
      </w:pPr>
      <w:r>
        <w:t>最终评价</w:t>
      </w:r>
    </w:p>
    <w:p>
      <w:r>
        <w:t>SIM 为本机大数据流提供了值得借鉴的专用通信思路，图注均值支持其在所测工况下降低传输延迟。但论文未充分支持“无撕裂”“全面低开销”和完整实车安全收益等更强结论。建议先复现基线并验证缓冲复用协议，再决定是否在机器人项目中采用。</w:t>
      </w:r>
    </w:p>
    <w:p>
      <w:pPr>
        <w:pStyle w:val="Heading2"/>
      </w:pPr>
      <w:r>
        <w:t>来源与使用说明</w:t>
      </w:r>
    </w:p>
    <w:p>
      <w:r>
        <w:t>[1] He, Yuankai; Shi, Weisong. A Faster and More Reliable Middleware for Autonomous Driving Systems. arXiv:2510.11448v2, 2025.</w:t>
      </w:r>
    </w:p>
    <w:p>
      <w:r>
        <w:t>HTML https://arxiv.org/html/2510.11448v2</w:t>
      </w:r>
    </w:p>
    <w:p>
      <w:r>
        <w:t>PDF https://arxiv.org/pdf/2510.11448v2</w:t>
      </w:r>
    </w:p>
    <w:p>
      <w:r>
        <w:t>DOI https://doi.org/10.48550/arXiv.2510.11448</w:t>
      </w:r>
    </w:p>
    <w:p>
      <w:r>
        <w:t>原论文许可 CC BY 4.0 https://creativecommons.org/licenses/by/4.0/</w:t>
      </w:r>
    </w:p>
    <w:p>
      <w:r>
        <w:t>本报告为中文改写与分析，表格经重新整理；复算和技术审查由本报告补充，不代表论文作者观点。未执行源码审计或实机复现。论文称将在接收后发布代码，本报告未核验当前代码发布状态。</w:t>
      </w:r>
    </w:p>
    <w:p>
      <w:pPr>
        <w:pStyle w:val="Heading1"/>
      </w:pPr>
      <w:r>
        <w:t>附录 原论文全部表格</w:t>
      </w:r>
    </w:p>
    <w:p>
      <w:r>
        <w:t>以下逐表转录原论文表 I 至表 VIII，数字和单位按原文保留，表题翻译为中文。空表头以破折号表示；跨行共享的平台名称在各行重复，便于跨页阅读。</w:t>
      </w:r>
    </w:p>
    <w:p>
      <w:pPr>
        <w:pStyle w:val="Heading2"/>
      </w:pPr>
      <w:r>
        <w:t>表 I 实验平台配置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984"/>
        <w:gridCol w:w="1757"/>
        <w:gridCol w:w="1134"/>
        <w:gridCol w:w="1701"/>
        <w:gridCol w:w="2268"/>
      </w:tblGrid>
      <w:tr>
        <w:trPr>
          <w:tblHeader/>
        </w:trPr>
        <w:tc>
          <w:tcPr>
            <w:tcW w:type="dxa" w:w="113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98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CPU Architecture</w:t>
            </w:r>
          </w:p>
        </w:tc>
        <w:tc>
          <w:tcPr>
            <w:tcW w:type="dxa" w:w="17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Max CPU Frequency</w:t>
            </w:r>
          </w:p>
        </w:tc>
        <w:tc>
          <w:tcPr>
            <w:tcW w:type="dxa" w:w="113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CPU Core</w:t>
            </w:r>
          </w:p>
        </w:tc>
        <w:tc>
          <w:tcPr>
            <w:tcW w:type="dxa" w:w="1701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RAM</w:t>
            </w:r>
          </w:p>
        </w:tc>
        <w:tc>
          <w:tcPr>
            <w:tcW w:type="dxa" w:w="2268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Max RAM Frequency</w:t>
            </w:r>
          </w:p>
        </w:tc>
      </w:tr>
      <w:t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Orin Nano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Arm® Cortex A78AE v8.2 64-bit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2.2 GHz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LPDDR5 8GB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3200 MHz</w:t>
            </w:r>
          </w:p>
        </w:tc>
      </w:tr>
      <w:t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Autonomous Vehicle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x86_64 Xeon E5-2667</w:t>
            </w:r>
          </w:p>
        </w:tc>
        <w:tc>
          <w:tcPr>
            <w:tcW w:type="dxa" w:w="17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3.2 GHz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DDR4 128GB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2400 MHz</w:t>
            </w:r>
          </w:p>
        </w:tc>
      </w:tr>
    </w:tbl>
    <w:p>
      <w:pPr>
        <w:spacing w:after="20"/>
      </w:pPr>
    </w:p>
    <w:p>
      <w:pPr>
        <w:pStyle w:val="Heading2"/>
      </w:pPr>
      <w:r>
        <w:t>表 II 传感器配置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Sensor (type)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Rate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Payload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Orin Nano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Orbbec Astra Pro (camera)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30 FPS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640×480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Orin Nano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Unitree 4D L1 (LiDAR, 18 ch)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20 Hz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2,160 pts/frame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AV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Basler Pylon (camera)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42–120 FPS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1920×1200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AV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Pandar64 (LiDAR, 64 ch)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 Hz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115,200 pts/frame</w:t>
            </w:r>
          </w:p>
        </w:tc>
      </w:tr>
    </w:tbl>
    <w:p>
      <w:pPr>
        <w:spacing w:after="20"/>
      </w:pPr>
    </w:p>
    <w:p>
      <w:pPr>
        <w:pStyle w:val="Heading2"/>
      </w:pPr>
      <w:r>
        <w:t>表 III 系统整体调度负载（%）。测试配置与延迟表相同，分别测量空闲状态以及 LiDAR 和相机负载下的调度负载。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SIM %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Fast DDS (ZC) %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Zenoh %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System Resting (idle)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LiDAR 1W→1R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123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LiDAR 1W→10R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139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58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Camera 1W→1R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68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40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56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Camera 1W→10R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190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111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114</w:t>
            </w:r>
          </w:p>
        </w:tc>
      </w:tr>
    </w:tbl>
    <w:p>
      <w:pPr>
        <w:spacing w:after="20"/>
      </w:pPr>
    </w:p>
    <w:p>
      <w:pPr>
        <w:pStyle w:val="Heading2"/>
      </w:pPr>
      <w:r>
        <w:t>表 IV 系统整体 CPU 使用率（%）。测试配置与延迟表相同，分别测量空闲状态以及 LiDAR 和相机负载下的 CPU 使用率。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SIM %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Fast DDS (ZC) %</w:t>
            </w:r>
          </w:p>
        </w:tc>
        <w:tc>
          <w:tcPr>
            <w:tcW w:type="dxa" w:w="249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Zenoh %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LiDAR 1W→1R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5.2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6.8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6.7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LiDAR 1W→10R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6.9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7.0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6.6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Camera 1W→1R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5.5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5.4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5.3</w:t>
            </w:r>
          </w:p>
        </w:tc>
      </w:tr>
      <w:tr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Camera 1W→10R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5.7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5.6</w:t>
            </w:r>
          </w:p>
        </w:tc>
        <w:tc>
          <w:tcPr>
            <w:tcW w:type="dxa" w:w="2494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5.4</w:t>
            </w:r>
          </w:p>
        </w:tc>
      </w:tr>
    </w:tbl>
    <w:p>
      <w:pPr>
        <w:spacing w:after="20"/>
      </w:pPr>
    </w:p>
    <w:p>
      <w:pPr>
        <w:pStyle w:val="Heading2"/>
      </w:pPr>
      <w:r>
        <w:t>表 V 实车 Autoware.Universe 感知到决策的端到端延迟（ms）。包含车辆上的传输与计算，不包含执行器动作。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417"/>
        <w:gridCol w:w="2154"/>
        <w:gridCol w:w="1984"/>
        <w:gridCol w:w="1928"/>
        <w:gridCol w:w="1587"/>
      </w:tblGrid>
      <w:tr>
        <w:trPr>
          <w:tblHeader/>
        </w:trPr>
        <w:tc>
          <w:tcPr>
            <w:tcW w:type="dxa" w:w="90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41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5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Preprocessing</w:t>
            </w:r>
          </w:p>
        </w:tc>
        <w:tc>
          <w:tcPr>
            <w:tcW w:type="dxa" w:w="198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Localization</w:t>
            </w:r>
          </w:p>
        </w:tc>
        <w:tc>
          <w:tcPr>
            <w:tcW w:type="dxa" w:w="1928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Perception</w:t>
            </w:r>
          </w:p>
        </w:tc>
        <w:tc>
          <w:tcPr>
            <w:tcW w:type="dxa" w:w="158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Planning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Min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320.363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43.818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18.769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188.750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69.026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Mean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521.905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90.844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30.960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280.860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119.242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p95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788.794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127.421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66.822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396.179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198.372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p99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1036.798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157.957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91.011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521.262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266.568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Max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1417.972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250.467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260.475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514.595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392.435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Std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123.079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25.847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17.822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38.677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40.734</w:t>
            </w:r>
          </w:p>
        </w:tc>
      </w:tr>
    </w:tbl>
    <w:p>
      <w:pPr>
        <w:spacing w:after="20"/>
      </w:pPr>
    </w:p>
    <w:p>
      <w:pPr>
        <w:pStyle w:val="Heading2"/>
      </w:pPr>
      <w:r>
        <w:t>表 VI 实车 Autoware.Universe 流水线中各模块的 ROS 2 主机内通信延迟（ms）。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417"/>
        <w:gridCol w:w="2154"/>
        <w:gridCol w:w="1984"/>
        <w:gridCol w:w="1928"/>
        <w:gridCol w:w="1587"/>
      </w:tblGrid>
      <w:tr>
        <w:trPr>
          <w:tblHeader/>
        </w:trPr>
        <w:tc>
          <w:tcPr>
            <w:tcW w:type="dxa" w:w="90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41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5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Preprocessing</w:t>
            </w:r>
          </w:p>
        </w:tc>
        <w:tc>
          <w:tcPr>
            <w:tcW w:type="dxa" w:w="1984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Localization</w:t>
            </w:r>
          </w:p>
        </w:tc>
        <w:tc>
          <w:tcPr>
            <w:tcW w:type="dxa" w:w="1928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Perception</w:t>
            </w:r>
          </w:p>
        </w:tc>
        <w:tc>
          <w:tcPr>
            <w:tcW w:type="dxa" w:w="158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Planning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Min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266.278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32.278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11.012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158.243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65.235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Mean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369.456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75.921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12.134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168.907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112.494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p95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522.480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102.380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27.526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207.145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184.800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p99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692.367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118.247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43.785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208.300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248.32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Max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917.147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170.147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199.210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282.8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341.69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Std</w:t>
            </w:r>
          </w:p>
        </w:tc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66.511</w:t>
            </w:r>
          </w:p>
        </w:tc>
        <w:tc>
          <w:tcPr>
            <w:tcW w:type="dxa" w:w="215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19.825</w:t>
            </w:r>
          </w:p>
        </w:tc>
        <w:tc>
          <w:tcPr>
            <w:tcW w:type="dxa" w:w="1984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17.822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1.401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37.085</w:t>
            </w:r>
          </w:p>
        </w:tc>
      </w:tr>
    </w:tbl>
    <w:p>
      <w:pPr>
        <w:spacing w:after="20"/>
      </w:pPr>
    </w:p>
    <w:p>
      <w:pPr>
        <w:pStyle w:val="Heading2"/>
      </w:pPr>
      <w:r>
        <w:t>表 VII 实车系统负载和 CPU 使用率（%）。在固定时钟和线程绑核条件下测量系统整体负载。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System Load%</w:t>
            </w:r>
          </w:p>
        </w:tc>
        <w:tc>
          <w:tcPr>
            <w:tcW w:type="dxa" w:w="3326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CPU Usage%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System resting (idle)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4.2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200.4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Stock ROS 2 (Autoware)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57.1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1474.1</w:t>
            </w:r>
          </w:p>
        </w:tc>
      </w:tr>
      <w:tr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SIM ROS 2 (Autoware)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55.2</w:t>
            </w:r>
          </w:p>
        </w:tc>
        <w:tc>
          <w:tcPr>
            <w:tcW w:type="dxa" w:w="332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1474.4</w:t>
            </w:r>
          </w:p>
        </w:tc>
      </w:tr>
    </w:tbl>
    <w:p>
      <w:pPr>
        <w:spacing w:after="20"/>
      </w:pPr>
    </w:p>
    <w:p>
      <w:pPr>
        <w:pStyle w:val="Heading2"/>
      </w:pPr>
      <w:r>
        <w:t>表 VIII 实车使用 SIM 节省的感知到决策端到端延迟（ms）。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1257"/>
        <w:gridCol w:w="1257"/>
        <w:gridCol w:w="1257"/>
        <w:gridCol w:w="1257"/>
        <w:gridCol w:w="1257"/>
        <w:gridCol w:w="1257"/>
      </w:tblGrid>
      <w:tr>
        <w:trPr>
          <w:tblHeader/>
        </w:trPr>
        <w:tc>
          <w:tcPr>
            <w:tcW w:type="dxa" w:w="2438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2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2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Mean</w:t>
            </w:r>
          </w:p>
        </w:tc>
        <w:tc>
          <w:tcPr>
            <w:tcW w:type="dxa" w:w="12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12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12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Max</w:t>
            </w:r>
          </w:p>
        </w:tc>
        <w:tc>
          <w:tcPr>
            <w:tcW w:type="dxa" w:w="1257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6"/>
              </w:rPr>
              <w:t>Std</w:t>
            </w:r>
          </w:p>
        </w:tc>
      </w:tr>
      <w:tr>
        <w:tc>
          <w:tcPr>
            <w:tcW w:type="dxa" w:w="2438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Time Saved with SIM (ms)</w:t>
            </w:r>
          </w:p>
        </w:tc>
        <w:tc>
          <w:tcPr>
            <w:tcW w:type="dxa" w:w="12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218.750</w:t>
            </w:r>
          </w:p>
        </w:tc>
        <w:tc>
          <w:tcPr>
            <w:tcW w:type="dxa" w:w="12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231.649</w:t>
            </w:r>
          </w:p>
        </w:tc>
        <w:tc>
          <w:tcPr>
            <w:tcW w:type="dxa" w:w="12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219.855</w:t>
            </w:r>
          </w:p>
        </w:tc>
        <w:tc>
          <w:tcPr>
            <w:tcW w:type="dxa" w:w="12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307.594</w:t>
            </w:r>
          </w:p>
        </w:tc>
        <w:tc>
          <w:tcPr>
            <w:tcW w:type="dxa" w:w="12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318.031</w:t>
            </w:r>
          </w:p>
        </w:tc>
        <w:tc>
          <w:tcPr>
            <w:tcW w:type="dxa" w:w="1257"/>
          </w:tcPr>
          <w:p>
            <w:pPr>
              <w:spacing w:after="60" w:before="60" w:line="252" w:lineRule="auto"/>
            </w:pPr>
            <w:r>
              <w:rPr>
                <w:sz w:val="16"/>
              </w:rPr>
              <w:t>53.681</w:t>
            </w:r>
          </w:p>
        </w:tc>
      </w:tr>
    </w:tbl>
    <w:p>
      <w:pPr>
        <w:spacing w:after="20"/>
      </w:pPr>
    </w:p>
    <w:p>
      <w:pPr>
        <w:pStyle w:val="Heading2"/>
      </w:pPr>
      <w:r>
        <w:t>图表核对说明</w:t>
      </w:r>
    </w:p>
    <w:p>
      <w:r>
        <w:t>图 3 至图 6 的均值与研读报告复算表相互核对。表 V 保留感知模块 p99 高于 max 的原始数值；表 I 的 Orin Nano 硬件规格按作者表格转录，未独立验证。原图展示与正文叙述发生冲突时，应结合第三至第五节的审查说明阅读。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ROS2延迟（2.11）论文解读A Faster and More Reliable Middleware for Autonomous Driving Systems</dc:title>
  <dc:subject/>
  <dc:creator>林克鲁布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