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黑体"/>
          <w:b/>
          <w:color w:val="000000"/>
          <w:sz w:val="36"/>
        </w:rPr>
        <w:t>“试客商城”电商 Web 系统</w:t>
        <w:br/>
        <w:t>UI 自动化测试设计与实践</w:t>
      </w:r>
    </w:p>
    <w:p>
      <w:pPr>
        <w:spacing w:after="240"/>
        <w:jc w:val="center"/>
      </w:pPr>
      <w:r>
        <w:rPr>
          <w:rFonts w:ascii="Times New Roman" w:hAnsi="Times New Roman" w:eastAsia="楷体"/>
          <w:b w:val="0"/>
          <w:color w:val="000000"/>
          <w:sz w:val="24"/>
        </w:rPr>
        <w:t>开 题 报 告</w:t>
      </w:r>
    </w:p>
    <w:p>
      <w:pPr>
        <w:pStyle w:val="Heading1"/>
        <w:keepNext/>
        <w:spacing w:before="280" w:after="120" w:line="360" w:lineRule="auto"/>
      </w:pPr>
      <w:r>
        <w:rPr>
          <w:rFonts w:ascii="Times New Roman" w:hAnsi="Times New Roman" w:eastAsia="黑体"/>
          <w:b/>
          <w:color w:val="000000"/>
          <w:sz w:val="28"/>
        </w:rPr>
        <w:t>一、选题依据</w:t>
      </w:r>
    </w:p>
    <w:p>
      <w:pPr>
        <w:pStyle w:val="Heading2"/>
        <w:keepNext/>
        <w:spacing w:before="220" w:after="100" w:line="360" w:lineRule="auto"/>
      </w:pPr>
      <w:r>
        <w:rPr>
          <w:rFonts w:ascii="Times New Roman" w:hAnsi="Times New Roman" w:eastAsia="黑体"/>
          <w:b/>
          <w:color w:val="000000"/>
          <w:sz w:val="21"/>
        </w:rPr>
        <w:t>（一）课题来源与背景</w:t>
      </w:r>
    </w:p>
    <w:p>
      <w:pPr>
        <w:spacing w:before="0" w:after="0" w:line="360" w:lineRule="auto"/>
        <w:ind w:firstLine="420"/>
      </w:pPr>
      <w:r>
        <w:rPr>
          <w:rFonts w:ascii="Times New Roman" w:hAnsi="Times New Roman" w:eastAsia="宋体"/>
          <w:b w:val="0"/>
          <w:color w:val="000000"/>
          <w:sz w:val="21"/>
        </w:rPr>
        <w:t>电商 Web 系统具有功能模块多、业务链路长、版本迭代快的特点，每次上线前的回归测试若依赖人工执行，不仅耗时巨大，且容易因操作疏漏产生漏测，难以满足快速交付的质量要求。UI 自动化测试通过脚本模拟用户操作，可在短时间内完成核心业务流程的重复验证，是当前保障 Web 应用质量的主流手段。</w:t>
      </w:r>
    </w:p>
    <w:p>
      <w:pPr>
        <w:spacing w:before="0" w:after="0" w:line="360" w:lineRule="auto"/>
        <w:ind w:firstLine="420"/>
      </w:pPr>
      <w:r>
        <w:rPr>
          <w:rFonts w:ascii="Times New Roman" w:hAnsi="Times New Roman" w:eastAsia="宋体"/>
          <w:b w:val="0"/>
          <w:color w:val="000000"/>
          <w:sz w:val="21"/>
        </w:rPr>
        <w:t>在自动化测试技术栈中，Selenium 凭借对主流浏览器和多种编程语言的支持，已成为 Web UI 自动化测试的事实标准；pytest 以其简洁的语法、丰富的插件体系和强大的参数化能力，成为 Python 生态中最主流的测试执行框架。将二者结合并辅以 Page Object 设计模式，能够构建出结构清晰、易于维护的 UI 自动化测试框架。本课题即在此背景下，围绕“试客商城”电商 Web 系统的 UI 自动化测试设计与实践展开研究。</w:t>
      </w:r>
    </w:p>
    <w:p>
      <w:pPr>
        <w:pStyle w:val="Heading2"/>
        <w:keepNext/>
        <w:spacing w:before="220" w:after="100" w:line="360" w:lineRule="auto"/>
      </w:pPr>
      <w:r>
        <w:rPr>
          <w:rFonts w:ascii="Times New Roman" w:hAnsi="Times New Roman" w:eastAsia="黑体"/>
          <w:b/>
          <w:color w:val="000000"/>
          <w:sz w:val="21"/>
        </w:rPr>
        <w:t>（二）研究意义</w:t>
      </w:r>
    </w:p>
    <w:p>
      <w:pPr>
        <w:spacing w:before="0" w:after="0" w:line="360" w:lineRule="auto"/>
        <w:ind w:firstLine="420"/>
      </w:pPr>
      <w:r>
        <w:rPr>
          <w:rFonts w:ascii="Times New Roman" w:hAnsi="Times New Roman" w:eastAsia="宋体"/>
          <w:b w:val="0"/>
          <w:color w:val="000000"/>
          <w:sz w:val="21"/>
        </w:rPr>
        <w:t>本课题的研究意义体现在工程与学术两个层面。工程层面，课题设计并实现一套完整的“试客商城”电商 Web 系统 UI 自动化测试框架，覆盖被测系统构建、框架分层、用例组织、测试执行与报告生成、持续集成等环节，能够为中小型电商项目的自动化回归提供可落地的参考方案，有效降低回归测试的人力成本与漏测风险。学术层面，课题在被测系统与测试框架一体化的前提下，引入基于规则回退与大型语言模型相结合的混合自愈定位机制，探索解决页面元素改版导致定位器失效这一维护性难题，具有一定的研究价值。</w:t>
      </w:r>
    </w:p>
    <w:p>
      <w:pPr>
        <w:pStyle w:val="Heading1"/>
        <w:keepNext/>
        <w:spacing w:before="280" w:after="120" w:line="360" w:lineRule="auto"/>
      </w:pPr>
      <w:r>
        <w:rPr>
          <w:rFonts w:ascii="Times New Roman" w:hAnsi="Times New Roman" w:eastAsia="黑体"/>
          <w:b/>
          <w:color w:val="000000"/>
          <w:sz w:val="28"/>
        </w:rPr>
        <w:t>二、国内外研究现状</w:t>
      </w:r>
    </w:p>
    <w:p>
      <w:pPr>
        <w:pStyle w:val="Heading2"/>
        <w:keepNext/>
        <w:spacing w:before="220" w:after="100" w:line="360" w:lineRule="auto"/>
      </w:pPr>
      <w:r>
        <w:rPr>
          <w:rFonts w:ascii="Times New Roman" w:hAnsi="Times New Roman" w:eastAsia="黑体"/>
          <w:b/>
          <w:color w:val="000000"/>
          <w:sz w:val="21"/>
        </w:rPr>
        <w:t>（一）UI 自动化测试技术</w:t>
      </w:r>
    </w:p>
    <w:p>
      <w:pPr>
        <w:spacing w:before="0" w:after="0" w:line="360" w:lineRule="auto"/>
        <w:ind w:firstLine="420"/>
      </w:pPr>
      <w:r>
        <w:rPr>
          <w:rFonts w:ascii="Times New Roman" w:hAnsi="Times New Roman" w:eastAsia="宋体"/>
          <w:b w:val="0"/>
          <w:color w:val="000000"/>
          <w:sz w:val="21"/>
        </w:rPr>
        <w:t>UI 自动化测试的核心是驱动真实浏览器模拟用户操作并校验页面状态。Selenium WebDriver 通过浏览器原生驱动接口实现对页面的控制，支持 Chrome、Firefox、Edge 等主流浏览器。国家标准 GB/T 15532—2008《计算机软件测试规范》对软件测试的方法、过程和准则作出了规定，为自动化测试用例的设计与执行提供了规范依据[1]。经典测试理论强调测试用例设计的系统性与边界覆盖，《软件测试的艺术》系统阐述了测试的心理学基础与用例设计方法，对本课题的测试场景设计具有指导意义[2]。</w:t>
      </w:r>
    </w:p>
    <w:p>
      <w:pPr>
        <w:pStyle w:val="Heading2"/>
        <w:keepNext/>
        <w:spacing w:before="220" w:after="100" w:line="360" w:lineRule="auto"/>
      </w:pPr>
      <w:r>
        <w:rPr>
          <w:rFonts w:ascii="Times New Roman" w:hAnsi="Times New Roman" w:eastAsia="黑体"/>
          <w:b/>
          <w:color w:val="000000"/>
          <w:sz w:val="21"/>
        </w:rPr>
        <w:t>（二）测试框架研究现状</w:t>
      </w:r>
    </w:p>
    <w:p>
      <w:pPr>
        <w:spacing w:before="0" w:after="0" w:line="360" w:lineRule="auto"/>
        <w:ind w:firstLine="420"/>
      </w:pPr>
      <w:r>
        <w:rPr>
          <w:rFonts w:ascii="Times New Roman" w:hAnsi="Times New Roman" w:eastAsia="宋体"/>
          <w:b w:val="0"/>
          <w:color w:val="000000"/>
          <w:sz w:val="21"/>
        </w:rPr>
        <w:t>Page Object 模式是 Selenium 官方推荐的页面级封装模式，将页面元素定位与操作封装为页面对象类，使测试用例与页面结构解耦，页面改版时只需修改对应页面对象[3,4]。在此基础上，业界普遍采用 pytest 承担用例组织与执行，结合数据驱动（参数化）、显式等待、日志与截图、Allure 或 HTML 报告、GitHub Actions 持续集成等能力，形成较为成熟的框架范式。通过对 GitHub 开源仓库的检索可以发现，SauceDemo 等演示电商站点搭配 Selenium 与 pytest 的组合被大量复用，仅同时命中 saucedemo、selenium、pytest 三个关键词的仓库即达数百个[5]，同质化现象突出；被测系统多为现成演示站点，测试数据与页面对象高度雷同。</w:t>
      </w:r>
    </w:p>
    <w:p>
      <w:pPr>
        <w:pStyle w:val="Heading2"/>
        <w:keepNext/>
        <w:spacing w:before="220" w:after="100" w:line="360" w:lineRule="auto"/>
      </w:pPr>
      <w:r>
        <w:rPr>
          <w:rFonts w:ascii="Times New Roman" w:hAnsi="Times New Roman" w:eastAsia="黑体"/>
          <w:b/>
          <w:color w:val="000000"/>
          <w:sz w:val="21"/>
        </w:rPr>
        <w:t>（三）智能化测试趋势</w:t>
      </w:r>
    </w:p>
    <w:p>
      <w:pPr>
        <w:spacing w:before="0" w:after="0" w:line="360" w:lineRule="auto"/>
        <w:ind w:firstLine="420"/>
      </w:pPr>
      <w:r>
        <w:rPr>
          <w:rFonts w:ascii="Times New Roman" w:hAnsi="Times New Roman" w:eastAsia="宋体"/>
          <w:b w:val="0"/>
          <w:color w:val="000000"/>
          <w:sz w:val="21"/>
        </w:rPr>
        <w:t>页面元素定位是 UI 自动化测试维护成本的主要来源。近年来，随着大型语言模型的发展，业界开始探索将模型能力引入测试领域：当定位器失效时，模型依据页面结构快照语义化推理出新的定位方式，实现自愈定位。2026 年前后，GitHub 与开源社区涌现出 E2E-Self-Heal 等多智能体测试自愈工具，展示了该方向的技术可行性[6]。</w:t>
      </w:r>
    </w:p>
    <w:p>
      <w:pPr>
        <w:pStyle w:val="Heading2"/>
        <w:keepNext/>
        <w:spacing w:before="220" w:after="100" w:line="360" w:lineRule="auto"/>
      </w:pPr>
      <w:r>
        <w:rPr>
          <w:rFonts w:ascii="Times New Roman" w:hAnsi="Times New Roman" w:eastAsia="黑体"/>
          <w:b/>
          <w:color w:val="000000"/>
          <w:sz w:val="21"/>
        </w:rPr>
        <w:t>（四）现状评述</w:t>
      </w:r>
    </w:p>
    <w:p>
      <w:pPr>
        <w:spacing w:before="0" w:after="0" w:line="360" w:lineRule="auto"/>
        <w:ind w:firstLine="420"/>
      </w:pPr>
      <w:r>
        <w:rPr>
          <w:rFonts w:ascii="Times New Roman" w:hAnsi="Times New Roman" w:eastAsia="宋体"/>
          <w:b w:val="0"/>
          <w:color w:val="000000"/>
          <w:sz w:val="21"/>
        </w:rPr>
        <w:t>综上，现有研究在技术栈层面已经成熟，但存在两点不足：其一，被测系统与测试框架割裂，多数方案直接面向现成演示站点，测试标识缺乏统一设计，原创性不足、查重压力大；其二，定位器失效后的修复仍以人工为主，智能自愈能力尚未与主流 Selenium 框架深度融合。本课题针对上述不足，自研电商被测系统并采用测试友好标识规范，在四层框架之上实现规则与模型混合的自愈定位机制。</w:t>
      </w:r>
    </w:p>
    <w:p>
      <w:pPr>
        <w:pStyle w:val="Heading1"/>
        <w:keepNext/>
        <w:spacing w:before="280" w:after="120" w:line="360" w:lineRule="auto"/>
      </w:pPr>
      <w:r>
        <w:rPr>
          <w:rFonts w:ascii="Times New Roman" w:hAnsi="Times New Roman" w:eastAsia="黑体"/>
          <w:b/>
          <w:color w:val="000000"/>
          <w:sz w:val="28"/>
        </w:rPr>
        <w:t>三、研究目标与内容</w:t>
      </w:r>
    </w:p>
    <w:p>
      <w:pPr>
        <w:pStyle w:val="Heading2"/>
        <w:keepNext/>
        <w:spacing w:before="220" w:after="100" w:line="360" w:lineRule="auto"/>
      </w:pPr>
      <w:r>
        <w:rPr>
          <w:rFonts w:ascii="Times New Roman" w:hAnsi="Times New Roman" w:eastAsia="黑体"/>
          <w:b/>
          <w:color w:val="000000"/>
          <w:sz w:val="21"/>
        </w:rPr>
        <w:t>（一）研究目标</w:t>
      </w:r>
    </w:p>
    <w:p>
      <w:pPr>
        <w:spacing w:before="0" w:after="0" w:line="360" w:lineRule="auto"/>
        <w:ind w:firstLine="420"/>
      </w:pPr>
      <w:r>
        <w:rPr>
          <w:rFonts w:ascii="Times New Roman" w:hAnsi="Times New Roman" w:eastAsia="宋体"/>
          <w:b w:val="0"/>
          <w:color w:val="000000"/>
          <w:sz w:val="21"/>
        </w:rPr>
        <w:t>设计并实现一套以自研电商系统为被测对象的 UI 自动化测试框架，具备分层解耦、数据驱动、智能自愈、持续集成四方面能力，并通过覆盖登录、商品、购物车、结算订单四大模块的测试用例验证框架的有效性与可维护性。</w:t>
      </w:r>
    </w:p>
    <w:p>
      <w:pPr>
        <w:pStyle w:val="Heading2"/>
        <w:keepNext/>
        <w:spacing w:before="220" w:after="100" w:line="360" w:lineRule="auto"/>
      </w:pPr>
      <w:r>
        <w:rPr>
          <w:rFonts w:ascii="Times New Roman" w:hAnsi="Times New Roman" w:eastAsia="黑体"/>
          <w:b/>
          <w:color w:val="000000"/>
          <w:sz w:val="21"/>
        </w:rPr>
        <w:t>（二）研究内容</w:t>
      </w:r>
    </w:p>
    <w:p>
      <w:pPr>
        <w:spacing w:before="0" w:after="0" w:line="360" w:lineRule="auto"/>
        <w:ind w:firstLine="420"/>
      </w:pPr>
      <w:r>
        <w:rPr>
          <w:rFonts w:ascii="Times New Roman" w:hAnsi="Times New Roman" w:eastAsia="宋体"/>
          <w:b w:val="0"/>
          <w:color w:val="000000"/>
          <w:sz w:val="21"/>
        </w:rPr>
        <w:t>1. 被测电商系统的设计与实现。自研轻量电商系统“试客商城”（TestBuy Mall），基于 Flask 与 SQLite 实现用户认证、商品浏览与搜索、购物车、下单结算、订单管理、后台商品管理等模块；所有关键交互元素统一携带 data-testid 测试标识，为自动化定位提供稳定、语义化的基础，形成测试友好的被测系统。</w:t>
      </w:r>
    </w:p>
    <w:p>
      <w:pPr>
        <w:spacing w:before="0" w:after="0" w:line="360" w:lineRule="auto"/>
        <w:ind w:firstLine="420"/>
      </w:pPr>
      <w:r>
        <w:rPr>
          <w:rFonts w:ascii="Times New Roman" w:hAnsi="Times New Roman" w:eastAsia="宋体"/>
          <w:b w:val="0"/>
          <w:color w:val="000000"/>
          <w:sz w:val="21"/>
        </w:rPr>
        <w:t>2. 四层测试框架的设计与实现。框架划分为基础封装层、页面对象层、业务操作层、测试用例层：基础封装层统一收敛元素定位、显式等待、日志与失败截图；页面对象层按页面粒度封装元素与操作；业务操作层将登录、加购、下单等跨页面流程封装为可复用业务流；测试用例层以 pytest 组织用例，并通过 JSON 数据驱动覆盖正向、异常与边界场景。</w:t>
      </w:r>
    </w:p>
    <w:p>
      <w:pPr>
        <w:spacing w:before="0" w:after="0" w:line="360" w:lineRule="auto"/>
        <w:ind w:firstLine="420"/>
      </w:pPr>
      <w:r>
        <w:rPr>
          <w:rFonts w:ascii="Times New Roman" w:hAnsi="Times New Roman" w:eastAsia="宋体"/>
          <w:b w:val="0"/>
          <w:color w:val="000000"/>
          <w:sz w:val="21"/>
        </w:rPr>
        <w:t>3. 混合自愈定位机制的设计与实现。当元素定位失败时，先按属性优先级回退链（data-testid、id、name、class、可见文本）在页面中重新匹配候选元素；规则修复无效且配置启用时，将页面元素快照提交给大型语言模型进行语义化修复。所有自愈事件均被记录与统计，用于量化框架的维护成本收益。</w:t>
      </w:r>
    </w:p>
    <w:p>
      <w:pPr>
        <w:spacing w:before="0" w:after="0" w:line="360" w:lineRule="auto"/>
        <w:ind w:firstLine="420"/>
      </w:pPr>
      <w:r>
        <w:rPr>
          <w:rFonts w:ascii="Times New Roman" w:hAnsi="Times New Roman" w:eastAsia="宋体"/>
          <w:b w:val="0"/>
          <w:color w:val="000000"/>
          <w:sz w:val="21"/>
        </w:rPr>
        <w:t>4. 工程化闭环的搭建。通过 pytest 标记区分冒烟与回归用例，生成独立 HTML 测试报告，并在 GitHub Actions 中配置无头浏览器定时回归任务，形成代码提交即测试、定时回归可追溯的闭环。</w:t>
      </w:r>
    </w:p>
    <w:p>
      <w:pPr>
        <w:pStyle w:val="Heading2"/>
        <w:keepNext/>
        <w:spacing w:before="220" w:after="100" w:line="360" w:lineRule="auto"/>
      </w:pPr>
      <w:r>
        <w:rPr>
          <w:rFonts w:ascii="Times New Roman" w:hAnsi="Times New Roman" w:eastAsia="黑体"/>
          <w:b/>
          <w:color w:val="000000"/>
          <w:sz w:val="21"/>
        </w:rPr>
        <w:t>（三）拟解决的关键问题</w:t>
      </w:r>
    </w:p>
    <w:p>
      <w:pPr>
        <w:spacing w:before="0" w:after="0" w:line="360" w:lineRule="auto"/>
        <w:ind w:firstLine="420"/>
      </w:pPr>
      <w:r>
        <w:rPr>
          <w:rFonts w:ascii="Times New Roman" w:hAnsi="Times New Roman" w:eastAsia="宋体"/>
          <w:b w:val="0"/>
          <w:color w:val="000000"/>
          <w:sz w:val="21"/>
        </w:rPr>
        <w:t>一是元素定位的稳定性问题，通过显式等待封装与自愈定位机制降低页面加载时序和元素变更带来的用例失败；二是用例的可维护性问题，通过四层架构实现页面结构、业务流程与测试断言的分离；三是被测系统的可控性问题，通过自研系统保证测试数据与页面状态的可预测性。</w:t>
      </w:r>
    </w:p>
    <w:p>
      <w:pPr>
        <w:pStyle w:val="Heading1"/>
        <w:keepNext/>
        <w:spacing w:before="280" w:after="120" w:line="360" w:lineRule="auto"/>
      </w:pPr>
      <w:r>
        <w:rPr>
          <w:rFonts w:ascii="Times New Roman" w:hAnsi="Times New Roman" w:eastAsia="黑体"/>
          <w:b/>
          <w:color w:val="000000"/>
          <w:sz w:val="28"/>
        </w:rPr>
        <w:t>四、研究方案与技术路线</w:t>
      </w:r>
    </w:p>
    <w:p>
      <w:pPr>
        <w:pStyle w:val="Heading2"/>
        <w:keepNext/>
        <w:spacing w:before="220" w:after="100" w:line="360" w:lineRule="auto"/>
      </w:pPr>
      <w:r>
        <w:rPr>
          <w:rFonts w:ascii="Times New Roman" w:hAnsi="Times New Roman" w:eastAsia="黑体"/>
          <w:b/>
          <w:color w:val="000000"/>
          <w:sz w:val="21"/>
        </w:rPr>
        <w:t>（一）技术选型</w:t>
      </w:r>
    </w:p>
    <w:p>
      <w:pPr>
        <w:spacing w:before="0" w:after="0" w:line="360" w:lineRule="auto"/>
        <w:ind w:firstLine="420"/>
      </w:pPr>
      <w:r>
        <w:rPr>
          <w:rFonts w:ascii="Times New Roman" w:hAnsi="Times New Roman" w:eastAsia="宋体"/>
          <w:b w:val="0"/>
          <w:color w:val="000000"/>
          <w:sz w:val="21"/>
        </w:rPr>
        <w:t>课题采用 Python 3.13 作为开发语言，Selenium 4 驱动浏览器执行 UI 操作，pytest 组织与执行用例，Flask 与 SQLite 构建被测系统，pytest-html 生成测试报告，GitHub Actions 承担持续集成。浏览器驱动优先使用项目内置驱动文件，保证离线环境可运行。</w:t>
      </w:r>
    </w:p>
    <w:p>
      <w:pPr>
        <w:pStyle w:val="Heading2"/>
        <w:keepNext/>
        <w:spacing w:before="220" w:after="100" w:line="360" w:lineRule="auto"/>
      </w:pPr>
      <w:r>
        <w:rPr>
          <w:rFonts w:ascii="Times New Roman" w:hAnsi="Times New Roman" w:eastAsia="黑体"/>
          <w:b/>
          <w:color w:val="000000"/>
          <w:sz w:val="21"/>
        </w:rPr>
        <w:t>（二）系统总体设计</w:t>
      </w:r>
    </w:p>
    <w:p>
      <w:pPr>
        <w:spacing w:before="0" w:after="0" w:line="360" w:lineRule="auto"/>
        <w:ind w:firstLine="420"/>
      </w:pPr>
      <w:r>
        <w:rPr>
          <w:rFonts w:ascii="Times New Roman" w:hAnsi="Times New Roman" w:eastAsia="宋体"/>
          <w:b w:val="0"/>
          <w:color w:val="000000"/>
          <w:sz w:val="21"/>
        </w:rPr>
        <w:t>系统由被测系统与测试框架两部分组成。测试框架通过 WebDriver 与被测系统交互，整体呈纵向分层结构：被测系统位于底层，向上依次为页面对象层、业务操作层与测试用例层，基础封装能力以横切方式提供；执行结果经日志、截图与报告模块输出，并接入持续集成流水线。</w:t>
      </w:r>
    </w:p>
    <w:p>
      <w:pPr>
        <w:pStyle w:val="Heading2"/>
        <w:keepNext/>
        <w:spacing w:before="220" w:after="100" w:line="360" w:lineRule="auto"/>
      </w:pPr>
      <w:r>
        <w:rPr>
          <w:rFonts w:ascii="Times New Roman" w:hAnsi="Times New Roman" w:eastAsia="黑体"/>
          <w:b/>
          <w:color w:val="000000"/>
          <w:sz w:val="21"/>
        </w:rPr>
        <w:t>（三）测试用例设计</w:t>
      </w:r>
    </w:p>
    <w:p>
      <w:pPr>
        <w:spacing w:before="0" w:after="0" w:line="360" w:lineRule="auto"/>
        <w:ind w:firstLine="420"/>
      </w:pPr>
      <w:r>
        <w:rPr>
          <w:rFonts w:ascii="Times New Roman" w:hAnsi="Times New Roman" w:eastAsia="宋体"/>
          <w:b w:val="0"/>
          <w:color w:val="000000"/>
          <w:sz w:val="21"/>
        </w:rPr>
        <w:t>围绕电商核心业务设计四大模块共 24 个用例：登录模块覆盖数据驱动登录、注册并登录；商品模块覆盖首页加载、分类筛选、关键词搜索、空结果、分页与价格一致性；购物车模块覆盖加购、数量修改、删除与未登录拦截；结算订单模块覆盖端到端下单、收货信息缺失校验、下单后购物车清空、订单状态与取消订单。用例同时采用冒烟与回归两级标记。</w:t>
      </w:r>
    </w:p>
    <w:p>
      <w:pPr>
        <w:pStyle w:val="Heading2"/>
        <w:keepNext/>
        <w:spacing w:before="220" w:after="100" w:line="360" w:lineRule="auto"/>
      </w:pPr>
      <w:r>
        <w:rPr>
          <w:rFonts w:ascii="Times New Roman" w:hAnsi="Times New Roman" w:eastAsia="黑体"/>
          <w:b/>
          <w:color w:val="000000"/>
          <w:sz w:val="21"/>
        </w:rPr>
        <w:t>（四）技术路线</w:t>
      </w:r>
    </w:p>
    <w:p>
      <w:pPr>
        <w:spacing w:before="0" w:after="0" w:line="360" w:lineRule="auto"/>
        <w:ind w:firstLine="420"/>
      </w:pPr>
      <w:r>
        <w:rPr>
          <w:rFonts w:ascii="Times New Roman" w:hAnsi="Times New Roman" w:eastAsia="宋体"/>
          <w:b w:val="0"/>
          <w:color w:val="000000"/>
          <w:sz w:val="21"/>
        </w:rPr>
        <w:t>课题按“需求分析→被测系统开发→框架搭建→用例编写→自愈模块→持续集成→实验验证”七个阶段递进实施，前一阶段产物作为后一阶段的输入，各阶段均以可运行、可验证为完成标准。</w:t>
      </w:r>
    </w:p>
    <w:p>
      <w:pPr>
        <w:pStyle w:val="Heading1"/>
        <w:keepNext/>
        <w:spacing w:before="280" w:after="120" w:line="360" w:lineRule="auto"/>
      </w:pPr>
      <w:r>
        <w:rPr>
          <w:rFonts w:ascii="Times New Roman" w:hAnsi="Times New Roman" w:eastAsia="黑体"/>
          <w:b/>
          <w:color w:val="000000"/>
          <w:sz w:val="28"/>
        </w:rPr>
        <w:t>五、研究基础与可行性</w:t>
      </w:r>
    </w:p>
    <w:p>
      <w:pPr>
        <w:spacing w:before="0" w:after="0" w:line="360" w:lineRule="auto"/>
        <w:ind w:firstLine="420"/>
      </w:pPr>
      <w:r>
        <w:rPr>
          <w:rFonts w:ascii="Times New Roman" w:hAnsi="Times New Roman" w:eastAsia="宋体"/>
          <w:b w:val="0"/>
          <w:color w:val="000000"/>
          <w:sz w:val="21"/>
        </w:rPr>
        <w:t>研究者具备 Python 开发、Web 前后端与软件测试的基础能力，并有软件测试岗位实习经历，熟悉 pytest、接口测试与问题定位流程，与课题方向高度契合。目前已完成被测系统“试客商城”的初版实现（含用户、商品、购物车、订单、后台管理五大模块）与测试框架的主体搭建，四大模块 24 个用例已可运行，实验条件（Python 环境、Chrome 浏览器、虚拟环境与内置浏览器驱动）齐备。课题主要难点在于页面元素的定位稳定性，拟通过显式等待封装、测试标识规范与自愈定位机制协同解决。</w:t>
      </w:r>
    </w:p>
    <w:p>
      <w:pPr>
        <w:pStyle w:val="Heading1"/>
        <w:keepNext/>
        <w:spacing w:before="280" w:after="120" w:line="360" w:lineRule="auto"/>
      </w:pPr>
      <w:r>
        <w:rPr>
          <w:rFonts w:ascii="Times New Roman" w:hAnsi="Times New Roman" w:eastAsia="黑体"/>
          <w:b/>
          <w:color w:val="000000"/>
          <w:sz w:val="28"/>
        </w:rPr>
        <w:t>六、创新点与预期成果</w:t>
      </w:r>
    </w:p>
    <w:p>
      <w:pPr>
        <w:pStyle w:val="Heading2"/>
        <w:keepNext/>
        <w:spacing w:before="220" w:after="100" w:line="360" w:lineRule="auto"/>
      </w:pPr>
      <w:r>
        <w:rPr>
          <w:rFonts w:ascii="Times New Roman" w:hAnsi="Times New Roman" w:eastAsia="黑体"/>
          <w:b/>
          <w:color w:val="000000"/>
          <w:sz w:val="21"/>
        </w:rPr>
        <w:t>（一）创新点</w:t>
      </w:r>
    </w:p>
    <w:p>
      <w:pPr>
        <w:spacing w:before="0" w:after="0" w:line="360" w:lineRule="auto"/>
        <w:ind w:firstLine="420"/>
      </w:pPr>
      <w:r>
        <w:rPr>
          <w:rFonts w:ascii="Times New Roman" w:hAnsi="Times New Roman" w:eastAsia="宋体"/>
          <w:b w:val="0"/>
          <w:color w:val="000000"/>
          <w:sz w:val="21"/>
        </w:rPr>
        <w:t>1. 被测系统与测试框架一体化设计。自研电商系统统一采用 data-testid 测试标识规范，测试数据与页面对象完全原创，规避了直接复用现成演示站点带来的同质化问题。</w:t>
      </w:r>
    </w:p>
    <w:p>
      <w:pPr>
        <w:spacing w:before="0" w:after="0" w:line="360" w:lineRule="auto"/>
        <w:ind w:firstLine="420"/>
      </w:pPr>
      <w:r>
        <w:rPr>
          <w:rFonts w:ascii="Times New Roman" w:hAnsi="Times New Roman" w:eastAsia="宋体"/>
          <w:b w:val="0"/>
          <w:color w:val="000000"/>
          <w:sz w:val="21"/>
        </w:rPr>
        <w:t>2. 四层架构与业务流封装。在 Page Object 基础上增加业务操作层，跨页面交易流程一次封装、处处复用，显著降低用例编写与维护成本。</w:t>
      </w:r>
    </w:p>
    <w:p>
      <w:pPr>
        <w:spacing w:before="0" w:after="0" w:line="360" w:lineRule="auto"/>
        <w:ind w:firstLine="420"/>
      </w:pPr>
      <w:r>
        <w:rPr>
          <w:rFonts w:ascii="Times New Roman" w:hAnsi="Times New Roman" w:eastAsia="宋体"/>
          <w:b w:val="0"/>
          <w:color w:val="000000"/>
          <w:sz w:val="21"/>
        </w:rPr>
        <w:t>3. 规则级与模型级混合自愈定位。将属性回退规则与大型语言模型语义修复相结合，页面改版后定位器可自动修复，并统计自愈率以量化维护成本收益。</w:t>
      </w:r>
    </w:p>
    <w:p>
      <w:pPr>
        <w:spacing w:before="0" w:after="0" w:line="360" w:lineRule="auto"/>
        <w:ind w:firstLine="420"/>
      </w:pPr>
      <w:r>
        <w:rPr>
          <w:rFonts w:ascii="Times New Roman" w:hAnsi="Times New Roman" w:eastAsia="宋体"/>
          <w:b w:val="0"/>
          <w:color w:val="000000"/>
          <w:sz w:val="21"/>
        </w:rPr>
        <w:t>4. 工程化闭环。冒烟与回归分级执行、独立 HTML 报告与定时持续集成相结合，形成可落地的自动化回归体系。</w:t>
      </w:r>
    </w:p>
    <w:p>
      <w:pPr>
        <w:pStyle w:val="Heading2"/>
        <w:keepNext/>
        <w:spacing w:before="220" w:after="100" w:line="360" w:lineRule="auto"/>
      </w:pPr>
      <w:r>
        <w:rPr>
          <w:rFonts w:ascii="Times New Roman" w:hAnsi="Times New Roman" w:eastAsia="黑体"/>
          <w:b/>
          <w:color w:val="000000"/>
          <w:sz w:val="21"/>
        </w:rPr>
        <w:t>（二）预期成果</w:t>
      </w:r>
    </w:p>
    <w:p>
      <w:pPr>
        <w:spacing w:before="0" w:after="0" w:line="360" w:lineRule="auto"/>
        <w:ind w:firstLine="420"/>
      </w:pPr>
      <w:r>
        <w:rPr>
          <w:rFonts w:ascii="Times New Roman" w:hAnsi="Times New Roman" w:eastAsia="宋体"/>
          <w:b w:val="0"/>
          <w:color w:val="000000"/>
          <w:sz w:val="21"/>
        </w:rPr>
        <w:t>预期产出包括：可运行的电商被测系统源码与测试框架源码；覆盖四大模块的 24 个自动化测试用例并全量通过；自愈定位模块及其自愈事件统计；HTML 测试报告与持续集成流水线；满足学位要求的毕业论文。</w:t>
      </w:r>
    </w:p>
    <w:p>
      <w:pPr>
        <w:pStyle w:val="Heading1"/>
        <w:keepNext/>
        <w:spacing w:before="280" w:after="120" w:line="360" w:lineRule="auto"/>
      </w:pPr>
      <w:r>
        <w:rPr>
          <w:rFonts w:ascii="Times New Roman" w:hAnsi="Times New Roman" w:eastAsia="黑体"/>
          <w:b/>
          <w:color w:val="000000"/>
          <w:sz w:val="28"/>
        </w:rPr>
        <w:t>七、进度安排</w:t>
      </w:r>
    </w:p>
    <w:p>
      <w:pPr>
        <w:spacing w:before="0" w:after="0" w:line="360" w:lineRule="auto"/>
        <w:ind w:firstLine="420"/>
      </w:pPr>
      <w:r>
        <w:rPr>
          <w:rFonts w:ascii="Times New Roman" w:hAnsi="Times New Roman" w:eastAsia="宋体"/>
          <w:b w:val="0"/>
          <w:color w:val="000000"/>
          <w:sz w:val="21"/>
        </w:rPr>
        <w:t>课题整体进度安排如表 1 所示。</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50"/>
            <w:tcBorders>
              <w:top w:val="single" w:sz="8" w:color="000000"/>
              <w:left w:val="none" w:sz="0" w:color="000000"/>
              <w:bottom w:val="single" w:sz="4" w:color="000000"/>
              <w:right w:val="none" w:sz="0" w:color="000000"/>
            </w:tcBorders>
            <w:shd w:val="clear" w:fill="D9D9D9"/>
            <w:vAlign w:val="center"/>
          </w:tcPr>
          <w:p>
            <w:pPr>
              <w:spacing w:before="0" w:after="0" w:line="240" w:lineRule="auto"/>
              <w:jc w:val="center"/>
            </w:pPr>
            <w:r>
              <w:rPr>
                <w:rFonts w:ascii="Times New Roman" w:hAnsi="Times New Roman" w:eastAsia="宋体"/>
                <w:b/>
                <w:color w:val="000000"/>
                <w:sz w:val="18"/>
              </w:rPr>
              <w:t>阶段</w:t>
            </w:r>
          </w:p>
        </w:tc>
        <w:tc>
          <w:tcPr>
            <w:tcW w:type="dxa" w:w="1417"/>
            <w:tcBorders>
              <w:top w:val="single" w:sz="8" w:color="000000"/>
              <w:left w:val="none" w:sz="0" w:color="000000"/>
              <w:bottom w:val="single" w:sz="4" w:color="000000"/>
              <w:right w:val="none" w:sz="0" w:color="000000"/>
            </w:tcBorders>
            <w:shd w:val="clear" w:fill="D9D9D9"/>
            <w:vAlign w:val="center"/>
          </w:tcPr>
          <w:p>
            <w:pPr>
              <w:spacing w:before="0" w:after="0" w:line="240" w:lineRule="auto"/>
              <w:jc w:val="center"/>
            </w:pPr>
            <w:r>
              <w:rPr>
                <w:rFonts w:ascii="Times New Roman" w:hAnsi="Times New Roman" w:eastAsia="宋体"/>
                <w:b/>
                <w:color w:val="000000"/>
                <w:sz w:val="18"/>
              </w:rPr>
              <w:t>时间</w:t>
            </w:r>
          </w:p>
        </w:tc>
        <w:tc>
          <w:tcPr>
            <w:tcW w:type="dxa" w:w="3402"/>
            <w:tcBorders>
              <w:top w:val="single" w:sz="8" w:color="000000"/>
              <w:left w:val="none" w:sz="0" w:color="000000"/>
              <w:bottom w:val="single" w:sz="4" w:color="000000"/>
              <w:right w:val="none" w:sz="0" w:color="000000"/>
            </w:tcBorders>
            <w:shd w:val="clear" w:fill="D9D9D9"/>
            <w:vAlign w:val="center"/>
          </w:tcPr>
          <w:p>
            <w:pPr>
              <w:spacing w:before="0" w:after="0" w:line="240" w:lineRule="auto"/>
              <w:jc w:val="center"/>
            </w:pPr>
            <w:r>
              <w:rPr>
                <w:rFonts w:ascii="Times New Roman" w:hAnsi="Times New Roman" w:eastAsia="宋体"/>
                <w:b/>
                <w:color w:val="000000"/>
                <w:sz w:val="18"/>
              </w:rPr>
              <w:t>主要任务</w:t>
            </w:r>
          </w:p>
        </w:tc>
        <w:tc>
          <w:tcPr>
            <w:tcW w:type="dxa" w:w="2835"/>
            <w:tcBorders>
              <w:top w:val="single" w:sz="8" w:color="000000"/>
              <w:left w:val="none" w:sz="0" w:color="000000"/>
              <w:bottom w:val="single" w:sz="4" w:color="000000"/>
              <w:right w:val="none" w:sz="0" w:color="000000"/>
            </w:tcBorders>
            <w:shd w:val="clear" w:fill="D9D9D9"/>
            <w:vAlign w:val="center"/>
          </w:tcPr>
          <w:p>
            <w:pPr>
              <w:spacing w:before="0" w:after="0" w:line="240" w:lineRule="auto"/>
              <w:jc w:val="center"/>
            </w:pPr>
            <w:r>
              <w:rPr>
                <w:rFonts w:ascii="Times New Roman" w:hAnsi="Times New Roman" w:eastAsia="宋体"/>
                <w:b/>
                <w:color w:val="000000"/>
                <w:sz w:val="18"/>
              </w:rPr>
              <w:t>阶段产出</w:t>
            </w:r>
          </w:p>
        </w:tc>
      </w:tr>
      <w:tr>
        <w:tc>
          <w:tcPr>
            <w:tcW w:type="dxa" w:w="850"/>
            <w:tcBorders>
              <w:top w:val="none" w:sz="0" w:color="000000"/>
              <w:left w:val="none" w:sz="0" w:color="000000"/>
              <w:bottom w:val="none" w:sz="0" w:color="000000"/>
              <w:right w:val="none" w:sz="0" w:color="000000"/>
            </w:tcBorders>
            <w:vAlign w:val="center"/>
          </w:tcPr>
          <w:p>
            <w:pPr>
              <w:spacing w:before="0" w:after="0" w:line="240" w:lineRule="auto"/>
              <w:jc w:val="center"/>
            </w:pPr>
            <w:r>
              <w:rPr>
                <w:rFonts w:ascii="Times New Roman" w:hAnsi="Times New Roman" w:eastAsia="宋体"/>
                <w:b w:val="0"/>
                <w:color w:val="000000"/>
                <w:sz w:val="18"/>
              </w:rPr>
              <w:t>1</w:t>
            </w:r>
          </w:p>
        </w:tc>
        <w:tc>
          <w:tcPr>
            <w:tcW w:type="dxa" w:w="1417"/>
            <w:tcBorders>
              <w:top w:val="none" w:sz="0" w:color="000000"/>
              <w:left w:val="none" w:sz="0" w:color="000000"/>
              <w:bottom w:val="none" w:sz="0"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第1—2周</w:t>
            </w:r>
          </w:p>
        </w:tc>
        <w:tc>
          <w:tcPr>
            <w:tcW w:type="dxa" w:w="3402"/>
            <w:tcBorders>
              <w:top w:val="none" w:sz="0" w:color="000000"/>
              <w:left w:val="none" w:sz="0" w:color="000000"/>
              <w:bottom w:val="none" w:sz="0"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文献调研与方案设计</w:t>
            </w:r>
          </w:p>
        </w:tc>
        <w:tc>
          <w:tcPr>
            <w:tcW w:type="dxa" w:w="2835"/>
            <w:tcBorders>
              <w:top w:val="none" w:sz="0" w:color="000000"/>
              <w:left w:val="none" w:sz="0" w:color="000000"/>
              <w:bottom w:val="none" w:sz="0"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开题报告、技术方案</w:t>
            </w:r>
          </w:p>
        </w:tc>
      </w:tr>
      <w:tr>
        <w:tc>
          <w:tcPr>
            <w:tcW w:type="dxa" w:w="850"/>
            <w:tcBorders>
              <w:top w:val="none" w:sz="0" w:color="000000"/>
              <w:left w:val="none" w:sz="0" w:color="000000"/>
              <w:bottom w:val="none" w:sz="0" w:color="000000"/>
              <w:right w:val="none" w:sz="0" w:color="000000"/>
            </w:tcBorders>
            <w:vAlign w:val="center"/>
          </w:tcPr>
          <w:p>
            <w:pPr>
              <w:spacing w:before="0" w:after="0" w:line="240" w:lineRule="auto"/>
              <w:jc w:val="center"/>
            </w:pPr>
            <w:r>
              <w:rPr>
                <w:rFonts w:ascii="Times New Roman" w:hAnsi="Times New Roman" w:eastAsia="宋体"/>
                <w:b w:val="0"/>
                <w:color w:val="000000"/>
                <w:sz w:val="18"/>
              </w:rPr>
              <w:t>2</w:t>
            </w:r>
          </w:p>
        </w:tc>
        <w:tc>
          <w:tcPr>
            <w:tcW w:type="dxa" w:w="1417"/>
            <w:tcBorders>
              <w:top w:val="none" w:sz="0" w:color="000000"/>
              <w:left w:val="none" w:sz="0" w:color="000000"/>
              <w:bottom w:val="none" w:sz="0"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第3—5周</w:t>
            </w:r>
          </w:p>
        </w:tc>
        <w:tc>
          <w:tcPr>
            <w:tcW w:type="dxa" w:w="3402"/>
            <w:tcBorders>
              <w:top w:val="none" w:sz="0" w:color="000000"/>
              <w:left w:val="none" w:sz="0" w:color="000000"/>
              <w:bottom w:val="none" w:sz="0"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被测系统“试客商城”开发</w:t>
            </w:r>
          </w:p>
        </w:tc>
        <w:tc>
          <w:tcPr>
            <w:tcW w:type="dxa" w:w="2835"/>
            <w:tcBorders>
              <w:top w:val="none" w:sz="0" w:color="000000"/>
              <w:left w:val="none" w:sz="0" w:color="000000"/>
              <w:bottom w:val="none" w:sz="0"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可运行电商系统</w:t>
            </w:r>
          </w:p>
        </w:tc>
      </w:tr>
      <w:tr>
        <w:tc>
          <w:tcPr>
            <w:tcW w:type="dxa" w:w="850"/>
            <w:tcBorders>
              <w:top w:val="none" w:sz="0" w:color="000000"/>
              <w:left w:val="none" w:sz="0" w:color="000000"/>
              <w:bottom w:val="none" w:sz="0" w:color="000000"/>
              <w:right w:val="none" w:sz="0" w:color="000000"/>
            </w:tcBorders>
            <w:vAlign w:val="center"/>
          </w:tcPr>
          <w:p>
            <w:pPr>
              <w:spacing w:before="0" w:after="0" w:line="240" w:lineRule="auto"/>
              <w:jc w:val="center"/>
            </w:pPr>
            <w:r>
              <w:rPr>
                <w:rFonts w:ascii="Times New Roman" w:hAnsi="Times New Roman" w:eastAsia="宋体"/>
                <w:b w:val="0"/>
                <w:color w:val="000000"/>
                <w:sz w:val="18"/>
              </w:rPr>
              <w:t>3</w:t>
            </w:r>
          </w:p>
        </w:tc>
        <w:tc>
          <w:tcPr>
            <w:tcW w:type="dxa" w:w="1417"/>
            <w:tcBorders>
              <w:top w:val="none" w:sz="0" w:color="000000"/>
              <w:left w:val="none" w:sz="0" w:color="000000"/>
              <w:bottom w:val="none" w:sz="0"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第6—8周</w:t>
            </w:r>
          </w:p>
        </w:tc>
        <w:tc>
          <w:tcPr>
            <w:tcW w:type="dxa" w:w="3402"/>
            <w:tcBorders>
              <w:top w:val="none" w:sz="0" w:color="000000"/>
              <w:left w:val="none" w:sz="0" w:color="000000"/>
              <w:bottom w:val="none" w:sz="0"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四层框架搭建与用例编写</w:t>
            </w:r>
          </w:p>
        </w:tc>
        <w:tc>
          <w:tcPr>
            <w:tcW w:type="dxa" w:w="2835"/>
            <w:tcBorders>
              <w:top w:val="none" w:sz="0" w:color="000000"/>
              <w:left w:val="none" w:sz="0" w:color="000000"/>
              <w:bottom w:val="none" w:sz="0"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框架源码、24 个用例</w:t>
            </w:r>
          </w:p>
        </w:tc>
      </w:tr>
      <w:tr>
        <w:tc>
          <w:tcPr>
            <w:tcW w:type="dxa" w:w="850"/>
            <w:tcBorders>
              <w:top w:val="none" w:sz="0" w:color="000000"/>
              <w:left w:val="none" w:sz="0" w:color="000000"/>
              <w:bottom w:val="none" w:sz="0" w:color="000000"/>
              <w:right w:val="none" w:sz="0" w:color="000000"/>
            </w:tcBorders>
            <w:vAlign w:val="center"/>
          </w:tcPr>
          <w:p>
            <w:pPr>
              <w:spacing w:before="0" w:after="0" w:line="240" w:lineRule="auto"/>
              <w:jc w:val="center"/>
            </w:pPr>
            <w:r>
              <w:rPr>
                <w:rFonts w:ascii="Times New Roman" w:hAnsi="Times New Roman" w:eastAsia="宋体"/>
                <w:b w:val="0"/>
                <w:color w:val="000000"/>
                <w:sz w:val="18"/>
              </w:rPr>
              <w:t>4</w:t>
            </w:r>
          </w:p>
        </w:tc>
        <w:tc>
          <w:tcPr>
            <w:tcW w:type="dxa" w:w="1417"/>
            <w:tcBorders>
              <w:top w:val="none" w:sz="0" w:color="000000"/>
              <w:left w:val="none" w:sz="0" w:color="000000"/>
              <w:bottom w:val="none" w:sz="0"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第9—10周</w:t>
            </w:r>
          </w:p>
        </w:tc>
        <w:tc>
          <w:tcPr>
            <w:tcW w:type="dxa" w:w="3402"/>
            <w:tcBorders>
              <w:top w:val="none" w:sz="0" w:color="000000"/>
              <w:left w:val="none" w:sz="0" w:color="000000"/>
              <w:bottom w:val="none" w:sz="0"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自愈定位模块与持续集成</w:t>
            </w:r>
          </w:p>
        </w:tc>
        <w:tc>
          <w:tcPr>
            <w:tcW w:type="dxa" w:w="2835"/>
            <w:tcBorders>
              <w:top w:val="none" w:sz="0" w:color="000000"/>
              <w:left w:val="none" w:sz="0" w:color="000000"/>
              <w:bottom w:val="none" w:sz="0"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自愈统计、CI 流水线</w:t>
            </w:r>
          </w:p>
        </w:tc>
      </w:tr>
      <w:tr>
        <w:tc>
          <w:tcPr>
            <w:tcW w:type="dxa" w:w="850"/>
            <w:tcBorders>
              <w:top w:val="none" w:sz="0" w:color="000000"/>
              <w:left w:val="none" w:sz="0" w:color="000000"/>
              <w:bottom w:val="none" w:sz="0" w:color="000000"/>
              <w:right w:val="none" w:sz="0" w:color="000000"/>
            </w:tcBorders>
            <w:vAlign w:val="center"/>
          </w:tcPr>
          <w:p>
            <w:pPr>
              <w:spacing w:before="0" w:after="0" w:line="240" w:lineRule="auto"/>
              <w:jc w:val="center"/>
            </w:pPr>
            <w:r>
              <w:rPr>
                <w:rFonts w:ascii="Times New Roman" w:hAnsi="Times New Roman" w:eastAsia="宋体"/>
                <w:b w:val="0"/>
                <w:color w:val="000000"/>
                <w:sz w:val="18"/>
              </w:rPr>
              <w:t>5</w:t>
            </w:r>
          </w:p>
        </w:tc>
        <w:tc>
          <w:tcPr>
            <w:tcW w:type="dxa" w:w="1417"/>
            <w:tcBorders>
              <w:top w:val="none" w:sz="0" w:color="000000"/>
              <w:left w:val="none" w:sz="0" w:color="000000"/>
              <w:bottom w:val="none" w:sz="0"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第11—13周</w:t>
            </w:r>
          </w:p>
        </w:tc>
        <w:tc>
          <w:tcPr>
            <w:tcW w:type="dxa" w:w="3402"/>
            <w:tcBorders>
              <w:top w:val="none" w:sz="0" w:color="000000"/>
              <w:left w:val="none" w:sz="0" w:color="000000"/>
              <w:bottom w:val="none" w:sz="0"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全量回归实验与论文撰写</w:t>
            </w:r>
          </w:p>
        </w:tc>
        <w:tc>
          <w:tcPr>
            <w:tcW w:type="dxa" w:w="2835"/>
            <w:tcBorders>
              <w:top w:val="none" w:sz="0" w:color="000000"/>
              <w:left w:val="none" w:sz="0" w:color="000000"/>
              <w:bottom w:val="none" w:sz="0"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实验数据、论文初稿</w:t>
            </w:r>
          </w:p>
        </w:tc>
      </w:tr>
      <w:tr>
        <w:tc>
          <w:tcPr>
            <w:tcW w:type="dxa" w:w="850"/>
            <w:tcBorders>
              <w:top w:val="none" w:sz="0" w:color="000000"/>
              <w:left w:val="none" w:sz="0" w:color="000000"/>
              <w:bottom w:val="single" w:sz="8" w:color="000000"/>
              <w:right w:val="none" w:sz="0" w:color="000000"/>
            </w:tcBorders>
            <w:vAlign w:val="center"/>
          </w:tcPr>
          <w:p>
            <w:pPr>
              <w:spacing w:before="0" w:after="0" w:line="240" w:lineRule="auto"/>
              <w:jc w:val="center"/>
            </w:pPr>
            <w:r>
              <w:rPr>
                <w:rFonts w:ascii="Times New Roman" w:hAnsi="Times New Roman" w:eastAsia="宋体"/>
                <w:b w:val="0"/>
                <w:color w:val="000000"/>
                <w:sz w:val="18"/>
              </w:rPr>
              <w:t>6</w:t>
            </w:r>
          </w:p>
        </w:tc>
        <w:tc>
          <w:tcPr>
            <w:tcW w:type="dxa" w:w="1417"/>
            <w:tcBorders>
              <w:top w:val="none" w:sz="0" w:color="000000"/>
              <w:left w:val="none" w:sz="0" w:color="000000"/>
              <w:bottom w:val="single" w:sz="8"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第14周</w:t>
            </w:r>
          </w:p>
        </w:tc>
        <w:tc>
          <w:tcPr>
            <w:tcW w:type="dxa" w:w="3402"/>
            <w:tcBorders>
              <w:top w:val="none" w:sz="0" w:color="000000"/>
              <w:left w:val="none" w:sz="0" w:color="000000"/>
              <w:bottom w:val="single" w:sz="8"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论文修改与答辩准备</w:t>
            </w:r>
          </w:p>
        </w:tc>
        <w:tc>
          <w:tcPr>
            <w:tcW w:type="dxa" w:w="2835"/>
            <w:tcBorders>
              <w:top w:val="none" w:sz="0" w:color="000000"/>
              <w:left w:val="none" w:sz="0" w:color="000000"/>
              <w:bottom w:val="single" w:sz="8" w:color="000000"/>
              <w:right w:val="none" w:sz="0" w:color="000000"/>
            </w:tcBorders>
            <w:vAlign w:val="center"/>
          </w:tcPr>
          <w:p>
            <w:pPr>
              <w:spacing w:before="0" w:after="0" w:line="240" w:lineRule="auto"/>
              <w:jc w:val="left"/>
            </w:pPr>
            <w:r>
              <w:rPr>
                <w:rFonts w:ascii="Times New Roman" w:hAnsi="Times New Roman" w:eastAsia="宋体"/>
                <w:b w:val="0"/>
                <w:color w:val="000000"/>
                <w:sz w:val="18"/>
              </w:rPr>
              <w:t>论文终稿、答辩材料</w:t>
            </w:r>
          </w:p>
        </w:tc>
      </w:tr>
    </w:tbl>
    <w:p>
      <w:pPr>
        <w:spacing w:before="40" w:line="360" w:lineRule="auto"/>
      </w:pPr>
      <w:r>
        <w:rPr>
          <w:rFonts w:ascii="Times New Roman" w:hAnsi="Times New Roman" w:eastAsia="宋体"/>
          <w:b w:val="0"/>
          <w:color w:val="000000"/>
          <w:sz w:val="18"/>
        </w:rPr>
        <w:t>表1  课题进度安排</w:t>
      </w:r>
    </w:p>
    <w:p>
      <w:r>
        <w:br w:type="page"/>
      </w:r>
    </w:p>
    <w:p>
      <w:pPr>
        <w:pStyle w:val="Heading1"/>
        <w:keepNext/>
        <w:spacing w:before="280" w:after="120" w:line="360" w:lineRule="auto"/>
      </w:pPr>
      <w:r>
        <w:rPr>
          <w:rFonts w:ascii="Times New Roman" w:hAnsi="Times New Roman" w:eastAsia="黑体"/>
          <w:b/>
          <w:color w:val="000000"/>
          <w:sz w:val="28"/>
        </w:rPr>
        <w:t>参考文献</w:t>
      </w:r>
    </w:p>
    <w:p>
      <w:pPr>
        <w:spacing w:after="0" w:line="300" w:lineRule="auto"/>
        <w:ind w:left="360" w:hanging="360"/>
      </w:pPr>
      <w:r>
        <w:rPr>
          <w:rFonts w:ascii="Times New Roman" w:hAnsi="Times New Roman" w:eastAsia="宋体"/>
          <w:b w:val="0"/>
          <w:color w:val="000000"/>
          <w:sz w:val="18"/>
        </w:rPr>
        <w:t>［1］全国信息技术标准化技术委员会. 计算机软件测试规范：GB/T 15532—2008［S］. 北京：中国标准出版社，2008.</w:t>
      </w:r>
    </w:p>
    <w:p>
      <w:pPr>
        <w:spacing w:after="0" w:line="300" w:lineRule="auto"/>
        <w:ind w:left="360" w:hanging="360"/>
      </w:pPr>
      <w:r>
        <w:rPr>
          <w:rFonts w:ascii="Times New Roman" w:hAnsi="Times New Roman" w:eastAsia="宋体"/>
          <w:b w:val="0"/>
          <w:color w:val="000000"/>
          <w:sz w:val="18"/>
        </w:rPr>
        <w:t>［2］梅耶（Myers，G. J.）等. 软件测试的艺术（原书第3版）［M］. 张晓明，黄琳，译. 北京：机械工业出版社，2012.</w:t>
      </w:r>
    </w:p>
    <w:p>
      <w:pPr>
        <w:spacing w:after="0" w:line="300" w:lineRule="auto"/>
        <w:ind w:left="360" w:hanging="360"/>
      </w:pPr>
      <w:r>
        <w:rPr>
          <w:rFonts w:ascii="Times New Roman" w:hAnsi="Times New Roman" w:eastAsia="宋体"/>
          <w:b w:val="0"/>
          <w:color w:val="000000"/>
          <w:sz w:val="18"/>
        </w:rPr>
        <w:t>［3］Selenium 项目组. Selenium WebDriver 官方文档［EB/OL］. https://www.selenium.dev/documentation/.</w:t>
      </w:r>
    </w:p>
    <w:p>
      <w:pPr>
        <w:spacing w:after="0" w:line="300" w:lineRule="auto"/>
        <w:ind w:left="360" w:hanging="360"/>
      </w:pPr>
      <w:r>
        <w:rPr>
          <w:rFonts w:ascii="Times New Roman" w:hAnsi="Times New Roman" w:eastAsia="宋体"/>
          <w:b w:val="0"/>
          <w:color w:val="000000"/>
          <w:sz w:val="18"/>
        </w:rPr>
        <w:t>［4］Selenium 项目组. Page Object Models 实践指南［EB/OL］. https://www.selenium.dev/documentation/test_practices/encouraged/page_object_models/.</w:t>
      </w:r>
    </w:p>
    <w:p>
      <w:pPr>
        <w:spacing w:after="0" w:line="300" w:lineRule="auto"/>
        <w:ind w:left="360" w:hanging="360"/>
      </w:pPr>
      <w:r>
        <w:rPr>
          <w:rFonts w:ascii="Times New Roman" w:hAnsi="Times New Roman" w:eastAsia="宋体"/>
          <w:b w:val="0"/>
          <w:color w:val="000000"/>
          <w:sz w:val="18"/>
        </w:rPr>
        <w:t>［5］GitHub. saucedemo、selenium、pytest 仓库检索结果［EB/OL］. https://api.github.com/search/repositories?q=saucedemo+selenium+pytest.</w:t>
      </w:r>
    </w:p>
    <w:p>
      <w:pPr>
        <w:spacing w:after="0" w:line="300" w:lineRule="auto"/>
        <w:ind w:left="360" w:hanging="360"/>
      </w:pPr>
      <w:r>
        <w:rPr>
          <w:rFonts w:ascii="Times New Roman" w:hAnsi="Times New Roman" w:eastAsia="宋体"/>
          <w:b w:val="0"/>
          <w:color w:val="000000"/>
          <w:sz w:val="18"/>
        </w:rPr>
        <w:t>［6］掘金社区. 基于 LangGraph 多智能体架构的 Playwright E2E 测试自愈工具：E2E-Self-Heal［EB/OL］. https://juejin.cn/post/7663396987304247296.</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color w:val="00000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