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drawing>
          <wp:inline distT="0" distB="0" distL="0" distR="0">
            <wp:extent cx="1809750" cy="1095375"/>
            <wp:effectExtent t="0" r="0" b="0" l="0"/>
            <wp:docPr id="1" name="logo" descr="U.S. Nonprofit Safeguarding Crosswalk Project"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09750" cy="1095375"/>
                    </a:xfrm>
                    <a:prstGeom prst="rect">
                      <a:avLst/>
                    </a:prstGeom>
                  </pic:spPr>
                </pic:pic>
              </a:graphicData>
            </a:graphic>
          </wp:inline>
        </w:drawing>
      </w:r>
    </w:p>
    <w:p>
      <w:pPr>
        <w:spacing w:after="60"/>
        <w:jc w:val="center"/>
      </w:pPr>
      <w:r>
        <w:rPr>
          <w:rFonts w:ascii="Cambria" w:cs="Cambria" w:eastAsia="Cambria" w:hAnsi="Cambria"/>
          <w:b/>
          <w:bCs/>
          <w:i w:val="false"/>
          <w:iCs w:val="false"/>
          <w:color w:val="14213D"/>
          <w:sz w:val="38"/>
          <w:szCs w:val="38"/>
        </w:rPr>
        <w:t xml:space="preserve">Safeguarding Self-Assessment</w:t>
      </w:r>
    </w:p>
    <w:p>
      <w:pPr>
        <w:spacing w:after="200"/>
        <w:jc w:val="center"/>
      </w:pPr>
      <w:r>
        <w:rPr>
          <w:rFonts w:ascii="Calibri" w:cs="Calibri" w:eastAsia="Calibri" w:hAnsi="Calibri"/>
          <w:b w:val="false"/>
          <w:bCs w:val="false"/>
          <w:i/>
          <w:iCs/>
          <w:color w:val="46546E"/>
          <w:sz w:val="22"/>
          <w:szCs w:val="22"/>
        </w:rPr>
        <w:t xml:space="preserve">A 32-indicator readiness check your team completes on its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5"/>
        <w:gridCol w:w="8045"/>
      </w:tblGrid>
      <w:tr>
        <w:trPr>
          <w:tblHeader w:val="false"/>
        </w:trPr>
        <w:tc>
          <w:tcPr>
            <w:tcW w:type="dxa" w:w="131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bCs/>
                <w:i w:val="false"/>
                <w:iCs w:val="false"/>
                <w:color w:val="14213D"/>
                <w:sz w:val="19"/>
                <w:szCs w:val="19"/>
              </w:rPr>
              <w:t xml:space="preserve">Series</w:t>
            </w:r>
          </w:p>
        </w:tc>
        <w:tc>
          <w:tcPr>
            <w:tcW w:type="dxa" w:w="804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Crosswalk Project Implementation Toolkit — Tool 2</w:t>
            </w:r>
          </w:p>
        </w:tc>
      </w:tr>
      <w:tr>
        <w:trPr>
          <w:tblHeader w:val="false"/>
        </w:trPr>
        <w:tc>
          <w:tcPr>
            <w:tcW w:type="dxa" w:w="131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bCs/>
                <w:i w:val="false"/>
                <w:iCs w:val="false"/>
                <w:color w:val="14213D"/>
                <w:sz w:val="19"/>
                <w:szCs w:val="19"/>
              </w:rPr>
              <w:t xml:space="preserve">Author</w:t>
            </w:r>
          </w:p>
        </w:tc>
        <w:tc>
          <w:tcPr>
            <w:tcW w:type="dxa" w:w="804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Saba Gul, LL.M.</w:t>
            </w:r>
          </w:p>
        </w:tc>
      </w:tr>
      <w:tr>
        <w:trPr>
          <w:tblHeader w:val="false"/>
        </w:trPr>
        <w:tc>
          <w:tcPr>
            <w:tcW w:type="dxa" w:w="131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bCs/>
                <w:i w:val="false"/>
                <w:iCs w:val="false"/>
                <w:color w:val="14213D"/>
                <w:sz w:val="19"/>
                <w:szCs w:val="19"/>
              </w:rPr>
              <w:t xml:space="preserve">Updated</w:t>
            </w:r>
          </w:p>
        </w:tc>
        <w:tc>
          <w:tcPr>
            <w:tcW w:type="dxa" w:w="804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October 2026</w:t>
            </w:r>
          </w:p>
        </w:tc>
      </w:tr>
      <w:tr>
        <w:trPr>
          <w:tblHeader w:val="false"/>
        </w:trPr>
        <w:tc>
          <w:tcPr>
            <w:tcW w:type="dxa" w:w="131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bCs/>
                <w:i w:val="false"/>
                <w:iCs w:val="false"/>
                <w:color w:val="14213D"/>
                <w:sz w:val="19"/>
                <w:szCs w:val="19"/>
              </w:rPr>
              <w:t xml:space="preserve">License</w:t>
            </w:r>
          </w:p>
        </w:tc>
        <w:tc>
          <w:tcPr>
            <w:tcW w:type="dxa" w:w="804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Creative Commons Attribution 4.0 International (CC BY 4.0) — free to use, adapt, and share with attribution</w:t>
            </w:r>
          </w:p>
        </w:tc>
      </w:tr>
      <w:tr>
        <w:trPr>
          <w:tblHeader w:val="false"/>
        </w:trPr>
        <w:tc>
          <w:tcPr>
            <w:tcW w:type="dxa" w:w="131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bCs/>
                <w:i w:val="false"/>
                <w:iCs w:val="false"/>
                <w:color w:val="14213D"/>
                <w:sz w:val="19"/>
                <w:szCs w:val="19"/>
              </w:rPr>
              <w:t xml:space="preserve">Companion tools</w:t>
            </w:r>
          </w:p>
        </w:tc>
        <w:tc>
          <w:tcPr>
            <w:tcW w:type="dxa" w:w="804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Tool 1 — Organizational Safeguarding Policy Template; Tool 3 — Adopter Feedback Form; Tool 4 — Safeguarding Training Outlines</w:t>
            </w:r>
          </w:p>
        </w:tc>
      </w:tr>
      <w:tr>
        <w:trPr>
          <w:tblHeader w:val="false"/>
        </w:trPr>
        <w:tc>
          <w:tcPr>
            <w:tcW w:type="dxa" w:w="131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bCs/>
                <w:i w:val="false"/>
                <w:iCs w:val="false"/>
                <w:color w:val="14213D"/>
                <w:sz w:val="19"/>
                <w:szCs w:val="19"/>
              </w:rPr>
              <w:t xml:space="preserve">Companion research</w:t>
            </w:r>
          </w:p>
        </w:tc>
        <w:tc>
          <w:tcPr>
            <w:tcW w:type="dxa" w:w="804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Gul, S. (2026). Safeguarding Without a Baseline (Module 1 of the U.S. Nonprofit Safeguarding Crosswalk Project). Zenodo. DOI: https://doi.org/10.5281/zenodo.22022939</w:t>
            </w:r>
          </w:p>
        </w:tc>
      </w:tr>
      <w:tr>
        <w:trPr>
          <w:tblHeader w:val="false"/>
        </w:trPr>
        <w:tc>
          <w:tcPr>
            <w:tcW w:type="dxa" w:w="131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bCs/>
                <w:i w:val="false"/>
                <w:iCs w:val="false"/>
                <w:color w:val="14213D"/>
                <w:sz w:val="19"/>
                <w:szCs w:val="19"/>
              </w:rPr>
              <w:t xml:space="preserve">Latest version</w:t>
            </w:r>
          </w:p>
        </w:tc>
        <w:tc>
          <w:tcPr>
            <w:tcW w:type="dxa" w:w="804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https://pseacrosswalk.org/toolkit.html</w:t>
            </w:r>
          </w:p>
        </w:tc>
      </w:tr>
      <w:tr>
        <w:trPr>
          <w:tblHeader w:val="false"/>
        </w:trPr>
        <w:tc>
          <w:tcPr>
            <w:tcW w:type="dxa" w:w="131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bCs/>
                <w:i w:val="false"/>
                <w:iCs w:val="false"/>
                <w:color w:val="14213D"/>
                <w:sz w:val="19"/>
                <w:szCs w:val="19"/>
              </w:rPr>
              <w:t xml:space="preserve">Contact</w:t>
            </w:r>
          </w:p>
        </w:tc>
        <w:tc>
          <w:tcPr>
            <w:tcW w:type="dxa" w:w="804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info@pseacrosswalk.org</w:t>
            </w:r>
          </w:p>
        </w:tc>
      </w:tr>
    </w:tbl>
    <w:p>
      <w:pPr>
        <w:spacing w:after="60"/>
      </w:pPr>
    </w:p>
    <w:p>
      <w:pPr>
        <w:spacing w:after="140" w:line="276"/>
      </w:pPr>
      <w:r>
        <w:rPr>
          <w:rFonts w:ascii="Calibri" w:cs="Calibri" w:eastAsia="Calibri" w:hAnsi="Calibri"/>
          <w:b/>
          <w:bCs/>
          <w:i w:val="false"/>
          <w:iCs w:val="false"/>
          <w:color w:val="14213D"/>
          <w:sz w:val="21"/>
          <w:szCs w:val="21"/>
        </w:rPr>
        <w:t xml:space="preserve">Scope note.</w:t>
      </w:r>
      <w:r>
        <w:rPr>
          <w:rFonts w:ascii="Calibri" w:cs="Calibri" w:eastAsia="Calibri" w:hAnsi="Calibri"/>
          <w:b w:val="false"/>
          <w:bCs w:val="false"/>
          <w:i w:val="false"/>
          <w:iCs w:val="false"/>
          <w:color w:val="14213D"/>
          <w:sz w:val="21"/>
          <w:szCs w:val="21"/>
        </w:rPr>
        <w:t xml:space="preserve"> </w:t>
      </w:r>
      <w:r>
        <w:rPr>
          <w:rFonts w:ascii="Calibri" w:cs="Calibri" w:eastAsia="Calibri" w:hAnsi="Calibri"/>
          <w:b w:val="false"/>
          <w:bCs w:val="false"/>
          <w:i/>
          <w:iCs/>
          <w:color w:val="14213D"/>
          <w:sz w:val="21"/>
          <w:szCs w:val="21"/>
        </w:rPr>
        <w:t xml:space="preserve">This is an organizational self-assessment tool, not legal advice. It does not certify compliance with any law, funder condition, accreditation standard, or international framework, and it does not state the law of any state. It measures organizational readiness against the benchmark developed in the Project's open-access research. Organizations should have safeguarding measures reviewed by counsel licensed in their state. The author is not admitted to practice law in the United States.</w:t>
      </w:r>
    </w:p>
    <w:p>
      <w:pPr>
        <w:keepNext/>
        <w:spacing w:after="120" w:before="300"/>
      </w:pPr>
      <w:r>
        <w:rPr>
          <w:rFonts w:ascii="Cambria" w:cs="Cambria" w:eastAsia="Cambria" w:hAnsi="Cambria"/>
          <w:b/>
          <w:bCs/>
          <w:i w:val="false"/>
          <w:iCs w:val="false"/>
          <w:color w:val="14213D"/>
          <w:sz w:val="25"/>
          <w:szCs w:val="25"/>
        </w:rPr>
        <w:t xml:space="preserve">How to Use This Self-Assessment</w:t>
      </w:r>
    </w:p>
    <w:p>
      <w:pPr>
        <w:spacing w:after="140" w:line="276"/>
      </w:pPr>
      <w:r>
        <w:rPr>
          <w:rFonts w:ascii="Calibri" w:cs="Calibri" w:eastAsia="Calibri" w:hAnsi="Calibri"/>
          <w:b w:val="false"/>
          <w:bCs w:val="false"/>
          <w:i w:val="false"/>
          <w:iCs w:val="false"/>
          <w:color w:val="14213D"/>
          <w:sz w:val="21"/>
          <w:szCs w:val="21"/>
        </w:rPr>
        <w:t xml:space="preserve">This tool converts the Crosswalk Project's open-access research into a practical readiness check. The research mapped the thirteen obligations of the international safeguarding standard — the IASC Six Core Principles Relating to Sexual Exploitation and Abuse — against United States law, and found no requirement of general application that both reaches nonprofits as a class and protects the people they serve. This self-assessment lets your organization see, in about an hour, how much of that protection you have already built and where the gaps are.</w:t>
      </w:r>
    </w:p>
    <w:p>
      <w:pPr>
        <w:spacing w:after="140" w:line="276"/>
      </w:pPr>
      <w:r>
        <w:rPr>
          <w:rFonts w:ascii="Calibri" w:cs="Calibri" w:eastAsia="Calibri" w:hAnsi="Calibri"/>
          <w:b/>
          <w:bCs/>
          <w:i w:val="false"/>
          <w:iCs w:val="false"/>
          <w:color w:val="14213D"/>
          <w:sz w:val="21"/>
          <w:szCs w:val="21"/>
        </w:rPr>
        <w:t xml:space="preserve">A benchmark, not a compliance check.</w:t>
      </w:r>
      <w:r>
        <w:rPr>
          <w:rFonts w:ascii="Calibri" w:cs="Calibri" w:eastAsia="Calibri" w:hAnsi="Calibri"/>
          <w:b w:val="false"/>
          <w:bCs w:val="false"/>
          <w:i w:val="false"/>
          <w:iCs w:val="false"/>
          <w:color w:val="14213D"/>
          <w:sz w:val="21"/>
          <w:szCs w:val="21"/>
        </w:rPr>
        <w:t xml:space="preserve"> No U.S. nonprofit is bound by the international standard, and completing this assessment does not make an organization "compliant" with it — nor does a low score mean any rule has been broken. Because no general U.S. requirement sets a safeguarding standard for nonprofits as a class, the assessment measures readiness against the most developed benchmark available, as decomposed and adapted for U.S. organizations in the Project's research. (The Project's Washington Safeguarding Baseline 2026 measures what organizations show publicly; it is not a readiness baseline against these indicators.) The score shows how much of a complete protection system is in place — nothing more, nothing less.</w:t>
      </w:r>
    </w:p>
    <w:p>
      <w:pPr>
        <w:spacing w:after="140" w:line="276"/>
      </w:pPr>
      <w:r>
        <w:rPr>
          <w:rFonts w:ascii="Calibri" w:cs="Calibri" w:eastAsia="Calibri" w:hAnsi="Calibri"/>
          <w:b/>
          <w:bCs/>
          <w:i w:val="false"/>
          <w:iCs w:val="false"/>
          <w:color w:val="14213D"/>
          <w:sz w:val="21"/>
          <w:szCs w:val="21"/>
        </w:rPr>
        <w:t xml:space="preserve">Who completes it.</w:t>
      </w:r>
      <w:r>
        <w:rPr>
          <w:rFonts w:ascii="Calibri" w:cs="Calibri" w:eastAsia="Calibri" w:hAnsi="Calibri"/>
          <w:b w:val="false"/>
          <w:bCs w:val="false"/>
          <w:i w:val="false"/>
          <w:iCs w:val="false"/>
          <w:color w:val="14213D"/>
          <w:sz w:val="21"/>
          <w:szCs w:val="21"/>
        </w:rPr>
        <w:t xml:space="preserve"> Your own team — no outside consultant, no facilitator, no cost. It works best when two or three people complete it together: someone who knows day-to-day program operations, someone who knows hiring and volunteer management, and a board member or executive.</w:t>
      </w:r>
    </w:p>
    <w:p>
      <w:pPr>
        <w:spacing w:after="140" w:line="276"/>
      </w:pPr>
      <w:r>
        <w:rPr>
          <w:rFonts w:ascii="Calibri" w:cs="Calibri" w:eastAsia="Calibri" w:hAnsi="Calibri"/>
          <w:b/>
          <w:bCs/>
          <w:i w:val="false"/>
          <w:iCs w:val="false"/>
          <w:color w:val="14213D"/>
          <w:sz w:val="21"/>
          <w:szCs w:val="21"/>
        </w:rPr>
        <w:t xml:space="preserve">How to score.</w:t>
      </w:r>
      <w:r>
        <w:rPr>
          <w:rFonts w:ascii="Calibri" w:cs="Calibri" w:eastAsia="Calibri" w:hAnsi="Calibri"/>
          <w:b w:val="false"/>
          <w:bCs w:val="false"/>
          <w:i w:val="false"/>
          <w:iCs w:val="false"/>
          <w:color w:val="14213D"/>
          <w:sz w:val="21"/>
          <w:szCs w:val="21"/>
        </w:rPr>
        <w:t xml:space="preserve"> For each of the 32 indicators, mark </w:t>
      </w:r>
      <w:r>
        <w:rPr>
          <w:rFonts w:ascii="Calibri" w:cs="Calibri" w:eastAsia="Calibri" w:hAnsi="Calibri"/>
          <w:b/>
          <w:bCs/>
          <w:i w:val="false"/>
          <w:iCs w:val="false"/>
          <w:color w:val="14213D"/>
          <w:sz w:val="21"/>
          <w:szCs w:val="21"/>
        </w:rPr>
        <w:t xml:space="preserve">Yes (1 point)</w:t>
      </w:r>
      <w:r>
        <w:rPr>
          <w:rFonts w:ascii="Calibri" w:cs="Calibri" w:eastAsia="Calibri" w:hAnsi="Calibri"/>
          <w:b w:val="false"/>
          <w:bCs w:val="false"/>
          <w:i w:val="false"/>
          <w:iCs w:val="false"/>
          <w:color w:val="14213D"/>
          <w:sz w:val="21"/>
          <w:szCs w:val="21"/>
        </w:rPr>
        <w:t xml:space="preserve"> only if the statement is true </w:t>
      </w:r>
      <w:r>
        <w:rPr>
          <w:rFonts w:ascii="Calibri" w:cs="Calibri" w:eastAsia="Calibri" w:hAnsi="Calibri"/>
          <w:b w:val="false"/>
          <w:bCs w:val="false"/>
          <w:i/>
          <w:iCs/>
          <w:color w:val="14213D"/>
          <w:sz w:val="21"/>
          <w:szCs w:val="21"/>
        </w:rPr>
        <w:t xml:space="preserve">now</w:t>
      </w:r>
      <w:r>
        <w:rPr>
          <w:rFonts w:ascii="Calibri" w:cs="Calibri" w:eastAsia="Calibri" w:hAnsi="Calibri"/>
          <w:b w:val="false"/>
          <w:bCs w:val="false"/>
          <w:i w:val="false"/>
          <w:iCs w:val="false"/>
          <w:color w:val="14213D"/>
          <w:sz w:val="21"/>
          <w:szCs w:val="21"/>
        </w:rPr>
        <w:t xml:space="preserve"> and you could show evidence of it — a document, a record, a dated log. Mark </w:t>
      </w:r>
      <w:r>
        <w:rPr>
          <w:rFonts w:ascii="Calibri" w:cs="Calibri" w:eastAsia="Calibri" w:hAnsi="Calibri"/>
          <w:b/>
          <w:bCs/>
          <w:i w:val="false"/>
          <w:iCs w:val="false"/>
          <w:color w:val="14213D"/>
          <w:sz w:val="21"/>
          <w:szCs w:val="21"/>
        </w:rPr>
        <w:t xml:space="preserve">No (0 points)</w:t>
      </w:r>
      <w:r>
        <w:rPr>
          <w:rFonts w:ascii="Calibri" w:cs="Calibri" w:eastAsia="Calibri" w:hAnsi="Calibri"/>
          <w:b w:val="false"/>
          <w:bCs w:val="false"/>
          <w:i w:val="false"/>
          <w:iCs w:val="false"/>
          <w:color w:val="14213D"/>
          <w:sz w:val="21"/>
          <w:szCs w:val="21"/>
        </w:rPr>
        <w:t xml:space="preserve"> if it is partly true, planned, informal, or undocumented. Being strict is the point: a generous score hides exactly the gaps this tool exists to find.</w:t>
      </w:r>
    </w:p>
    <w:p>
      <w:pPr>
        <w:spacing w:after="140" w:line="276"/>
      </w:pPr>
      <w:r>
        <w:rPr>
          <w:rFonts w:ascii="Calibri" w:cs="Calibri" w:eastAsia="Calibri" w:hAnsi="Calibri"/>
          <w:b/>
          <w:bCs/>
          <w:i w:val="false"/>
          <w:iCs w:val="false"/>
          <w:color w:val="14213D"/>
          <w:sz w:val="21"/>
          <w:szCs w:val="21"/>
        </w:rPr>
        <w:t xml:space="preserve">The $0 mark.</w:t>
      </w:r>
      <w:r>
        <w:rPr>
          <w:rFonts w:ascii="Calibri" w:cs="Calibri" w:eastAsia="Calibri" w:hAnsi="Calibri"/>
          <w:b w:val="false"/>
          <w:bCs w:val="false"/>
          <w:i w:val="false"/>
          <w:iCs w:val="false"/>
          <w:color w:val="14213D"/>
          <w:sz w:val="21"/>
          <w:szCs w:val="21"/>
        </w:rPr>
        <w:t xml:space="preserve"> Indicators marked </w:t>
      </w:r>
      <w:r>
        <w:rPr>
          <w:rFonts w:ascii="Calibri" w:cs="Calibri" w:eastAsia="Calibri" w:hAnsi="Calibri"/>
          <w:b/>
          <w:bCs/>
          <w:i w:val="false"/>
          <w:iCs w:val="false"/>
          <w:color w:val="14213D"/>
          <w:sz w:val="21"/>
          <w:szCs w:val="21"/>
        </w:rPr>
        <w:t xml:space="preserve">$0</w:t>
      </w:r>
      <w:r>
        <w:rPr>
          <w:rFonts w:ascii="Calibri" w:cs="Calibri" w:eastAsia="Calibri" w:hAnsi="Calibri"/>
          <w:b w:val="false"/>
          <w:bCs w:val="false"/>
          <w:i w:val="false"/>
          <w:iCs w:val="false"/>
          <w:color w:val="14213D"/>
          <w:sz w:val="21"/>
          <w:szCs w:val="21"/>
        </w:rPr>
        <w:t xml:space="preserve"> require no spending to satisfy — only staff or volunteer time and an organizational decision. Thirty of the 32 indicators carry the mark; the exceptions are C3 and C5, where state or vendor fees for criminal-history checks may apply. The mark answers the sector's most common objection plainly: most of a basic safeguarding system costs nothing to buy. What it takes is time and a decision — and the time is real, so these tools are built to keep it small.</w:t>
      </w:r>
    </w:p>
    <w:p>
      <w:pPr>
        <w:spacing w:after="140" w:line="276"/>
      </w:pPr>
      <w:r>
        <w:rPr>
          <w:rFonts w:ascii="Calibri" w:cs="Calibri" w:eastAsia="Calibri" w:hAnsi="Calibri"/>
          <w:b/>
          <w:bCs/>
          <w:i w:val="false"/>
          <w:iCs w:val="false"/>
          <w:color w:val="14213D"/>
          <w:sz w:val="21"/>
          <w:szCs w:val="21"/>
        </w:rPr>
        <w:t xml:space="preserve">What the SCP column means — and what it does not.</w:t>
      </w:r>
      <w:r>
        <w:rPr>
          <w:rFonts w:ascii="Calibri" w:cs="Calibri" w:eastAsia="Calibri" w:hAnsi="Calibri"/>
          <w:b w:val="false"/>
          <w:bCs w:val="false"/>
          <w:i w:val="false"/>
          <w:iCs w:val="false"/>
          <w:color w:val="14213D"/>
          <w:sz w:val="21"/>
          <w:szCs w:val="21"/>
        </w:rPr>
        <w:t xml:space="preserve"> Each indicator is keyed to the element of the international standard it corresponds to (SCP-1.1 through SCP-6.3), so your results map directly onto the Policy Template and onto the open-access research. The indicators themselves are not the text of the international standard: the Six Core Principles state obligations in a few sentences and contain no operational detail — they never mention NSOPW.gov, reference checks, board minutes, retention periods, or state mandatory-reporter law. Each indicator is the Crosswalk Project's operationalization of an obligation — what fulfilling it looks like, and how you would evidence it, inside a U.S. nonprofit. The codes are there for traceability, so a board or funder can verify that all thirteen obligation elements are covered and none is missing. You can ignore the column when scoring.</w:t>
      </w:r>
    </w:p>
    <w:p>
      <w:pPr>
        <w:spacing w:after="140" w:line="276"/>
      </w:pPr>
      <w:r>
        <w:rPr>
          <w:rFonts w:ascii="Calibri" w:cs="Calibri" w:eastAsia="Calibri" w:hAnsi="Calibri"/>
          <w:b/>
          <w:bCs/>
          <w:i w:val="false"/>
          <w:iCs w:val="false"/>
          <w:color w:val="14213D"/>
          <w:sz w:val="21"/>
          <w:szCs w:val="21"/>
        </w:rPr>
        <w:t xml:space="preserve">Time required.</w:t>
      </w:r>
      <w:r>
        <w:rPr>
          <w:rFonts w:ascii="Calibri" w:cs="Calibri" w:eastAsia="Calibri" w:hAnsi="Calibri"/>
          <w:b w:val="false"/>
          <w:bCs w:val="false"/>
          <w:i w:val="false"/>
          <w:iCs w:val="false"/>
          <w:color w:val="14213D"/>
          <w:sz w:val="21"/>
          <w:szCs w:val="21"/>
        </w:rPr>
        <w:t xml:space="preserve"> About one hour. Add the six domain totals for a score out of 32, then read the band description in the Results section.</w:t>
      </w:r>
    </w:p>
    <w:p>
      <w:pPr>
        <w:keepNext/>
        <w:pageBreakBefore/>
        <w:spacing w:after="120" w:before="300"/>
      </w:pPr>
      <w:r>
        <w:rPr>
          <w:rFonts w:ascii="Cambria" w:cs="Cambria" w:eastAsia="Cambria" w:hAnsi="Cambria"/>
          <w:b/>
          <w:bCs/>
          <w:i w:val="false"/>
          <w:iCs w:val="false"/>
          <w:color w:val="14213D"/>
          <w:sz w:val="25"/>
          <w:szCs w:val="25"/>
        </w:rPr>
        <w:t xml:space="preserve">The 32 Indicators</w:t>
      </w:r>
    </w:p>
    <w:p>
      <w:pPr>
        <w:spacing w:after="140" w:line="276"/>
      </w:pPr>
      <w:r>
        <w:rPr>
          <w:rFonts w:ascii="Calibri" w:cs="Calibri" w:eastAsia="Calibri" w:hAnsi="Calibri"/>
          <w:b w:val="false"/>
          <w:bCs w:val="false"/>
          <w:i w:val="false"/>
          <w:iCs w:val="false"/>
          <w:color w:val="14213D"/>
          <w:sz w:val="21"/>
          <w:szCs w:val="21"/>
        </w:rPr>
        <w:t xml:space="preserve">Organization: </w:t>
      </w:r>
      <w:r>
        <w:rPr>
          <w:rFonts w:ascii="Calibri" w:cs="Calibri" w:eastAsia="Calibri" w:hAnsi="Calibri"/>
          <w:b/>
          <w:bCs/>
          <w:i w:val="false"/>
          <w:iCs w:val="false"/>
          <w:color w:val="14213D"/>
          <w:sz w:val="21"/>
          <w:szCs w:val="21"/>
          <w:highlight w:val="yellow"/>
          <w:highlightCs w:val="yellow"/>
        </w:rPr>
        <w:t xml:space="preserve">[name]</w:t>
      </w:r>
      <w:r>
        <w:rPr>
          <w:rFonts w:ascii="Calibri" w:cs="Calibri" w:eastAsia="Calibri" w:hAnsi="Calibri"/>
          <w:b w:val="false"/>
          <w:bCs w:val="false"/>
          <w:i w:val="false"/>
          <w:iCs w:val="false"/>
          <w:color w:val="14213D"/>
          <w:sz w:val="21"/>
          <w:szCs w:val="21"/>
        </w:rPr>
        <w:t xml:space="preserve">     Date completed: </w:t>
      </w:r>
      <w:r>
        <w:rPr>
          <w:rFonts w:ascii="Calibri" w:cs="Calibri" w:eastAsia="Calibri" w:hAnsi="Calibri"/>
          <w:b/>
          <w:bCs/>
          <w:i w:val="false"/>
          <w:iCs w:val="false"/>
          <w:color w:val="14213D"/>
          <w:sz w:val="21"/>
          <w:szCs w:val="21"/>
          <w:highlight w:val="yellow"/>
          <w:highlightCs w:val="yellow"/>
        </w:rPr>
        <w:t xml:space="preserve">[date]</w:t>
      </w:r>
      <w:r>
        <w:rPr>
          <w:rFonts w:ascii="Calibri" w:cs="Calibri" w:eastAsia="Calibri" w:hAnsi="Calibri"/>
          <w:b w:val="false"/>
          <w:bCs w:val="false"/>
          <w:i w:val="false"/>
          <w:iCs w:val="false"/>
          <w:color w:val="14213D"/>
          <w:sz w:val="21"/>
          <w:szCs w:val="21"/>
        </w:rPr>
        <w:t xml:space="preserve">     Completed by: </w:t>
      </w:r>
      <w:r>
        <w:rPr>
          <w:rFonts w:ascii="Calibri" w:cs="Calibri" w:eastAsia="Calibri" w:hAnsi="Calibri"/>
          <w:b/>
          <w:bCs/>
          <w:i w:val="false"/>
          <w:iCs w:val="false"/>
          <w:color w:val="14213D"/>
          <w:sz w:val="21"/>
          <w:szCs w:val="21"/>
          <w:highlight w:val="yellow"/>
          <w:highlightCs w:val="yellow"/>
        </w:rPr>
        <w:t xml:space="preserve">[names and roles]</w:t>
      </w:r>
    </w:p>
    <w:p>
      <w:pPr>
        <w:keepNext/>
        <w:spacing w:after="100" w:before="240"/>
      </w:pPr>
      <w:r>
        <w:rPr>
          <w:rFonts w:ascii="Cambria" w:cs="Cambria" w:eastAsia="Cambria" w:hAnsi="Cambria"/>
          <w:b/>
          <w:bCs/>
          <w:i w:val="false"/>
          <w:iCs w:val="false"/>
          <w:color w:val="14213D"/>
          <w:sz w:val="23"/>
          <w:szCs w:val="23"/>
        </w:rPr>
        <w:t xml:space="preserve">Domain A — Governance and Policy</w:t>
      </w:r>
    </w:p>
    <w:p>
      <w:pPr>
        <w:spacing w:after="140" w:line="276"/>
      </w:pPr>
      <w:r>
        <w:rPr>
          <w:rFonts w:ascii="Calibri" w:cs="Calibri" w:eastAsia="Calibri" w:hAnsi="Calibri"/>
          <w:b w:val="false"/>
          <w:bCs w:val="false"/>
          <w:i w:val="false"/>
          <w:iCs w:val="false"/>
          <w:color w:val="14213D"/>
          <w:sz w:val="21"/>
          <w:szCs w:val="21"/>
        </w:rPr>
        <w:t xml:space="preserve">Does safeguarding exist as a decision of the organization, owned at board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05"/>
        <w:gridCol w:w="1085"/>
        <w:gridCol w:w="970"/>
        <w:gridCol w:w="700"/>
      </w:tblGrid>
      <w:tr>
        <w:trPr>
          <w:tblHeader/>
        </w:trPr>
        <w:tc>
          <w:tcPr>
            <w:tcW w:type="dxa" w:w="700"/>
            <w:tcBorders>
              <w:top w:val="single" w:color="C9D3E6" w:sz="4"/>
              <w:left w:val="single" w:color="C9D3E6" w:sz="4"/>
              <w:bottom w:val="single" w:color="C9D3E6" w:sz="4"/>
              <w:right w:val="single" w:color="C9D3E6" w:sz="4"/>
            </w:tcBorders>
            <w:shd w:fill="14213D" w:val="clear"/>
            <w:tcMar>
              <w:top w:type="dxa" w:w="70"/>
              <w:left w:type="dxa" w:w="110"/>
              <w:bottom w:type="dxa" w:w="70"/>
              <w:right w:type="dxa" w:w="110"/>
            </w:tcMar>
          </w:tcPr>
          <w:p>
            <w:pPr>
              <w:spacing w:after="0" w:line="252"/>
            </w:pPr>
            <w:r>
              <w:rPr>
                <w:rFonts w:ascii="Calibri" w:cs="Calibri" w:eastAsia="Calibri" w:hAnsi="Calibri"/>
                <w:b/>
                <w:bCs/>
                <w:i w:val="false"/>
                <w:iCs w:val="false"/>
                <w:color w:val="FFFFFF"/>
                <w:sz w:val="19"/>
                <w:szCs w:val="19"/>
              </w:rPr>
              <w:t xml:space="preserve">#</w:t>
            </w:r>
          </w:p>
        </w:tc>
        <w:tc>
          <w:tcPr>
            <w:tcW w:type="dxa" w:w="5905"/>
            <w:tcBorders>
              <w:top w:val="single" w:color="C9D3E6" w:sz="4"/>
              <w:left w:val="single" w:color="C9D3E6" w:sz="4"/>
              <w:bottom w:val="single" w:color="C9D3E6" w:sz="4"/>
              <w:right w:val="single" w:color="C9D3E6" w:sz="4"/>
            </w:tcBorders>
            <w:shd w:fill="14213D" w:val="clear"/>
            <w:tcMar>
              <w:top w:type="dxa" w:w="70"/>
              <w:left w:type="dxa" w:w="110"/>
              <w:bottom w:type="dxa" w:w="70"/>
              <w:right w:type="dxa" w:w="110"/>
            </w:tcMar>
          </w:tcPr>
          <w:p>
            <w:pPr>
              <w:spacing w:after="0" w:line="252"/>
            </w:pPr>
            <w:r>
              <w:rPr>
                <w:rFonts w:ascii="Calibri" w:cs="Calibri" w:eastAsia="Calibri" w:hAnsi="Calibri"/>
                <w:b/>
                <w:bCs/>
                <w:i w:val="false"/>
                <w:iCs w:val="false"/>
                <w:color w:val="FFFFFF"/>
                <w:sz w:val="19"/>
                <w:szCs w:val="19"/>
              </w:rPr>
              <w:t xml:space="preserve">Indicator — mark Yes only if true now and evidenced</w:t>
            </w:r>
          </w:p>
        </w:tc>
        <w:tc>
          <w:tcPr>
            <w:tcW w:type="dxa" w:w="1085"/>
            <w:tcBorders>
              <w:top w:val="single" w:color="C9D3E6" w:sz="4"/>
              <w:left w:val="single" w:color="C9D3E6" w:sz="4"/>
              <w:bottom w:val="single" w:color="C9D3E6" w:sz="4"/>
              <w:right w:val="single" w:color="C9D3E6" w:sz="4"/>
            </w:tcBorders>
            <w:shd w:fill="14213D" w:val="clear"/>
            <w:tcMar>
              <w:top w:type="dxa" w:w="70"/>
              <w:left w:type="dxa" w:w="110"/>
              <w:bottom w:type="dxa" w:w="70"/>
              <w:right w:type="dxa" w:w="110"/>
            </w:tcMar>
          </w:tcPr>
          <w:p>
            <w:pPr>
              <w:spacing w:after="0" w:line="252"/>
            </w:pPr>
            <w:r>
              <w:rPr>
                <w:rFonts w:ascii="Calibri" w:cs="Calibri" w:eastAsia="Calibri" w:hAnsi="Calibri"/>
                <w:b/>
                <w:bCs/>
                <w:i w:val="false"/>
                <w:iCs w:val="false"/>
                <w:color w:val="FFFFFF"/>
                <w:sz w:val="19"/>
                <w:szCs w:val="19"/>
              </w:rPr>
              <w:t xml:space="preserve">SCP</w:t>
            </w:r>
          </w:p>
        </w:tc>
        <w:tc>
          <w:tcPr>
            <w:tcW w:type="dxa" w:w="970"/>
            <w:tcBorders>
              <w:top w:val="single" w:color="C9D3E6" w:sz="4"/>
              <w:left w:val="single" w:color="C9D3E6" w:sz="4"/>
              <w:bottom w:val="single" w:color="C9D3E6" w:sz="4"/>
              <w:right w:val="single" w:color="C9D3E6" w:sz="4"/>
            </w:tcBorders>
            <w:shd w:fill="14213D" w:val="clear"/>
            <w:tcMar>
              <w:top w:type="dxa" w:w="70"/>
              <w:left w:type="dxa" w:w="110"/>
              <w:bottom w:type="dxa" w:w="70"/>
              <w:right w:type="dxa" w:w="110"/>
            </w:tcMar>
          </w:tcPr>
          <w:p>
            <w:pPr>
              <w:spacing w:after="0" w:line="252"/>
            </w:pPr>
            <w:r>
              <w:rPr>
                <w:rFonts w:ascii="Calibri" w:cs="Calibri" w:eastAsia="Calibri" w:hAnsi="Calibri"/>
                <w:b/>
                <w:bCs/>
                <w:i w:val="false"/>
                <w:iCs w:val="false"/>
                <w:color w:val="FFFFFF"/>
                <w:sz w:val="19"/>
                <w:szCs w:val="19"/>
              </w:rPr>
              <w:t xml:space="preserve">Yes (1)</w:t>
            </w:r>
          </w:p>
        </w:tc>
        <w:tc>
          <w:tcPr>
            <w:tcW w:type="dxa" w:w="700"/>
            <w:tcBorders>
              <w:top w:val="single" w:color="C9D3E6" w:sz="4"/>
              <w:left w:val="single" w:color="C9D3E6" w:sz="4"/>
              <w:bottom w:val="single" w:color="C9D3E6" w:sz="4"/>
              <w:right w:val="single" w:color="C9D3E6" w:sz="4"/>
            </w:tcBorders>
            <w:shd w:fill="14213D" w:val="clear"/>
            <w:tcMar>
              <w:top w:type="dxa" w:w="70"/>
              <w:left w:type="dxa" w:w="110"/>
              <w:bottom w:type="dxa" w:w="70"/>
              <w:right w:type="dxa" w:w="110"/>
            </w:tcMar>
          </w:tcPr>
          <w:p>
            <w:pPr>
              <w:spacing w:after="0" w:line="252"/>
            </w:pPr>
            <w:r>
              <w:rPr>
                <w:rFonts w:ascii="Calibri" w:cs="Calibri" w:eastAsia="Calibri" w:hAnsi="Calibri"/>
                <w:b/>
                <w:bCs/>
                <w:i w:val="false"/>
                <w:iCs w:val="false"/>
                <w:color w:val="FFFFFF"/>
                <w:sz w:val="19"/>
                <w:szCs w:val="19"/>
              </w:rPr>
              <w:t xml:space="preserve">No (0)</w:t>
            </w:r>
          </w:p>
        </w:tc>
      </w:tr>
      <w:tr>
        <w:trPr>
          <w:tblHeader w:val="false"/>
        </w:trPr>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A1</w:t>
            </w:r>
          </w:p>
        </w:tc>
        <w:tc>
          <w:tcPr>
            <w:tcW w:type="dxa" w:w="590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The organization has a written safeguarding policy covering sexual exploitation, abuse, and harassment of the people it serves. </w:t>
            </w:r>
            <w:r>
              <w:rPr>
                <w:rFonts w:ascii="Calibri" w:cs="Calibri" w:eastAsia="Calibri" w:hAnsi="Calibri"/>
                <w:b/>
                <w:bCs/>
                <w:i w:val="false"/>
                <w:iCs w:val="false"/>
                <w:color w:val="14213D"/>
                <w:sz w:val="19"/>
                <w:szCs w:val="19"/>
              </w:rPr>
              <w:t xml:space="preserve">$0</w:t>
            </w:r>
          </w:p>
        </w:tc>
        <w:tc>
          <w:tcPr>
            <w:tcW w:type="dxa" w:w="108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SCP-5.3</w:t>
            </w:r>
          </w:p>
        </w:tc>
        <w:tc>
          <w:tcPr>
            <w:tcW w:type="dxa" w:w="97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r>
      <w:tr>
        <w:trPr>
          <w:tblHeader w:val="false"/>
        </w:trPr>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A2</w:t>
            </w:r>
          </w:p>
        </w:tc>
        <w:tc>
          <w:tcPr>
            <w:tcW w:type="dxa" w:w="590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The policy was formally adopted by the board of directors, and the adoption is recorded in the minutes. </w:t>
            </w:r>
            <w:r>
              <w:rPr>
                <w:rFonts w:ascii="Calibri" w:cs="Calibri" w:eastAsia="Calibri" w:hAnsi="Calibri"/>
                <w:b/>
                <w:bCs/>
                <w:i w:val="false"/>
                <w:iCs w:val="false"/>
                <w:color w:val="14213D"/>
                <w:sz w:val="19"/>
                <w:szCs w:val="19"/>
              </w:rPr>
              <w:t xml:space="preserve">$0</w:t>
            </w:r>
          </w:p>
        </w:tc>
        <w:tc>
          <w:tcPr>
            <w:tcW w:type="dxa" w:w="108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SCP-6.3</w:t>
            </w:r>
          </w:p>
        </w:tc>
        <w:tc>
          <w:tcPr>
            <w:tcW w:type="dxa" w:w="97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r>
      <w:tr>
        <w:trPr>
          <w:tblHeader w:val="false"/>
        </w:trPr>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A3</w:t>
            </w:r>
          </w:p>
        </w:tc>
        <w:tc>
          <w:tcPr>
            <w:tcW w:type="dxa" w:w="590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The policy expressly protects program participants and beneficiaries — not only employees. </w:t>
            </w:r>
            <w:r>
              <w:rPr>
                <w:rFonts w:ascii="Calibri" w:cs="Calibri" w:eastAsia="Calibri" w:hAnsi="Calibri"/>
                <w:b/>
                <w:bCs/>
                <w:i w:val="false"/>
                <w:iCs w:val="false"/>
                <w:color w:val="14213D"/>
                <w:sz w:val="19"/>
                <w:szCs w:val="19"/>
              </w:rPr>
              <w:t xml:space="preserve">$0</w:t>
            </w:r>
          </w:p>
        </w:tc>
        <w:tc>
          <w:tcPr>
            <w:tcW w:type="dxa" w:w="108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SCP-6.1</w:t>
            </w:r>
          </w:p>
        </w:tc>
        <w:tc>
          <w:tcPr>
            <w:tcW w:type="dxa" w:w="97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r>
      <w:tr>
        <w:trPr>
          <w:tblHeader w:val="false"/>
        </w:trPr>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A4</w:t>
            </w:r>
          </w:p>
        </w:tc>
        <w:tc>
          <w:tcPr>
            <w:tcW w:type="dxa" w:w="590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A named person holds designated responsibility for safeguarding, and an alternate is named for reports involving that person or senior leadership. </w:t>
            </w:r>
            <w:r>
              <w:rPr>
                <w:rFonts w:ascii="Calibri" w:cs="Calibri" w:eastAsia="Calibri" w:hAnsi="Calibri"/>
                <w:b/>
                <w:bCs/>
                <w:i w:val="false"/>
                <w:iCs w:val="false"/>
                <w:color w:val="14213D"/>
                <w:sz w:val="19"/>
                <w:szCs w:val="19"/>
              </w:rPr>
              <w:t xml:space="preserve">$0</w:t>
            </w:r>
          </w:p>
        </w:tc>
        <w:tc>
          <w:tcPr>
            <w:tcW w:type="dxa" w:w="108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SCP-5.3</w:t>
            </w:r>
          </w:p>
        </w:tc>
        <w:tc>
          <w:tcPr>
            <w:tcW w:type="dxa" w:w="97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r>
      <w:tr>
        <w:trPr>
          <w:tblHeader w:val="false"/>
        </w:trPr>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A5</w:t>
            </w:r>
          </w:p>
        </w:tc>
        <w:tc>
          <w:tcPr>
            <w:tcW w:type="dxa" w:w="590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The board receives a safeguarding report at least annually (reports received, training completion, screening compliance). </w:t>
            </w:r>
            <w:r>
              <w:rPr>
                <w:rFonts w:ascii="Calibri" w:cs="Calibri" w:eastAsia="Calibri" w:hAnsi="Calibri"/>
                <w:b/>
                <w:bCs/>
                <w:i w:val="false"/>
                <w:iCs w:val="false"/>
                <w:color w:val="14213D"/>
                <w:sz w:val="19"/>
                <w:szCs w:val="19"/>
              </w:rPr>
              <w:t xml:space="preserve">$0</w:t>
            </w:r>
          </w:p>
        </w:tc>
        <w:tc>
          <w:tcPr>
            <w:tcW w:type="dxa" w:w="108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SCP-6.3</w:t>
            </w:r>
          </w:p>
        </w:tc>
        <w:tc>
          <w:tcPr>
            <w:tcW w:type="dxa" w:w="97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r>
      <w:tr>
        <w:trPr>
          <w:tblHeader w:val="false"/>
        </w:trPr>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p>
        </w:tc>
        <w:tc>
          <w:tcPr>
            <w:tcW w:type="dxa" w:w="590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bCs/>
                <w:i w:val="false"/>
                <w:iCs w:val="false"/>
                <w:color w:val="14213D"/>
                <w:sz w:val="19"/>
                <w:szCs w:val="19"/>
              </w:rPr>
              <w:t xml:space="preserve">Domain subtotal (out of 5)</w:t>
            </w:r>
          </w:p>
        </w:tc>
        <w:tc>
          <w:tcPr>
            <w:tcW w:type="dxa" w:w="108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p>
        </w:tc>
        <w:tc>
          <w:tcPr>
            <w:tcW w:type="dxa" w:w="97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______</w:t>
            </w:r>
          </w:p>
        </w:tc>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p>
        </w:tc>
      </w:tr>
    </w:tbl>
    <w:p>
      <w:pPr>
        <w:spacing w:after="60"/>
      </w:pPr>
    </w:p>
    <w:p>
      <w:pPr>
        <w:keepNext/>
        <w:spacing w:after="100" w:before="240"/>
      </w:pPr>
      <w:r>
        <w:rPr>
          <w:rFonts w:ascii="Cambria" w:cs="Cambria" w:eastAsia="Cambria" w:hAnsi="Cambria"/>
          <w:b/>
          <w:bCs/>
          <w:i w:val="false"/>
          <w:iCs w:val="false"/>
          <w:color w:val="14213D"/>
          <w:sz w:val="23"/>
          <w:szCs w:val="23"/>
        </w:rPr>
        <w:t xml:space="preserve">Domain B — Code of Conduct</w:t>
      </w:r>
    </w:p>
    <w:p>
      <w:pPr>
        <w:spacing w:after="140" w:line="276"/>
      </w:pPr>
      <w:r>
        <w:rPr>
          <w:rFonts w:ascii="Calibri" w:cs="Calibri" w:eastAsia="Calibri" w:hAnsi="Calibri"/>
          <w:b w:val="false"/>
          <w:bCs w:val="false"/>
          <w:i w:val="false"/>
          <w:iCs w:val="false"/>
          <w:color w:val="14213D"/>
          <w:sz w:val="21"/>
          <w:szCs w:val="21"/>
        </w:rPr>
        <w:t xml:space="preserve">Are the prohibited behaviors written down as organizational rules that bind everyone?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05"/>
        <w:gridCol w:w="1085"/>
        <w:gridCol w:w="970"/>
        <w:gridCol w:w="700"/>
      </w:tblGrid>
      <w:tr>
        <w:trPr>
          <w:tblHeader/>
        </w:trPr>
        <w:tc>
          <w:tcPr>
            <w:tcW w:type="dxa" w:w="700"/>
            <w:tcBorders>
              <w:top w:val="single" w:color="C9D3E6" w:sz="4"/>
              <w:left w:val="single" w:color="C9D3E6" w:sz="4"/>
              <w:bottom w:val="single" w:color="C9D3E6" w:sz="4"/>
              <w:right w:val="single" w:color="C9D3E6" w:sz="4"/>
            </w:tcBorders>
            <w:shd w:fill="14213D" w:val="clear"/>
            <w:tcMar>
              <w:top w:type="dxa" w:w="70"/>
              <w:left w:type="dxa" w:w="110"/>
              <w:bottom w:type="dxa" w:w="70"/>
              <w:right w:type="dxa" w:w="110"/>
            </w:tcMar>
          </w:tcPr>
          <w:p>
            <w:pPr>
              <w:spacing w:after="0" w:line="252"/>
            </w:pPr>
            <w:r>
              <w:rPr>
                <w:rFonts w:ascii="Calibri" w:cs="Calibri" w:eastAsia="Calibri" w:hAnsi="Calibri"/>
                <w:b/>
                <w:bCs/>
                <w:i w:val="false"/>
                <w:iCs w:val="false"/>
                <w:color w:val="FFFFFF"/>
                <w:sz w:val="19"/>
                <w:szCs w:val="19"/>
              </w:rPr>
              <w:t xml:space="preserve">#</w:t>
            </w:r>
          </w:p>
        </w:tc>
        <w:tc>
          <w:tcPr>
            <w:tcW w:type="dxa" w:w="5905"/>
            <w:tcBorders>
              <w:top w:val="single" w:color="C9D3E6" w:sz="4"/>
              <w:left w:val="single" w:color="C9D3E6" w:sz="4"/>
              <w:bottom w:val="single" w:color="C9D3E6" w:sz="4"/>
              <w:right w:val="single" w:color="C9D3E6" w:sz="4"/>
            </w:tcBorders>
            <w:shd w:fill="14213D" w:val="clear"/>
            <w:tcMar>
              <w:top w:type="dxa" w:w="70"/>
              <w:left w:type="dxa" w:w="110"/>
              <w:bottom w:type="dxa" w:w="70"/>
              <w:right w:type="dxa" w:w="110"/>
            </w:tcMar>
          </w:tcPr>
          <w:p>
            <w:pPr>
              <w:spacing w:after="0" w:line="252"/>
            </w:pPr>
            <w:r>
              <w:rPr>
                <w:rFonts w:ascii="Calibri" w:cs="Calibri" w:eastAsia="Calibri" w:hAnsi="Calibri"/>
                <w:b/>
                <w:bCs/>
                <w:i w:val="false"/>
                <w:iCs w:val="false"/>
                <w:color w:val="FFFFFF"/>
                <w:sz w:val="19"/>
                <w:szCs w:val="19"/>
              </w:rPr>
              <w:t xml:space="preserve">Indicator — mark Yes only if true now and evidenced</w:t>
            </w:r>
          </w:p>
        </w:tc>
        <w:tc>
          <w:tcPr>
            <w:tcW w:type="dxa" w:w="1085"/>
            <w:tcBorders>
              <w:top w:val="single" w:color="C9D3E6" w:sz="4"/>
              <w:left w:val="single" w:color="C9D3E6" w:sz="4"/>
              <w:bottom w:val="single" w:color="C9D3E6" w:sz="4"/>
              <w:right w:val="single" w:color="C9D3E6" w:sz="4"/>
            </w:tcBorders>
            <w:shd w:fill="14213D" w:val="clear"/>
            <w:tcMar>
              <w:top w:type="dxa" w:w="70"/>
              <w:left w:type="dxa" w:w="110"/>
              <w:bottom w:type="dxa" w:w="70"/>
              <w:right w:type="dxa" w:w="110"/>
            </w:tcMar>
          </w:tcPr>
          <w:p>
            <w:pPr>
              <w:spacing w:after="0" w:line="252"/>
            </w:pPr>
            <w:r>
              <w:rPr>
                <w:rFonts w:ascii="Calibri" w:cs="Calibri" w:eastAsia="Calibri" w:hAnsi="Calibri"/>
                <w:b/>
                <w:bCs/>
                <w:i w:val="false"/>
                <w:iCs w:val="false"/>
                <w:color w:val="FFFFFF"/>
                <w:sz w:val="19"/>
                <w:szCs w:val="19"/>
              </w:rPr>
              <w:t xml:space="preserve">SCP</w:t>
            </w:r>
          </w:p>
        </w:tc>
        <w:tc>
          <w:tcPr>
            <w:tcW w:type="dxa" w:w="970"/>
            <w:tcBorders>
              <w:top w:val="single" w:color="C9D3E6" w:sz="4"/>
              <w:left w:val="single" w:color="C9D3E6" w:sz="4"/>
              <w:bottom w:val="single" w:color="C9D3E6" w:sz="4"/>
              <w:right w:val="single" w:color="C9D3E6" w:sz="4"/>
            </w:tcBorders>
            <w:shd w:fill="14213D" w:val="clear"/>
            <w:tcMar>
              <w:top w:type="dxa" w:w="70"/>
              <w:left w:type="dxa" w:w="110"/>
              <w:bottom w:type="dxa" w:w="70"/>
              <w:right w:type="dxa" w:w="110"/>
            </w:tcMar>
          </w:tcPr>
          <w:p>
            <w:pPr>
              <w:spacing w:after="0" w:line="252"/>
            </w:pPr>
            <w:r>
              <w:rPr>
                <w:rFonts w:ascii="Calibri" w:cs="Calibri" w:eastAsia="Calibri" w:hAnsi="Calibri"/>
                <w:b/>
                <w:bCs/>
                <w:i w:val="false"/>
                <w:iCs w:val="false"/>
                <w:color w:val="FFFFFF"/>
                <w:sz w:val="19"/>
                <w:szCs w:val="19"/>
              </w:rPr>
              <w:t xml:space="preserve">Yes (1)</w:t>
            </w:r>
          </w:p>
        </w:tc>
        <w:tc>
          <w:tcPr>
            <w:tcW w:type="dxa" w:w="700"/>
            <w:tcBorders>
              <w:top w:val="single" w:color="C9D3E6" w:sz="4"/>
              <w:left w:val="single" w:color="C9D3E6" w:sz="4"/>
              <w:bottom w:val="single" w:color="C9D3E6" w:sz="4"/>
              <w:right w:val="single" w:color="C9D3E6" w:sz="4"/>
            </w:tcBorders>
            <w:shd w:fill="14213D" w:val="clear"/>
            <w:tcMar>
              <w:top w:type="dxa" w:w="70"/>
              <w:left w:type="dxa" w:w="110"/>
              <w:bottom w:type="dxa" w:w="70"/>
              <w:right w:type="dxa" w:w="110"/>
            </w:tcMar>
          </w:tcPr>
          <w:p>
            <w:pPr>
              <w:spacing w:after="0" w:line="252"/>
            </w:pPr>
            <w:r>
              <w:rPr>
                <w:rFonts w:ascii="Calibri" w:cs="Calibri" w:eastAsia="Calibri" w:hAnsi="Calibri"/>
                <w:b/>
                <w:bCs/>
                <w:i w:val="false"/>
                <w:iCs w:val="false"/>
                <w:color w:val="FFFFFF"/>
                <w:sz w:val="19"/>
                <w:szCs w:val="19"/>
              </w:rPr>
              <w:t xml:space="preserve">No (0)</w:t>
            </w:r>
          </w:p>
        </w:tc>
      </w:tr>
      <w:tr>
        <w:trPr>
          <w:tblHeader w:val="false"/>
        </w:trPr>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B1</w:t>
            </w:r>
          </w:p>
        </w:tc>
        <w:tc>
          <w:tcPr>
            <w:tcW w:type="dxa" w:w="590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Written rules state that sexual exploitation or abuse of a program participant is grounds for immediate dismissal or removal. </w:t>
            </w:r>
            <w:r>
              <w:rPr>
                <w:rFonts w:ascii="Calibri" w:cs="Calibri" w:eastAsia="Calibri" w:hAnsi="Calibri"/>
                <w:b/>
                <w:bCs/>
                <w:i w:val="false"/>
                <w:iCs w:val="false"/>
                <w:color w:val="14213D"/>
                <w:sz w:val="19"/>
                <w:szCs w:val="19"/>
              </w:rPr>
              <w:t xml:space="preserve">$0</w:t>
            </w:r>
          </w:p>
        </w:tc>
        <w:tc>
          <w:tcPr>
            <w:tcW w:type="dxa" w:w="108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SCP-1.1 / 1.2</w:t>
            </w:r>
          </w:p>
        </w:tc>
        <w:tc>
          <w:tcPr>
            <w:tcW w:type="dxa" w:w="97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r>
      <w:tr>
        <w:trPr>
          <w:tblHeader w:val="false"/>
        </w:trPr>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B2</w:t>
            </w:r>
          </w:p>
        </w:tc>
        <w:tc>
          <w:tcPr>
            <w:tcW w:type="dxa" w:w="590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Written rules prohibit sexual activity with anyone under 18, regardless of the state age of consent, and state that a mistaken belief about age is not a defense. </w:t>
            </w:r>
            <w:r>
              <w:rPr>
                <w:rFonts w:ascii="Calibri" w:cs="Calibri" w:eastAsia="Calibri" w:hAnsi="Calibri"/>
                <w:b/>
                <w:bCs/>
                <w:i w:val="false"/>
                <w:iCs w:val="false"/>
                <w:color w:val="14213D"/>
                <w:sz w:val="19"/>
                <w:szCs w:val="19"/>
              </w:rPr>
              <w:t xml:space="preserve">$0</w:t>
            </w:r>
          </w:p>
        </w:tc>
        <w:tc>
          <w:tcPr>
            <w:tcW w:type="dxa" w:w="108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SCP-2.1 / 2.2</w:t>
            </w:r>
          </w:p>
        </w:tc>
        <w:tc>
          <w:tcPr>
            <w:tcW w:type="dxa" w:w="97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r>
      <w:tr>
        <w:trPr>
          <w:tblHeader w:val="false"/>
        </w:trPr>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B3</w:t>
            </w:r>
          </w:p>
        </w:tc>
        <w:tc>
          <w:tcPr>
            <w:tcW w:type="dxa" w:w="590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Written rules prohibit exchanging money, goods, employment, or services for sex — including conditioning, delaying, or withholding assistance the participant is already entitled to. </w:t>
            </w:r>
            <w:r>
              <w:rPr>
                <w:rFonts w:ascii="Calibri" w:cs="Calibri" w:eastAsia="Calibri" w:hAnsi="Calibri"/>
                <w:b/>
                <w:bCs/>
                <w:i w:val="false"/>
                <w:iCs w:val="false"/>
                <w:color w:val="14213D"/>
                <w:sz w:val="19"/>
                <w:szCs w:val="19"/>
              </w:rPr>
              <w:t xml:space="preserve">$0</w:t>
            </w:r>
          </w:p>
        </w:tc>
        <w:tc>
          <w:tcPr>
            <w:tcW w:type="dxa" w:w="108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SCP-3.1 / 3.2</w:t>
            </w:r>
          </w:p>
        </w:tc>
        <w:tc>
          <w:tcPr>
            <w:tcW w:type="dxa" w:w="97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r>
      <w:tr>
        <w:trPr>
          <w:tblHeader w:val="false"/>
        </w:trPr>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B4</w:t>
            </w:r>
          </w:p>
        </w:tc>
        <w:tc>
          <w:tcPr>
            <w:tcW w:type="dxa" w:w="590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Written rules prohibit sexual relationships between personnel and adult program participants while the service relationship exists, and apply to all personnel — not only licensed professionals. </w:t>
            </w:r>
            <w:r>
              <w:rPr>
                <w:rFonts w:ascii="Calibri" w:cs="Calibri" w:eastAsia="Calibri" w:hAnsi="Calibri"/>
                <w:b/>
                <w:bCs/>
                <w:i w:val="false"/>
                <w:iCs w:val="false"/>
                <w:color w:val="14213D"/>
                <w:sz w:val="19"/>
                <w:szCs w:val="19"/>
              </w:rPr>
              <w:t xml:space="preserve">$0</w:t>
            </w:r>
          </w:p>
        </w:tc>
        <w:tc>
          <w:tcPr>
            <w:tcW w:type="dxa" w:w="108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SCP-4.1</w:t>
            </w:r>
          </w:p>
        </w:tc>
        <w:tc>
          <w:tcPr>
            <w:tcW w:type="dxa" w:w="97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r>
      <w:tr>
        <w:trPr>
          <w:tblHeader w:val="false"/>
        </w:trPr>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B5</w:t>
            </w:r>
          </w:p>
        </w:tc>
        <w:tc>
          <w:tcPr>
            <w:tcW w:type="dxa" w:w="590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Every employee, board member, volunteer, intern, and contractor has signed a written acknowledgment of these rules. </w:t>
            </w:r>
            <w:r>
              <w:rPr>
                <w:rFonts w:ascii="Calibri" w:cs="Calibri" w:eastAsia="Calibri" w:hAnsi="Calibri"/>
                <w:b/>
                <w:bCs/>
                <w:i w:val="false"/>
                <w:iCs w:val="false"/>
                <w:color w:val="14213D"/>
                <w:sz w:val="19"/>
                <w:szCs w:val="19"/>
              </w:rPr>
              <w:t xml:space="preserve">$0</w:t>
            </w:r>
          </w:p>
        </w:tc>
        <w:tc>
          <w:tcPr>
            <w:tcW w:type="dxa" w:w="108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SCP-6.2</w:t>
            </w:r>
          </w:p>
        </w:tc>
        <w:tc>
          <w:tcPr>
            <w:tcW w:type="dxa" w:w="97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r>
      <w:tr>
        <w:trPr>
          <w:tblHeader w:val="false"/>
        </w:trPr>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p>
        </w:tc>
        <w:tc>
          <w:tcPr>
            <w:tcW w:type="dxa" w:w="590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bCs/>
                <w:i w:val="false"/>
                <w:iCs w:val="false"/>
                <w:color w:val="14213D"/>
                <w:sz w:val="19"/>
                <w:szCs w:val="19"/>
              </w:rPr>
              <w:t xml:space="preserve">Domain subtotal (out of 5)</w:t>
            </w:r>
          </w:p>
        </w:tc>
        <w:tc>
          <w:tcPr>
            <w:tcW w:type="dxa" w:w="108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p>
        </w:tc>
        <w:tc>
          <w:tcPr>
            <w:tcW w:type="dxa" w:w="97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______</w:t>
            </w:r>
          </w:p>
        </w:tc>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p>
        </w:tc>
      </w:tr>
    </w:tbl>
    <w:p>
      <w:pPr>
        <w:spacing w:after="60"/>
      </w:pPr>
    </w:p>
    <w:p>
      <w:pPr>
        <w:keepNext/>
        <w:spacing w:after="100" w:before="240"/>
      </w:pPr>
      <w:r>
        <w:rPr>
          <w:rFonts w:ascii="Cambria" w:cs="Cambria" w:eastAsia="Cambria" w:hAnsi="Cambria"/>
          <w:b/>
          <w:bCs/>
          <w:i w:val="false"/>
          <w:iCs w:val="false"/>
          <w:color w:val="14213D"/>
          <w:sz w:val="23"/>
          <w:szCs w:val="23"/>
        </w:rPr>
        <w:t xml:space="preserve">Domain C — Screening and Recruitment</w:t>
      </w:r>
    </w:p>
    <w:p>
      <w:pPr>
        <w:spacing w:after="140" w:line="276"/>
      </w:pPr>
      <w:r>
        <w:rPr>
          <w:rFonts w:ascii="Calibri" w:cs="Calibri" w:eastAsia="Calibri" w:hAnsi="Calibri"/>
          <w:b w:val="false"/>
          <w:bCs w:val="false"/>
          <w:i w:val="false"/>
          <w:iCs w:val="false"/>
          <w:color w:val="14213D"/>
          <w:sz w:val="21"/>
          <w:szCs w:val="21"/>
        </w:rPr>
        <w:t xml:space="preserve">Are the people who reach participants checked before they reach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05"/>
        <w:gridCol w:w="1085"/>
        <w:gridCol w:w="970"/>
        <w:gridCol w:w="700"/>
      </w:tblGrid>
      <w:tr>
        <w:trPr>
          <w:tblHeader/>
        </w:trPr>
        <w:tc>
          <w:tcPr>
            <w:tcW w:type="dxa" w:w="700"/>
            <w:tcBorders>
              <w:top w:val="single" w:color="C9D3E6" w:sz="4"/>
              <w:left w:val="single" w:color="C9D3E6" w:sz="4"/>
              <w:bottom w:val="single" w:color="C9D3E6" w:sz="4"/>
              <w:right w:val="single" w:color="C9D3E6" w:sz="4"/>
            </w:tcBorders>
            <w:shd w:fill="14213D" w:val="clear"/>
            <w:tcMar>
              <w:top w:type="dxa" w:w="70"/>
              <w:left w:type="dxa" w:w="110"/>
              <w:bottom w:type="dxa" w:w="70"/>
              <w:right w:type="dxa" w:w="110"/>
            </w:tcMar>
          </w:tcPr>
          <w:p>
            <w:pPr>
              <w:spacing w:after="0" w:line="252"/>
            </w:pPr>
            <w:r>
              <w:rPr>
                <w:rFonts w:ascii="Calibri" w:cs="Calibri" w:eastAsia="Calibri" w:hAnsi="Calibri"/>
                <w:b/>
                <w:bCs/>
                <w:i w:val="false"/>
                <w:iCs w:val="false"/>
                <w:color w:val="FFFFFF"/>
                <w:sz w:val="19"/>
                <w:szCs w:val="19"/>
              </w:rPr>
              <w:t xml:space="preserve">#</w:t>
            </w:r>
          </w:p>
        </w:tc>
        <w:tc>
          <w:tcPr>
            <w:tcW w:type="dxa" w:w="5905"/>
            <w:tcBorders>
              <w:top w:val="single" w:color="C9D3E6" w:sz="4"/>
              <w:left w:val="single" w:color="C9D3E6" w:sz="4"/>
              <w:bottom w:val="single" w:color="C9D3E6" w:sz="4"/>
              <w:right w:val="single" w:color="C9D3E6" w:sz="4"/>
            </w:tcBorders>
            <w:shd w:fill="14213D" w:val="clear"/>
            <w:tcMar>
              <w:top w:type="dxa" w:w="70"/>
              <w:left w:type="dxa" w:w="110"/>
              <w:bottom w:type="dxa" w:w="70"/>
              <w:right w:type="dxa" w:w="110"/>
            </w:tcMar>
          </w:tcPr>
          <w:p>
            <w:pPr>
              <w:spacing w:after="0" w:line="252"/>
            </w:pPr>
            <w:r>
              <w:rPr>
                <w:rFonts w:ascii="Calibri" w:cs="Calibri" w:eastAsia="Calibri" w:hAnsi="Calibri"/>
                <w:b/>
                <w:bCs/>
                <w:i w:val="false"/>
                <w:iCs w:val="false"/>
                <w:color w:val="FFFFFF"/>
                <w:sz w:val="19"/>
                <w:szCs w:val="19"/>
              </w:rPr>
              <w:t xml:space="preserve">Indicator — mark Yes only if true now and evidenced</w:t>
            </w:r>
          </w:p>
        </w:tc>
        <w:tc>
          <w:tcPr>
            <w:tcW w:type="dxa" w:w="1085"/>
            <w:tcBorders>
              <w:top w:val="single" w:color="C9D3E6" w:sz="4"/>
              <w:left w:val="single" w:color="C9D3E6" w:sz="4"/>
              <w:bottom w:val="single" w:color="C9D3E6" w:sz="4"/>
              <w:right w:val="single" w:color="C9D3E6" w:sz="4"/>
            </w:tcBorders>
            <w:shd w:fill="14213D" w:val="clear"/>
            <w:tcMar>
              <w:top w:type="dxa" w:w="70"/>
              <w:left w:type="dxa" w:w="110"/>
              <w:bottom w:type="dxa" w:w="70"/>
              <w:right w:type="dxa" w:w="110"/>
            </w:tcMar>
          </w:tcPr>
          <w:p>
            <w:pPr>
              <w:spacing w:after="0" w:line="252"/>
            </w:pPr>
            <w:r>
              <w:rPr>
                <w:rFonts w:ascii="Calibri" w:cs="Calibri" w:eastAsia="Calibri" w:hAnsi="Calibri"/>
                <w:b/>
                <w:bCs/>
                <w:i w:val="false"/>
                <w:iCs w:val="false"/>
                <w:color w:val="FFFFFF"/>
                <w:sz w:val="19"/>
                <w:szCs w:val="19"/>
              </w:rPr>
              <w:t xml:space="preserve">SCP</w:t>
            </w:r>
          </w:p>
        </w:tc>
        <w:tc>
          <w:tcPr>
            <w:tcW w:type="dxa" w:w="970"/>
            <w:tcBorders>
              <w:top w:val="single" w:color="C9D3E6" w:sz="4"/>
              <w:left w:val="single" w:color="C9D3E6" w:sz="4"/>
              <w:bottom w:val="single" w:color="C9D3E6" w:sz="4"/>
              <w:right w:val="single" w:color="C9D3E6" w:sz="4"/>
            </w:tcBorders>
            <w:shd w:fill="14213D" w:val="clear"/>
            <w:tcMar>
              <w:top w:type="dxa" w:w="70"/>
              <w:left w:type="dxa" w:w="110"/>
              <w:bottom w:type="dxa" w:w="70"/>
              <w:right w:type="dxa" w:w="110"/>
            </w:tcMar>
          </w:tcPr>
          <w:p>
            <w:pPr>
              <w:spacing w:after="0" w:line="252"/>
            </w:pPr>
            <w:r>
              <w:rPr>
                <w:rFonts w:ascii="Calibri" w:cs="Calibri" w:eastAsia="Calibri" w:hAnsi="Calibri"/>
                <w:b/>
                <w:bCs/>
                <w:i w:val="false"/>
                <w:iCs w:val="false"/>
                <w:color w:val="FFFFFF"/>
                <w:sz w:val="19"/>
                <w:szCs w:val="19"/>
              </w:rPr>
              <w:t xml:space="preserve">Yes (1)</w:t>
            </w:r>
          </w:p>
        </w:tc>
        <w:tc>
          <w:tcPr>
            <w:tcW w:type="dxa" w:w="700"/>
            <w:tcBorders>
              <w:top w:val="single" w:color="C9D3E6" w:sz="4"/>
              <w:left w:val="single" w:color="C9D3E6" w:sz="4"/>
              <w:bottom w:val="single" w:color="C9D3E6" w:sz="4"/>
              <w:right w:val="single" w:color="C9D3E6" w:sz="4"/>
            </w:tcBorders>
            <w:shd w:fill="14213D" w:val="clear"/>
            <w:tcMar>
              <w:top w:type="dxa" w:w="70"/>
              <w:left w:type="dxa" w:w="110"/>
              <w:bottom w:type="dxa" w:w="70"/>
              <w:right w:type="dxa" w:w="110"/>
            </w:tcMar>
          </w:tcPr>
          <w:p>
            <w:pPr>
              <w:spacing w:after="0" w:line="252"/>
            </w:pPr>
            <w:r>
              <w:rPr>
                <w:rFonts w:ascii="Calibri" w:cs="Calibri" w:eastAsia="Calibri" w:hAnsi="Calibri"/>
                <w:b/>
                <w:bCs/>
                <w:i w:val="false"/>
                <w:iCs w:val="false"/>
                <w:color w:val="FFFFFF"/>
                <w:sz w:val="19"/>
                <w:szCs w:val="19"/>
              </w:rPr>
              <w:t xml:space="preserve">No (0)</w:t>
            </w:r>
          </w:p>
        </w:tc>
      </w:tr>
      <w:tr>
        <w:trPr>
          <w:tblHeader w:val="false"/>
        </w:trPr>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C1</w:t>
            </w:r>
          </w:p>
        </w:tc>
        <w:tc>
          <w:tcPr>
            <w:tcW w:type="dxa" w:w="590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Every position is classified at recruitment as a contact role or a non-contact role, and the classification is recorded. </w:t>
            </w:r>
            <w:r>
              <w:rPr>
                <w:rFonts w:ascii="Calibri" w:cs="Calibri" w:eastAsia="Calibri" w:hAnsi="Calibri"/>
                <w:b/>
                <w:bCs/>
                <w:i w:val="false"/>
                <w:iCs w:val="false"/>
                <w:color w:val="14213D"/>
                <w:sz w:val="19"/>
                <w:szCs w:val="19"/>
              </w:rPr>
              <w:t xml:space="preserve">$0</w:t>
            </w:r>
          </w:p>
        </w:tc>
        <w:tc>
          <w:tcPr>
            <w:tcW w:type="dxa" w:w="108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SCP-6.1</w:t>
            </w:r>
          </w:p>
        </w:tc>
        <w:tc>
          <w:tcPr>
            <w:tcW w:type="dxa" w:w="97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r>
      <w:tr>
        <w:trPr>
          <w:tblHeader w:val="false"/>
        </w:trPr>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C2</w:t>
            </w:r>
          </w:p>
        </w:tc>
        <w:tc>
          <w:tcPr>
            <w:tcW w:type="dxa" w:w="590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A check of the National Sex Offender Public Website (NSOPW.gov) is completed before anyone begins a contact role. </w:t>
            </w:r>
            <w:r>
              <w:rPr>
                <w:rFonts w:ascii="Calibri" w:cs="Calibri" w:eastAsia="Calibri" w:hAnsi="Calibri"/>
                <w:b/>
                <w:bCs/>
                <w:i w:val="false"/>
                <w:iCs w:val="false"/>
                <w:color w:val="14213D"/>
                <w:sz w:val="19"/>
                <w:szCs w:val="19"/>
              </w:rPr>
              <w:t xml:space="preserve">$0</w:t>
            </w:r>
          </w:p>
        </w:tc>
        <w:tc>
          <w:tcPr>
            <w:tcW w:type="dxa" w:w="108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SCP-6.1</w:t>
            </w:r>
          </w:p>
        </w:tc>
        <w:tc>
          <w:tcPr>
            <w:tcW w:type="dxa" w:w="97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r>
      <w:tr>
        <w:trPr>
          <w:tblHeader w:val="false"/>
        </w:trPr>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C3</w:t>
            </w:r>
          </w:p>
        </w:tc>
        <w:tc>
          <w:tcPr>
            <w:tcW w:type="dxa" w:w="590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A criminal history check meeting state-law and funder requirements is completed before anyone begins a contact role. </w:t>
            </w:r>
            <w:r>
              <w:rPr>
                <w:rFonts w:ascii="Calibri" w:cs="Calibri" w:eastAsia="Calibri" w:hAnsi="Calibri"/>
                <w:b/>
                <w:bCs/>
                <w:i w:val="false"/>
                <w:iCs w:val="false"/>
                <w:color w:val="14213D"/>
                <w:sz w:val="19"/>
                <w:szCs w:val="19"/>
              </w:rPr>
              <w:t xml:space="preserve">(fees may apply)</w:t>
            </w:r>
          </w:p>
        </w:tc>
        <w:tc>
          <w:tcPr>
            <w:tcW w:type="dxa" w:w="108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SCP-6.1</w:t>
            </w:r>
          </w:p>
        </w:tc>
        <w:tc>
          <w:tcPr>
            <w:tcW w:type="dxa" w:w="97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r>
      <w:tr>
        <w:trPr>
          <w:tblHeader w:val="false"/>
        </w:trPr>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C4</w:t>
            </w:r>
          </w:p>
        </w:tc>
        <w:tc>
          <w:tcPr>
            <w:tcW w:type="dxa" w:w="590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At least two references are checked for each contact role, and each referee is asked directly whether they have any safeguarding concern. </w:t>
            </w:r>
            <w:r>
              <w:rPr>
                <w:rFonts w:ascii="Calibri" w:cs="Calibri" w:eastAsia="Calibri" w:hAnsi="Calibri"/>
                <w:b/>
                <w:bCs/>
                <w:i w:val="false"/>
                <w:iCs w:val="false"/>
                <w:color w:val="14213D"/>
                <w:sz w:val="19"/>
                <w:szCs w:val="19"/>
              </w:rPr>
              <w:t xml:space="preserve">$0</w:t>
            </w:r>
          </w:p>
        </w:tc>
        <w:tc>
          <w:tcPr>
            <w:tcW w:type="dxa" w:w="108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SCP-6.1</w:t>
            </w:r>
          </w:p>
        </w:tc>
        <w:tc>
          <w:tcPr>
            <w:tcW w:type="dxa" w:w="97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r>
      <w:tr>
        <w:trPr>
          <w:tblHeader w:val="false"/>
        </w:trPr>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C5</w:t>
            </w:r>
          </w:p>
        </w:tc>
        <w:tc>
          <w:tcPr>
            <w:tcW w:type="dxa" w:w="590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Screening is repeated on a defined cycle (for example every two or three years) for personnel in contact roles. </w:t>
            </w:r>
            <w:r>
              <w:rPr>
                <w:rFonts w:ascii="Calibri" w:cs="Calibri" w:eastAsia="Calibri" w:hAnsi="Calibri"/>
                <w:b/>
                <w:bCs/>
                <w:i w:val="false"/>
                <w:iCs w:val="false"/>
                <w:color w:val="14213D"/>
                <w:sz w:val="19"/>
                <w:szCs w:val="19"/>
              </w:rPr>
              <w:t xml:space="preserve">(fees may apply)</w:t>
            </w:r>
          </w:p>
        </w:tc>
        <w:tc>
          <w:tcPr>
            <w:tcW w:type="dxa" w:w="108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SCP-6.1</w:t>
            </w:r>
          </w:p>
        </w:tc>
        <w:tc>
          <w:tcPr>
            <w:tcW w:type="dxa" w:w="97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r>
      <w:tr>
        <w:trPr>
          <w:tblHeader w:val="false"/>
        </w:trPr>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p>
        </w:tc>
        <w:tc>
          <w:tcPr>
            <w:tcW w:type="dxa" w:w="590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bCs/>
                <w:i w:val="false"/>
                <w:iCs w:val="false"/>
                <w:color w:val="14213D"/>
                <w:sz w:val="19"/>
                <w:szCs w:val="19"/>
              </w:rPr>
              <w:t xml:space="preserve">Domain subtotal (out of 5)</w:t>
            </w:r>
          </w:p>
        </w:tc>
        <w:tc>
          <w:tcPr>
            <w:tcW w:type="dxa" w:w="108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p>
        </w:tc>
        <w:tc>
          <w:tcPr>
            <w:tcW w:type="dxa" w:w="97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______</w:t>
            </w:r>
          </w:p>
        </w:tc>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p>
        </w:tc>
      </w:tr>
    </w:tbl>
    <w:p>
      <w:pPr>
        <w:spacing w:after="60"/>
      </w:pPr>
    </w:p>
    <w:p>
      <w:pPr>
        <w:keepNext/>
        <w:spacing w:after="100" w:before="240"/>
      </w:pPr>
      <w:r>
        <w:rPr>
          <w:rFonts w:ascii="Cambria" w:cs="Cambria" w:eastAsia="Cambria" w:hAnsi="Cambria"/>
          <w:b/>
          <w:bCs/>
          <w:i w:val="false"/>
          <w:iCs w:val="false"/>
          <w:color w:val="14213D"/>
          <w:sz w:val="23"/>
          <w:szCs w:val="23"/>
        </w:rPr>
        <w:t xml:space="preserve">Domain D — Training and Awareness</w:t>
      </w:r>
    </w:p>
    <w:p>
      <w:pPr>
        <w:spacing w:after="140" w:line="276"/>
      </w:pPr>
      <w:r>
        <w:rPr>
          <w:rFonts w:ascii="Calibri" w:cs="Calibri" w:eastAsia="Calibri" w:hAnsi="Calibri"/>
          <w:b w:val="false"/>
          <w:bCs w:val="false"/>
          <w:i w:val="false"/>
          <w:iCs w:val="false"/>
          <w:color w:val="14213D"/>
          <w:sz w:val="21"/>
          <w:szCs w:val="21"/>
        </w:rPr>
        <w:t xml:space="preserve">Does everyone actually know the rules, and can you prove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05"/>
        <w:gridCol w:w="1085"/>
        <w:gridCol w:w="970"/>
        <w:gridCol w:w="700"/>
      </w:tblGrid>
      <w:tr>
        <w:trPr>
          <w:tblHeader/>
        </w:trPr>
        <w:tc>
          <w:tcPr>
            <w:tcW w:type="dxa" w:w="700"/>
            <w:tcBorders>
              <w:top w:val="single" w:color="C9D3E6" w:sz="4"/>
              <w:left w:val="single" w:color="C9D3E6" w:sz="4"/>
              <w:bottom w:val="single" w:color="C9D3E6" w:sz="4"/>
              <w:right w:val="single" w:color="C9D3E6" w:sz="4"/>
            </w:tcBorders>
            <w:shd w:fill="14213D" w:val="clear"/>
            <w:tcMar>
              <w:top w:type="dxa" w:w="70"/>
              <w:left w:type="dxa" w:w="110"/>
              <w:bottom w:type="dxa" w:w="70"/>
              <w:right w:type="dxa" w:w="110"/>
            </w:tcMar>
          </w:tcPr>
          <w:p>
            <w:pPr>
              <w:spacing w:after="0" w:line="252"/>
            </w:pPr>
            <w:r>
              <w:rPr>
                <w:rFonts w:ascii="Calibri" w:cs="Calibri" w:eastAsia="Calibri" w:hAnsi="Calibri"/>
                <w:b/>
                <w:bCs/>
                <w:i w:val="false"/>
                <w:iCs w:val="false"/>
                <w:color w:val="FFFFFF"/>
                <w:sz w:val="19"/>
                <w:szCs w:val="19"/>
              </w:rPr>
              <w:t xml:space="preserve">#</w:t>
            </w:r>
          </w:p>
        </w:tc>
        <w:tc>
          <w:tcPr>
            <w:tcW w:type="dxa" w:w="5905"/>
            <w:tcBorders>
              <w:top w:val="single" w:color="C9D3E6" w:sz="4"/>
              <w:left w:val="single" w:color="C9D3E6" w:sz="4"/>
              <w:bottom w:val="single" w:color="C9D3E6" w:sz="4"/>
              <w:right w:val="single" w:color="C9D3E6" w:sz="4"/>
            </w:tcBorders>
            <w:shd w:fill="14213D" w:val="clear"/>
            <w:tcMar>
              <w:top w:type="dxa" w:w="70"/>
              <w:left w:type="dxa" w:w="110"/>
              <w:bottom w:type="dxa" w:w="70"/>
              <w:right w:type="dxa" w:w="110"/>
            </w:tcMar>
          </w:tcPr>
          <w:p>
            <w:pPr>
              <w:spacing w:after="0" w:line="252"/>
            </w:pPr>
            <w:r>
              <w:rPr>
                <w:rFonts w:ascii="Calibri" w:cs="Calibri" w:eastAsia="Calibri" w:hAnsi="Calibri"/>
                <w:b/>
                <w:bCs/>
                <w:i w:val="false"/>
                <w:iCs w:val="false"/>
                <w:color w:val="FFFFFF"/>
                <w:sz w:val="19"/>
                <w:szCs w:val="19"/>
              </w:rPr>
              <w:t xml:space="preserve">Indicator — mark Yes only if true now and evidenced</w:t>
            </w:r>
          </w:p>
        </w:tc>
        <w:tc>
          <w:tcPr>
            <w:tcW w:type="dxa" w:w="1085"/>
            <w:tcBorders>
              <w:top w:val="single" w:color="C9D3E6" w:sz="4"/>
              <w:left w:val="single" w:color="C9D3E6" w:sz="4"/>
              <w:bottom w:val="single" w:color="C9D3E6" w:sz="4"/>
              <w:right w:val="single" w:color="C9D3E6" w:sz="4"/>
            </w:tcBorders>
            <w:shd w:fill="14213D" w:val="clear"/>
            <w:tcMar>
              <w:top w:type="dxa" w:w="70"/>
              <w:left w:type="dxa" w:w="110"/>
              <w:bottom w:type="dxa" w:w="70"/>
              <w:right w:type="dxa" w:w="110"/>
            </w:tcMar>
          </w:tcPr>
          <w:p>
            <w:pPr>
              <w:spacing w:after="0" w:line="252"/>
            </w:pPr>
            <w:r>
              <w:rPr>
                <w:rFonts w:ascii="Calibri" w:cs="Calibri" w:eastAsia="Calibri" w:hAnsi="Calibri"/>
                <w:b/>
                <w:bCs/>
                <w:i w:val="false"/>
                <w:iCs w:val="false"/>
                <w:color w:val="FFFFFF"/>
                <w:sz w:val="19"/>
                <w:szCs w:val="19"/>
              </w:rPr>
              <w:t xml:space="preserve">SCP</w:t>
            </w:r>
          </w:p>
        </w:tc>
        <w:tc>
          <w:tcPr>
            <w:tcW w:type="dxa" w:w="970"/>
            <w:tcBorders>
              <w:top w:val="single" w:color="C9D3E6" w:sz="4"/>
              <w:left w:val="single" w:color="C9D3E6" w:sz="4"/>
              <w:bottom w:val="single" w:color="C9D3E6" w:sz="4"/>
              <w:right w:val="single" w:color="C9D3E6" w:sz="4"/>
            </w:tcBorders>
            <w:shd w:fill="14213D" w:val="clear"/>
            <w:tcMar>
              <w:top w:type="dxa" w:w="70"/>
              <w:left w:type="dxa" w:w="110"/>
              <w:bottom w:type="dxa" w:w="70"/>
              <w:right w:type="dxa" w:w="110"/>
            </w:tcMar>
          </w:tcPr>
          <w:p>
            <w:pPr>
              <w:spacing w:after="0" w:line="252"/>
            </w:pPr>
            <w:r>
              <w:rPr>
                <w:rFonts w:ascii="Calibri" w:cs="Calibri" w:eastAsia="Calibri" w:hAnsi="Calibri"/>
                <w:b/>
                <w:bCs/>
                <w:i w:val="false"/>
                <w:iCs w:val="false"/>
                <w:color w:val="FFFFFF"/>
                <w:sz w:val="19"/>
                <w:szCs w:val="19"/>
              </w:rPr>
              <w:t xml:space="preserve">Yes (1)</w:t>
            </w:r>
          </w:p>
        </w:tc>
        <w:tc>
          <w:tcPr>
            <w:tcW w:type="dxa" w:w="700"/>
            <w:tcBorders>
              <w:top w:val="single" w:color="C9D3E6" w:sz="4"/>
              <w:left w:val="single" w:color="C9D3E6" w:sz="4"/>
              <w:bottom w:val="single" w:color="C9D3E6" w:sz="4"/>
              <w:right w:val="single" w:color="C9D3E6" w:sz="4"/>
            </w:tcBorders>
            <w:shd w:fill="14213D" w:val="clear"/>
            <w:tcMar>
              <w:top w:type="dxa" w:w="70"/>
              <w:left w:type="dxa" w:w="110"/>
              <w:bottom w:type="dxa" w:w="70"/>
              <w:right w:type="dxa" w:w="110"/>
            </w:tcMar>
          </w:tcPr>
          <w:p>
            <w:pPr>
              <w:spacing w:after="0" w:line="252"/>
            </w:pPr>
            <w:r>
              <w:rPr>
                <w:rFonts w:ascii="Calibri" w:cs="Calibri" w:eastAsia="Calibri" w:hAnsi="Calibri"/>
                <w:b/>
                <w:bCs/>
                <w:i w:val="false"/>
                <w:iCs w:val="false"/>
                <w:color w:val="FFFFFF"/>
                <w:sz w:val="19"/>
                <w:szCs w:val="19"/>
              </w:rPr>
              <w:t xml:space="preserve">No (0)</w:t>
            </w:r>
          </w:p>
        </w:tc>
      </w:tr>
      <w:tr>
        <w:trPr>
          <w:tblHeader w:val="false"/>
        </w:trPr>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D1</w:t>
            </w:r>
          </w:p>
        </w:tc>
        <w:tc>
          <w:tcPr>
            <w:tcW w:type="dxa" w:w="590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All personnel complete safeguarding orientation before beginning work, covering what exploitation and abuse are, the conduct rules, warning signs, and how to report. </w:t>
            </w:r>
            <w:r>
              <w:rPr>
                <w:rFonts w:ascii="Calibri" w:cs="Calibri" w:eastAsia="Calibri" w:hAnsi="Calibri"/>
                <w:b/>
                <w:bCs/>
                <w:i w:val="false"/>
                <w:iCs w:val="false"/>
                <w:color w:val="14213D"/>
                <w:sz w:val="19"/>
                <w:szCs w:val="19"/>
              </w:rPr>
              <w:t xml:space="preserve">$0</w:t>
            </w:r>
          </w:p>
        </w:tc>
        <w:tc>
          <w:tcPr>
            <w:tcW w:type="dxa" w:w="108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SCP-6.2</w:t>
            </w:r>
          </w:p>
        </w:tc>
        <w:tc>
          <w:tcPr>
            <w:tcW w:type="dxa" w:w="97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r>
      <w:tr>
        <w:trPr>
          <w:tblHeader w:val="false"/>
        </w:trPr>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D2</w:t>
            </w:r>
          </w:p>
        </w:tc>
        <w:tc>
          <w:tcPr>
            <w:tcW w:type="dxa" w:w="590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Training expressly includes volunteers, board members, and contractors — not employees only. </w:t>
            </w:r>
            <w:r>
              <w:rPr>
                <w:rFonts w:ascii="Calibri" w:cs="Calibri" w:eastAsia="Calibri" w:hAnsi="Calibri"/>
                <w:b/>
                <w:bCs/>
                <w:i w:val="false"/>
                <w:iCs w:val="false"/>
                <w:color w:val="14213D"/>
                <w:sz w:val="19"/>
                <w:szCs w:val="19"/>
              </w:rPr>
              <w:t xml:space="preserve">$0</w:t>
            </w:r>
          </w:p>
        </w:tc>
        <w:tc>
          <w:tcPr>
            <w:tcW w:type="dxa" w:w="108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SCP-6.2</w:t>
            </w:r>
          </w:p>
        </w:tc>
        <w:tc>
          <w:tcPr>
            <w:tcW w:type="dxa" w:w="97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r>
      <w:tr>
        <w:trPr>
          <w:tblHeader w:val="false"/>
        </w:trPr>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D3</w:t>
            </w:r>
          </w:p>
        </w:tc>
        <w:tc>
          <w:tcPr>
            <w:tcW w:type="dxa" w:w="590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Personnel in contact roles complete a refresher at least once a year. </w:t>
            </w:r>
            <w:r>
              <w:rPr>
                <w:rFonts w:ascii="Calibri" w:cs="Calibri" w:eastAsia="Calibri" w:hAnsi="Calibri"/>
                <w:b/>
                <w:bCs/>
                <w:i w:val="false"/>
                <w:iCs w:val="false"/>
                <w:color w:val="14213D"/>
                <w:sz w:val="19"/>
                <w:szCs w:val="19"/>
              </w:rPr>
              <w:t xml:space="preserve">$0</w:t>
            </w:r>
          </w:p>
        </w:tc>
        <w:tc>
          <w:tcPr>
            <w:tcW w:type="dxa" w:w="108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SCP-6.2</w:t>
            </w:r>
          </w:p>
        </w:tc>
        <w:tc>
          <w:tcPr>
            <w:tcW w:type="dxa" w:w="97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r>
      <w:tr>
        <w:trPr>
          <w:tblHeader w:val="false"/>
        </w:trPr>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D4</w:t>
            </w:r>
          </w:p>
        </w:tc>
        <w:tc>
          <w:tcPr>
            <w:tcW w:type="dxa" w:w="590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Personnel who are mandatory reporters under state law are told so in writing at onboarding, with how, where, and by when to report. </w:t>
            </w:r>
            <w:r>
              <w:rPr>
                <w:rFonts w:ascii="Calibri" w:cs="Calibri" w:eastAsia="Calibri" w:hAnsi="Calibri"/>
                <w:b/>
                <w:bCs/>
                <w:i w:val="false"/>
                <w:iCs w:val="false"/>
                <w:color w:val="14213D"/>
                <w:sz w:val="19"/>
                <w:szCs w:val="19"/>
              </w:rPr>
              <w:t xml:space="preserve">$0</w:t>
            </w:r>
          </w:p>
        </w:tc>
        <w:tc>
          <w:tcPr>
            <w:tcW w:type="dxa" w:w="108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SCP-5.1</w:t>
            </w:r>
          </w:p>
        </w:tc>
        <w:tc>
          <w:tcPr>
            <w:tcW w:type="dxa" w:w="97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r>
      <w:tr>
        <w:trPr>
          <w:tblHeader w:val="false"/>
        </w:trPr>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D5</w:t>
            </w:r>
          </w:p>
        </w:tc>
        <w:tc>
          <w:tcPr>
            <w:tcW w:type="dxa" w:w="590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Training completion is documented — date, content, and attendance — and the records are retained. </w:t>
            </w:r>
            <w:r>
              <w:rPr>
                <w:rFonts w:ascii="Calibri" w:cs="Calibri" w:eastAsia="Calibri" w:hAnsi="Calibri"/>
                <w:b/>
                <w:bCs/>
                <w:i w:val="false"/>
                <w:iCs w:val="false"/>
                <w:color w:val="14213D"/>
                <w:sz w:val="19"/>
                <w:szCs w:val="19"/>
              </w:rPr>
              <w:t xml:space="preserve">$0</w:t>
            </w:r>
          </w:p>
        </w:tc>
        <w:tc>
          <w:tcPr>
            <w:tcW w:type="dxa" w:w="108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SCP-6.2</w:t>
            </w:r>
          </w:p>
        </w:tc>
        <w:tc>
          <w:tcPr>
            <w:tcW w:type="dxa" w:w="97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r>
      <w:tr>
        <w:trPr>
          <w:tblHeader w:val="false"/>
        </w:trPr>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p>
        </w:tc>
        <w:tc>
          <w:tcPr>
            <w:tcW w:type="dxa" w:w="590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bCs/>
                <w:i w:val="false"/>
                <w:iCs w:val="false"/>
                <w:color w:val="14213D"/>
                <w:sz w:val="19"/>
                <w:szCs w:val="19"/>
              </w:rPr>
              <w:t xml:space="preserve">Domain subtotal (out of 5)</w:t>
            </w:r>
          </w:p>
        </w:tc>
        <w:tc>
          <w:tcPr>
            <w:tcW w:type="dxa" w:w="108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p>
        </w:tc>
        <w:tc>
          <w:tcPr>
            <w:tcW w:type="dxa" w:w="97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______</w:t>
            </w:r>
          </w:p>
        </w:tc>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p>
        </w:tc>
      </w:tr>
    </w:tbl>
    <w:p>
      <w:pPr>
        <w:spacing w:after="60"/>
      </w:pPr>
    </w:p>
    <w:p>
      <w:pPr>
        <w:keepNext/>
        <w:spacing w:after="100" w:before="240"/>
      </w:pPr>
      <w:r>
        <w:rPr>
          <w:rFonts w:ascii="Cambria" w:cs="Cambria" w:eastAsia="Cambria" w:hAnsi="Cambria"/>
          <w:b/>
          <w:bCs/>
          <w:i w:val="false"/>
          <w:iCs w:val="false"/>
          <w:color w:val="14213D"/>
          <w:sz w:val="23"/>
          <w:szCs w:val="23"/>
        </w:rPr>
        <w:t xml:space="preserve">Domain E — Reporting and Response</w:t>
      </w:r>
    </w:p>
    <w:p>
      <w:pPr>
        <w:spacing w:after="140" w:line="276"/>
      </w:pPr>
      <w:r>
        <w:rPr>
          <w:rFonts w:ascii="Calibri" w:cs="Calibri" w:eastAsia="Calibri" w:hAnsi="Calibri"/>
          <w:b w:val="false"/>
          <w:bCs w:val="false"/>
          <w:i w:val="false"/>
          <w:iCs w:val="false"/>
          <w:color w:val="14213D"/>
          <w:sz w:val="21"/>
          <w:szCs w:val="21"/>
        </w:rPr>
        <w:t xml:space="preserve">Can a participant raise a concern, and does something reliable happen when they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05"/>
        <w:gridCol w:w="1085"/>
        <w:gridCol w:w="970"/>
        <w:gridCol w:w="700"/>
      </w:tblGrid>
      <w:tr>
        <w:trPr>
          <w:tblHeader/>
        </w:trPr>
        <w:tc>
          <w:tcPr>
            <w:tcW w:type="dxa" w:w="700"/>
            <w:tcBorders>
              <w:top w:val="single" w:color="C9D3E6" w:sz="4"/>
              <w:left w:val="single" w:color="C9D3E6" w:sz="4"/>
              <w:bottom w:val="single" w:color="C9D3E6" w:sz="4"/>
              <w:right w:val="single" w:color="C9D3E6" w:sz="4"/>
            </w:tcBorders>
            <w:shd w:fill="14213D" w:val="clear"/>
            <w:tcMar>
              <w:top w:type="dxa" w:w="70"/>
              <w:left w:type="dxa" w:w="110"/>
              <w:bottom w:type="dxa" w:w="70"/>
              <w:right w:type="dxa" w:w="110"/>
            </w:tcMar>
          </w:tcPr>
          <w:p>
            <w:pPr>
              <w:spacing w:after="0" w:line="252"/>
            </w:pPr>
            <w:r>
              <w:rPr>
                <w:rFonts w:ascii="Calibri" w:cs="Calibri" w:eastAsia="Calibri" w:hAnsi="Calibri"/>
                <w:b/>
                <w:bCs/>
                <w:i w:val="false"/>
                <w:iCs w:val="false"/>
                <w:color w:val="FFFFFF"/>
                <w:sz w:val="19"/>
                <w:szCs w:val="19"/>
              </w:rPr>
              <w:t xml:space="preserve">#</w:t>
            </w:r>
          </w:p>
        </w:tc>
        <w:tc>
          <w:tcPr>
            <w:tcW w:type="dxa" w:w="5905"/>
            <w:tcBorders>
              <w:top w:val="single" w:color="C9D3E6" w:sz="4"/>
              <w:left w:val="single" w:color="C9D3E6" w:sz="4"/>
              <w:bottom w:val="single" w:color="C9D3E6" w:sz="4"/>
              <w:right w:val="single" w:color="C9D3E6" w:sz="4"/>
            </w:tcBorders>
            <w:shd w:fill="14213D" w:val="clear"/>
            <w:tcMar>
              <w:top w:type="dxa" w:w="70"/>
              <w:left w:type="dxa" w:w="110"/>
              <w:bottom w:type="dxa" w:w="70"/>
              <w:right w:type="dxa" w:w="110"/>
            </w:tcMar>
          </w:tcPr>
          <w:p>
            <w:pPr>
              <w:spacing w:after="0" w:line="252"/>
            </w:pPr>
            <w:r>
              <w:rPr>
                <w:rFonts w:ascii="Calibri" w:cs="Calibri" w:eastAsia="Calibri" w:hAnsi="Calibri"/>
                <w:b/>
                <w:bCs/>
                <w:i w:val="false"/>
                <w:iCs w:val="false"/>
                <w:color w:val="FFFFFF"/>
                <w:sz w:val="19"/>
                <w:szCs w:val="19"/>
              </w:rPr>
              <w:t xml:space="preserve">Indicator — mark Yes only if true now and evidenced</w:t>
            </w:r>
          </w:p>
        </w:tc>
        <w:tc>
          <w:tcPr>
            <w:tcW w:type="dxa" w:w="1085"/>
            <w:tcBorders>
              <w:top w:val="single" w:color="C9D3E6" w:sz="4"/>
              <w:left w:val="single" w:color="C9D3E6" w:sz="4"/>
              <w:bottom w:val="single" w:color="C9D3E6" w:sz="4"/>
              <w:right w:val="single" w:color="C9D3E6" w:sz="4"/>
            </w:tcBorders>
            <w:shd w:fill="14213D" w:val="clear"/>
            <w:tcMar>
              <w:top w:type="dxa" w:w="70"/>
              <w:left w:type="dxa" w:w="110"/>
              <w:bottom w:type="dxa" w:w="70"/>
              <w:right w:type="dxa" w:w="110"/>
            </w:tcMar>
          </w:tcPr>
          <w:p>
            <w:pPr>
              <w:spacing w:after="0" w:line="252"/>
            </w:pPr>
            <w:r>
              <w:rPr>
                <w:rFonts w:ascii="Calibri" w:cs="Calibri" w:eastAsia="Calibri" w:hAnsi="Calibri"/>
                <w:b/>
                <w:bCs/>
                <w:i w:val="false"/>
                <w:iCs w:val="false"/>
                <w:color w:val="FFFFFF"/>
                <w:sz w:val="19"/>
                <w:szCs w:val="19"/>
              </w:rPr>
              <w:t xml:space="preserve">SCP</w:t>
            </w:r>
          </w:p>
        </w:tc>
        <w:tc>
          <w:tcPr>
            <w:tcW w:type="dxa" w:w="970"/>
            <w:tcBorders>
              <w:top w:val="single" w:color="C9D3E6" w:sz="4"/>
              <w:left w:val="single" w:color="C9D3E6" w:sz="4"/>
              <w:bottom w:val="single" w:color="C9D3E6" w:sz="4"/>
              <w:right w:val="single" w:color="C9D3E6" w:sz="4"/>
            </w:tcBorders>
            <w:shd w:fill="14213D" w:val="clear"/>
            <w:tcMar>
              <w:top w:type="dxa" w:w="70"/>
              <w:left w:type="dxa" w:w="110"/>
              <w:bottom w:type="dxa" w:w="70"/>
              <w:right w:type="dxa" w:w="110"/>
            </w:tcMar>
          </w:tcPr>
          <w:p>
            <w:pPr>
              <w:spacing w:after="0" w:line="252"/>
            </w:pPr>
            <w:r>
              <w:rPr>
                <w:rFonts w:ascii="Calibri" w:cs="Calibri" w:eastAsia="Calibri" w:hAnsi="Calibri"/>
                <w:b/>
                <w:bCs/>
                <w:i w:val="false"/>
                <w:iCs w:val="false"/>
                <w:color w:val="FFFFFF"/>
                <w:sz w:val="19"/>
                <w:szCs w:val="19"/>
              </w:rPr>
              <w:t xml:space="preserve">Yes (1)</w:t>
            </w:r>
          </w:p>
        </w:tc>
        <w:tc>
          <w:tcPr>
            <w:tcW w:type="dxa" w:w="700"/>
            <w:tcBorders>
              <w:top w:val="single" w:color="C9D3E6" w:sz="4"/>
              <w:left w:val="single" w:color="C9D3E6" w:sz="4"/>
              <w:bottom w:val="single" w:color="C9D3E6" w:sz="4"/>
              <w:right w:val="single" w:color="C9D3E6" w:sz="4"/>
            </w:tcBorders>
            <w:shd w:fill="14213D" w:val="clear"/>
            <w:tcMar>
              <w:top w:type="dxa" w:w="70"/>
              <w:left w:type="dxa" w:w="110"/>
              <w:bottom w:type="dxa" w:w="70"/>
              <w:right w:type="dxa" w:w="110"/>
            </w:tcMar>
          </w:tcPr>
          <w:p>
            <w:pPr>
              <w:spacing w:after="0" w:line="252"/>
            </w:pPr>
            <w:r>
              <w:rPr>
                <w:rFonts w:ascii="Calibri" w:cs="Calibri" w:eastAsia="Calibri" w:hAnsi="Calibri"/>
                <w:b/>
                <w:bCs/>
                <w:i w:val="false"/>
                <w:iCs w:val="false"/>
                <w:color w:val="FFFFFF"/>
                <w:sz w:val="19"/>
                <w:szCs w:val="19"/>
              </w:rPr>
              <w:t xml:space="preserve">No (0)</w:t>
            </w:r>
          </w:p>
        </w:tc>
      </w:tr>
      <w:tr>
        <w:trPr>
          <w:tblHeader w:val="false"/>
        </w:trPr>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E1</w:t>
            </w:r>
          </w:p>
        </w:tc>
        <w:tc>
          <w:tcPr>
            <w:tcW w:type="dxa" w:w="590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Program participants, family members, and the public — not just staff — can make a report, and they are told how, in plain language and in the languages they use. </w:t>
            </w:r>
            <w:r>
              <w:rPr>
                <w:rFonts w:ascii="Calibri" w:cs="Calibri" w:eastAsia="Calibri" w:hAnsi="Calibri"/>
                <w:b/>
                <w:bCs/>
                <w:i w:val="false"/>
                <w:iCs w:val="false"/>
                <w:color w:val="14213D"/>
                <w:sz w:val="19"/>
                <w:szCs w:val="19"/>
              </w:rPr>
              <w:t xml:space="preserve">$0</w:t>
            </w:r>
          </w:p>
        </w:tc>
        <w:tc>
          <w:tcPr>
            <w:tcW w:type="dxa" w:w="108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SCP-5.3</w:t>
            </w:r>
          </w:p>
        </w:tc>
        <w:tc>
          <w:tcPr>
            <w:tcW w:type="dxa" w:w="97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r>
      <w:tr>
        <w:trPr>
          <w:tblHeader w:val="false"/>
        </w:trPr>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E2</w:t>
            </w:r>
          </w:p>
        </w:tc>
        <w:tc>
          <w:tcPr>
            <w:tcW w:type="dxa" w:w="590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Reports can be made anonymously, and through more than one channel. </w:t>
            </w:r>
            <w:r>
              <w:rPr>
                <w:rFonts w:ascii="Calibri" w:cs="Calibri" w:eastAsia="Calibri" w:hAnsi="Calibri"/>
                <w:b/>
                <w:bCs/>
                <w:i w:val="false"/>
                <w:iCs w:val="false"/>
                <w:color w:val="14213D"/>
                <w:sz w:val="19"/>
                <w:szCs w:val="19"/>
              </w:rPr>
              <w:t xml:space="preserve">$0</w:t>
            </w:r>
          </w:p>
        </w:tc>
        <w:tc>
          <w:tcPr>
            <w:tcW w:type="dxa" w:w="108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SCP-5.3</w:t>
            </w:r>
          </w:p>
        </w:tc>
        <w:tc>
          <w:tcPr>
            <w:tcW w:type="dxa" w:w="97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r>
      <w:tr>
        <w:trPr>
          <w:tblHeader w:val="false"/>
        </w:trPr>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E3</w:t>
            </w:r>
          </w:p>
        </w:tc>
        <w:tc>
          <w:tcPr>
            <w:tcW w:type="dxa" w:w="590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All personnel are under a written duty to report concerns about a colleague, including personnel of partner or referral organizations, with a written no-retaliation guarantee. </w:t>
            </w:r>
            <w:r>
              <w:rPr>
                <w:rFonts w:ascii="Calibri" w:cs="Calibri" w:eastAsia="Calibri" w:hAnsi="Calibri"/>
                <w:b/>
                <w:bCs/>
                <w:i w:val="false"/>
                <w:iCs w:val="false"/>
                <w:color w:val="14213D"/>
                <w:sz w:val="19"/>
                <w:szCs w:val="19"/>
              </w:rPr>
              <w:t xml:space="preserve">$0</w:t>
            </w:r>
          </w:p>
        </w:tc>
        <w:tc>
          <w:tcPr>
            <w:tcW w:type="dxa" w:w="108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SCP-5.1 / 5.2</w:t>
            </w:r>
          </w:p>
        </w:tc>
        <w:tc>
          <w:tcPr>
            <w:tcW w:type="dxa" w:w="97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r>
      <w:tr>
        <w:trPr>
          <w:tblHeader w:val="false"/>
        </w:trPr>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E4</w:t>
            </w:r>
          </w:p>
        </w:tc>
        <w:tc>
          <w:tcPr>
            <w:tcW w:type="dxa" w:w="590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A written response procedure requires immediate protective steps for the person affected, before any inquiry concludes. </w:t>
            </w:r>
            <w:r>
              <w:rPr>
                <w:rFonts w:ascii="Calibri" w:cs="Calibri" w:eastAsia="Calibri" w:hAnsi="Calibri"/>
                <w:b/>
                <w:bCs/>
                <w:i w:val="false"/>
                <w:iCs w:val="false"/>
                <w:color w:val="14213D"/>
                <w:sz w:val="19"/>
                <w:szCs w:val="19"/>
              </w:rPr>
              <w:t xml:space="preserve">$0</w:t>
            </w:r>
          </w:p>
        </w:tc>
        <w:tc>
          <w:tcPr>
            <w:tcW w:type="dxa" w:w="108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SCP-6.1</w:t>
            </w:r>
          </w:p>
        </w:tc>
        <w:tc>
          <w:tcPr>
            <w:tcW w:type="dxa" w:w="97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r>
      <w:tr>
        <w:trPr>
          <w:tblHeader w:val="false"/>
        </w:trPr>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E5</w:t>
            </w:r>
          </w:p>
        </w:tc>
        <w:tc>
          <w:tcPr>
            <w:tcW w:type="dxa" w:w="590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A written procedure requires external reporting to the state agency or law enforcement where required by law, and states that internal inquiry never delays or replaces it. </w:t>
            </w:r>
            <w:r>
              <w:rPr>
                <w:rFonts w:ascii="Calibri" w:cs="Calibri" w:eastAsia="Calibri" w:hAnsi="Calibri"/>
                <w:b/>
                <w:bCs/>
                <w:i w:val="false"/>
                <w:iCs w:val="false"/>
                <w:color w:val="14213D"/>
                <w:sz w:val="19"/>
                <w:szCs w:val="19"/>
              </w:rPr>
              <w:t xml:space="preserve">$0</w:t>
            </w:r>
          </w:p>
        </w:tc>
        <w:tc>
          <w:tcPr>
            <w:tcW w:type="dxa" w:w="108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SCP-5.1</w:t>
            </w:r>
          </w:p>
        </w:tc>
        <w:tc>
          <w:tcPr>
            <w:tcW w:type="dxa" w:w="97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r>
      <w:tr>
        <w:trPr>
          <w:tblHeader w:val="false"/>
        </w:trPr>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E6</w:t>
            </w:r>
          </w:p>
        </w:tc>
        <w:tc>
          <w:tcPr>
            <w:tcW w:type="dxa" w:w="590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Participants have been asked how they would prefer to raise a concern, and channel awareness is checked at least once a year — for example, two questions in an existing feedback survey — with the results recorded. </w:t>
            </w:r>
            <w:r>
              <w:rPr>
                <w:rFonts w:ascii="Calibri" w:cs="Calibri" w:eastAsia="Calibri" w:hAnsi="Calibri"/>
                <w:b/>
                <w:bCs/>
                <w:i w:val="false"/>
                <w:iCs w:val="false"/>
                <w:color w:val="14213D"/>
                <w:sz w:val="19"/>
                <w:szCs w:val="19"/>
              </w:rPr>
              <w:t xml:space="preserve">$0</w:t>
            </w:r>
          </w:p>
        </w:tc>
        <w:tc>
          <w:tcPr>
            <w:tcW w:type="dxa" w:w="108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SCP-5.3</w:t>
            </w:r>
          </w:p>
        </w:tc>
        <w:tc>
          <w:tcPr>
            <w:tcW w:type="dxa" w:w="97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r>
      <w:tr>
        <w:trPr>
          <w:tblHeader w:val="false"/>
        </w:trPr>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E7</w:t>
            </w:r>
          </w:p>
        </w:tc>
        <w:tc>
          <w:tcPr>
            <w:tcW w:type="dxa" w:w="590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Each reporting channel has a named owner and a checking schedule, the checks are logged, and a period of twelve months with zero reports triggers a brief, recorded review of channel awareness and accessibility. </w:t>
            </w:r>
            <w:r>
              <w:rPr>
                <w:rFonts w:ascii="Calibri" w:cs="Calibri" w:eastAsia="Calibri" w:hAnsi="Calibri"/>
                <w:b/>
                <w:bCs/>
                <w:i w:val="false"/>
                <w:iCs w:val="false"/>
                <w:color w:val="14213D"/>
                <w:sz w:val="19"/>
                <w:szCs w:val="19"/>
              </w:rPr>
              <w:t xml:space="preserve">$0</w:t>
            </w:r>
          </w:p>
        </w:tc>
        <w:tc>
          <w:tcPr>
            <w:tcW w:type="dxa" w:w="108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SCP-5.3</w:t>
            </w:r>
          </w:p>
        </w:tc>
        <w:tc>
          <w:tcPr>
            <w:tcW w:type="dxa" w:w="97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r>
      <w:tr>
        <w:trPr>
          <w:tblHeader w:val="false"/>
        </w:trPr>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p>
        </w:tc>
        <w:tc>
          <w:tcPr>
            <w:tcW w:type="dxa" w:w="590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bCs/>
                <w:i w:val="false"/>
                <w:iCs w:val="false"/>
                <w:color w:val="14213D"/>
                <w:sz w:val="19"/>
                <w:szCs w:val="19"/>
              </w:rPr>
              <w:t xml:space="preserve">Domain subtotal (out of 7)</w:t>
            </w:r>
          </w:p>
        </w:tc>
        <w:tc>
          <w:tcPr>
            <w:tcW w:type="dxa" w:w="108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p>
        </w:tc>
        <w:tc>
          <w:tcPr>
            <w:tcW w:type="dxa" w:w="97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______</w:t>
            </w:r>
          </w:p>
        </w:tc>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p>
        </w:tc>
      </w:tr>
    </w:tbl>
    <w:p>
      <w:pPr>
        <w:spacing w:after="60"/>
      </w:pPr>
    </w:p>
    <w:p>
      <w:pPr>
        <w:keepNext/>
        <w:spacing w:after="100" w:before="240"/>
      </w:pPr>
      <w:r>
        <w:rPr>
          <w:rFonts w:ascii="Cambria" w:cs="Cambria" w:eastAsia="Cambria" w:hAnsi="Cambria"/>
          <w:b/>
          <w:bCs/>
          <w:i w:val="false"/>
          <w:iCs w:val="false"/>
          <w:color w:val="14213D"/>
          <w:sz w:val="23"/>
          <w:szCs w:val="23"/>
        </w:rPr>
        <w:t xml:space="preserve">Domain F — Partners, Records, and Review</w:t>
      </w:r>
    </w:p>
    <w:p>
      <w:pPr>
        <w:spacing w:after="140" w:line="276"/>
      </w:pPr>
      <w:r>
        <w:rPr>
          <w:rFonts w:ascii="Calibri" w:cs="Calibri" w:eastAsia="Calibri" w:hAnsi="Calibri"/>
          <w:b w:val="false"/>
          <w:bCs w:val="false"/>
          <w:i w:val="false"/>
          <w:iCs w:val="false"/>
          <w:color w:val="14213D"/>
          <w:sz w:val="21"/>
          <w:szCs w:val="21"/>
        </w:rPr>
        <w:t xml:space="preserve">Does the protection hold when work is shared, and does the system improve?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05"/>
        <w:gridCol w:w="1085"/>
        <w:gridCol w:w="970"/>
        <w:gridCol w:w="700"/>
      </w:tblGrid>
      <w:tr>
        <w:trPr>
          <w:tblHeader/>
        </w:trPr>
        <w:tc>
          <w:tcPr>
            <w:tcW w:type="dxa" w:w="700"/>
            <w:tcBorders>
              <w:top w:val="single" w:color="C9D3E6" w:sz="4"/>
              <w:left w:val="single" w:color="C9D3E6" w:sz="4"/>
              <w:bottom w:val="single" w:color="C9D3E6" w:sz="4"/>
              <w:right w:val="single" w:color="C9D3E6" w:sz="4"/>
            </w:tcBorders>
            <w:shd w:fill="14213D" w:val="clear"/>
            <w:tcMar>
              <w:top w:type="dxa" w:w="70"/>
              <w:left w:type="dxa" w:w="110"/>
              <w:bottom w:type="dxa" w:w="70"/>
              <w:right w:type="dxa" w:w="110"/>
            </w:tcMar>
          </w:tcPr>
          <w:p>
            <w:pPr>
              <w:spacing w:after="0" w:line="252"/>
            </w:pPr>
            <w:r>
              <w:rPr>
                <w:rFonts w:ascii="Calibri" w:cs="Calibri" w:eastAsia="Calibri" w:hAnsi="Calibri"/>
                <w:b/>
                <w:bCs/>
                <w:i w:val="false"/>
                <w:iCs w:val="false"/>
                <w:color w:val="FFFFFF"/>
                <w:sz w:val="19"/>
                <w:szCs w:val="19"/>
              </w:rPr>
              <w:t xml:space="preserve">#</w:t>
            </w:r>
          </w:p>
        </w:tc>
        <w:tc>
          <w:tcPr>
            <w:tcW w:type="dxa" w:w="5905"/>
            <w:tcBorders>
              <w:top w:val="single" w:color="C9D3E6" w:sz="4"/>
              <w:left w:val="single" w:color="C9D3E6" w:sz="4"/>
              <w:bottom w:val="single" w:color="C9D3E6" w:sz="4"/>
              <w:right w:val="single" w:color="C9D3E6" w:sz="4"/>
            </w:tcBorders>
            <w:shd w:fill="14213D" w:val="clear"/>
            <w:tcMar>
              <w:top w:type="dxa" w:w="70"/>
              <w:left w:type="dxa" w:w="110"/>
              <w:bottom w:type="dxa" w:w="70"/>
              <w:right w:type="dxa" w:w="110"/>
            </w:tcMar>
          </w:tcPr>
          <w:p>
            <w:pPr>
              <w:spacing w:after="0" w:line="252"/>
            </w:pPr>
            <w:r>
              <w:rPr>
                <w:rFonts w:ascii="Calibri" w:cs="Calibri" w:eastAsia="Calibri" w:hAnsi="Calibri"/>
                <w:b/>
                <w:bCs/>
                <w:i w:val="false"/>
                <w:iCs w:val="false"/>
                <w:color w:val="FFFFFF"/>
                <w:sz w:val="19"/>
                <w:szCs w:val="19"/>
              </w:rPr>
              <w:t xml:space="preserve">Indicator — mark Yes only if true now and evidenced</w:t>
            </w:r>
          </w:p>
        </w:tc>
        <w:tc>
          <w:tcPr>
            <w:tcW w:type="dxa" w:w="1085"/>
            <w:tcBorders>
              <w:top w:val="single" w:color="C9D3E6" w:sz="4"/>
              <w:left w:val="single" w:color="C9D3E6" w:sz="4"/>
              <w:bottom w:val="single" w:color="C9D3E6" w:sz="4"/>
              <w:right w:val="single" w:color="C9D3E6" w:sz="4"/>
            </w:tcBorders>
            <w:shd w:fill="14213D" w:val="clear"/>
            <w:tcMar>
              <w:top w:type="dxa" w:w="70"/>
              <w:left w:type="dxa" w:w="110"/>
              <w:bottom w:type="dxa" w:w="70"/>
              <w:right w:type="dxa" w:w="110"/>
            </w:tcMar>
          </w:tcPr>
          <w:p>
            <w:pPr>
              <w:spacing w:after="0" w:line="252"/>
            </w:pPr>
            <w:r>
              <w:rPr>
                <w:rFonts w:ascii="Calibri" w:cs="Calibri" w:eastAsia="Calibri" w:hAnsi="Calibri"/>
                <w:b/>
                <w:bCs/>
                <w:i w:val="false"/>
                <w:iCs w:val="false"/>
                <w:color w:val="FFFFFF"/>
                <w:sz w:val="19"/>
                <w:szCs w:val="19"/>
              </w:rPr>
              <w:t xml:space="preserve">SCP</w:t>
            </w:r>
          </w:p>
        </w:tc>
        <w:tc>
          <w:tcPr>
            <w:tcW w:type="dxa" w:w="970"/>
            <w:tcBorders>
              <w:top w:val="single" w:color="C9D3E6" w:sz="4"/>
              <w:left w:val="single" w:color="C9D3E6" w:sz="4"/>
              <w:bottom w:val="single" w:color="C9D3E6" w:sz="4"/>
              <w:right w:val="single" w:color="C9D3E6" w:sz="4"/>
            </w:tcBorders>
            <w:shd w:fill="14213D" w:val="clear"/>
            <w:tcMar>
              <w:top w:type="dxa" w:w="70"/>
              <w:left w:type="dxa" w:w="110"/>
              <w:bottom w:type="dxa" w:w="70"/>
              <w:right w:type="dxa" w:w="110"/>
            </w:tcMar>
          </w:tcPr>
          <w:p>
            <w:pPr>
              <w:spacing w:after="0" w:line="252"/>
            </w:pPr>
            <w:r>
              <w:rPr>
                <w:rFonts w:ascii="Calibri" w:cs="Calibri" w:eastAsia="Calibri" w:hAnsi="Calibri"/>
                <w:b/>
                <w:bCs/>
                <w:i w:val="false"/>
                <w:iCs w:val="false"/>
                <w:color w:val="FFFFFF"/>
                <w:sz w:val="19"/>
                <w:szCs w:val="19"/>
              </w:rPr>
              <w:t xml:space="preserve">Yes (1)</w:t>
            </w:r>
          </w:p>
        </w:tc>
        <w:tc>
          <w:tcPr>
            <w:tcW w:type="dxa" w:w="700"/>
            <w:tcBorders>
              <w:top w:val="single" w:color="C9D3E6" w:sz="4"/>
              <w:left w:val="single" w:color="C9D3E6" w:sz="4"/>
              <w:bottom w:val="single" w:color="C9D3E6" w:sz="4"/>
              <w:right w:val="single" w:color="C9D3E6" w:sz="4"/>
            </w:tcBorders>
            <w:shd w:fill="14213D" w:val="clear"/>
            <w:tcMar>
              <w:top w:type="dxa" w:w="70"/>
              <w:left w:type="dxa" w:w="110"/>
              <w:bottom w:type="dxa" w:w="70"/>
              <w:right w:type="dxa" w:w="110"/>
            </w:tcMar>
          </w:tcPr>
          <w:p>
            <w:pPr>
              <w:spacing w:after="0" w:line="252"/>
            </w:pPr>
            <w:r>
              <w:rPr>
                <w:rFonts w:ascii="Calibri" w:cs="Calibri" w:eastAsia="Calibri" w:hAnsi="Calibri"/>
                <w:b/>
                <w:bCs/>
                <w:i w:val="false"/>
                <w:iCs w:val="false"/>
                <w:color w:val="FFFFFF"/>
                <w:sz w:val="19"/>
                <w:szCs w:val="19"/>
              </w:rPr>
              <w:t xml:space="preserve">No (0)</w:t>
            </w:r>
          </w:p>
        </w:tc>
      </w:tr>
      <w:tr>
        <w:trPr>
          <w:tblHeader w:val="false"/>
        </w:trPr>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F1</w:t>
            </w:r>
          </w:p>
        </w:tc>
        <w:tc>
          <w:tcPr>
            <w:tcW w:type="dxa" w:w="590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Partners, subgrantees, and recurring referral organizations are informed of the conduct standards and give a written undertaking to apply equivalent standards. </w:t>
            </w:r>
            <w:r>
              <w:rPr>
                <w:rFonts w:ascii="Calibri" w:cs="Calibri" w:eastAsia="Calibri" w:hAnsi="Calibri"/>
                <w:b/>
                <w:bCs/>
                <w:i w:val="false"/>
                <w:iCs w:val="false"/>
                <w:color w:val="14213D"/>
                <w:sz w:val="19"/>
                <w:szCs w:val="19"/>
              </w:rPr>
              <w:t xml:space="preserve">$0</w:t>
            </w:r>
          </w:p>
        </w:tc>
        <w:tc>
          <w:tcPr>
            <w:tcW w:type="dxa" w:w="108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SCP-5.2</w:t>
            </w:r>
          </w:p>
        </w:tc>
        <w:tc>
          <w:tcPr>
            <w:tcW w:type="dxa" w:w="97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r>
      <w:tr>
        <w:trPr>
          <w:tblHeader w:val="false"/>
        </w:trPr>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F2</w:t>
            </w:r>
          </w:p>
        </w:tc>
        <w:tc>
          <w:tcPr>
            <w:tcW w:type="dxa" w:w="590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Safeguarding records — reports, inquiries, screening confirmations, training logs — are retained securely for a defined period with restricted access. </w:t>
            </w:r>
            <w:r>
              <w:rPr>
                <w:rFonts w:ascii="Calibri" w:cs="Calibri" w:eastAsia="Calibri" w:hAnsi="Calibri"/>
                <w:b/>
                <w:bCs/>
                <w:i w:val="false"/>
                <w:iCs w:val="false"/>
                <w:color w:val="14213D"/>
                <w:sz w:val="19"/>
                <w:szCs w:val="19"/>
              </w:rPr>
              <w:t xml:space="preserve">$0</w:t>
            </w:r>
          </w:p>
        </w:tc>
        <w:tc>
          <w:tcPr>
            <w:tcW w:type="dxa" w:w="108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SCP-6.3</w:t>
            </w:r>
          </w:p>
        </w:tc>
        <w:tc>
          <w:tcPr>
            <w:tcW w:type="dxa" w:w="97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r>
      <w:tr>
        <w:trPr>
          <w:tblHeader w:val="false"/>
        </w:trPr>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F3</w:t>
            </w:r>
          </w:p>
        </w:tc>
        <w:tc>
          <w:tcPr>
            <w:tcW w:type="dxa" w:w="590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Every report received is logged, with the date received, action taken, and outcome. </w:t>
            </w:r>
            <w:r>
              <w:rPr>
                <w:rFonts w:ascii="Calibri" w:cs="Calibri" w:eastAsia="Calibri" w:hAnsi="Calibri"/>
                <w:b/>
                <w:bCs/>
                <w:i w:val="false"/>
                <w:iCs w:val="false"/>
                <w:color w:val="14213D"/>
                <w:sz w:val="19"/>
                <w:szCs w:val="19"/>
              </w:rPr>
              <w:t xml:space="preserve">$0</w:t>
            </w:r>
          </w:p>
        </w:tc>
        <w:tc>
          <w:tcPr>
            <w:tcW w:type="dxa" w:w="108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SCP-5.3</w:t>
            </w:r>
          </w:p>
        </w:tc>
        <w:tc>
          <w:tcPr>
            <w:tcW w:type="dxa" w:w="97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r>
      <w:tr>
        <w:trPr>
          <w:tblHeader w:val="false"/>
        </w:trPr>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F4</w:t>
            </w:r>
          </w:p>
        </w:tc>
        <w:tc>
          <w:tcPr>
            <w:tcW w:type="dxa" w:w="590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The policy is reviewed at least every 12 months, and after any substantiated incident, with the review recorded. </w:t>
            </w:r>
            <w:r>
              <w:rPr>
                <w:rFonts w:ascii="Calibri" w:cs="Calibri" w:eastAsia="Calibri" w:hAnsi="Calibri"/>
                <w:b/>
                <w:bCs/>
                <w:i w:val="false"/>
                <w:iCs w:val="false"/>
                <w:color w:val="14213D"/>
                <w:sz w:val="19"/>
                <w:szCs w:val="19"/>
              </w:rPr>
              <w:t xml:space="preserve">$0</w:t>
            </w:r>
          </w:p>
        </w:tc>
        <w:tc>
          <w:tcPr>
            <w:tcW w:type="dxa" w:w="108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SCP-6.3</w:t>
            </w:r>
          </w:p>
        </w:tc>
        <w:tc>
          <w:tcPr>
            <w:tcW w:type="dxa" w:w="97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r>
      <w:tr>
        <w:trPr>
          <w:tblHeader w:val="false"/>
        </w:trPr>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F5</w:t>
            </w:r>
          </w:p>
        </w:tc>
        <w:tc>
          <w:tcPr>
            <w:tcW w:type="dxa" w:w="590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Where an engagement ended after a substantiated safeguarding violation, the organization will not give a reference concealing that fact. </w:t>
            </w:r>
            <w:r>
              <w:rPr>
                <w:rFonts w:ascii="Calibri" w:cs="Calibri" w:eastAsia="Calibri" w:hAnsi="Calibri"/>
                <w:b/>
                <w:bCs/>
                <w:i w:val="false"/>
                <w:iCs w:val="false"/>
                <w:color w:val="14213D"/>
                <w:sz w:val="19"/>
                <w:szCs w:val="19"/>
              </w:rPr>
              <w:t xml:space="preserve">$0</w:t>
            </w:r>
          </w:p>
        </w:tc>
        <w:tc>
          <w:tcPr>
            <w:tcW w:type="dxa" w:w="108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SCP-1.2</w:t>
            </w:r>
          </w:p>
        </w:tc>
        <w:tc>
          <w:tcPr>
            <w:tcW w:type="dxa" w:w="97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w:t>
            </w:r>
          </w:p>
        </w:tc>
      </w:tr>
      <w:tr>
        <w:trPr>
          <w:tblHeader w:val="false"/>
        </w:trPr>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p>
        </w:tc>
        <w:tc>
          <w:tcPr>
            <w:tcW w:type="dxa" w:w="590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bCs/>
                <w:i w:val="false"/>
                <w:iCs w:val="false"/>
                <w:color w:val="14213D"/>
                <w:sz w:val="19"/>
                <w:szCs w:val="19"/>
              </w:rPr>
              <w:t xml:space="preserve">Domain subtotal (out of 5)</w:t>
            </w:r>
          </w:p>
        </w:tc>
        <w:tc>
          <w:tcPr>
            <w:tcW w:type="dxa" w:w="108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p>
        </w:tc>
        <w:tc>
          <w:tcPr>
            <w:tcW w:type="dxa" w:w="97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______</w:t>
            </w:r>
          </w:p>
        </w:tc>
        <w:tc>
          <w:tcPr>
            <w:tcW w:type="dxa" w:w="70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p>
        </w:tc>
      </w:tr>
    </w:tbl>
    <w:p>
      <w:pPr>
        <w:keepNext/>
        <w:pageBreakBefore/>
        <w:spacing w:after="120" w:before="300"/>
      </w:pPr>
      <w:r>
        <w:rPr>
          <w:rFonts w:ascii="Cambria" w:cs="Cambria" w:eastAsia="Cambria" w:hAnsi="Cambria"/>
          <w:b/>
          <w:bCs/>
          <w:i w:val="false"/>
          <w:iCs w:val="false"/>
          <w:color w:val="14213D"/>
          <w:sz w:val="25"/>
          <w:szCs w:val="25"/>
        </w:rPr>
        <w:t xml:space="preserve">Your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72"/>
        <w:gridCol w:w="1593"/>
        <w:gridCol w:w="1195"/>
      </w:tblGrid>
      <w:tr>
        <w:trPr>
          <w:tblHeader/>
        </w:trPr>
        <w:tc>
          <w:tcPr>
            <w:tcW w:type="dxa" w:w="6572"/>
            <w:tcBorders>
              <w:top w:val="single" w:color="C9D3E6" w:sz="4"/>
              <w:left w:val="single" w:color="C9D3E6" w:sz="4"/>
              <w:bottom w:val="single" w:color="C9D3E6" w:sz="4"/>
              <w:right w:val="single" w:color="C9D3E6" w:sz="4"/>
            </w:tcBorders>
            <w:shd w:fill="14213D" w:val="clear"/>
            <w:tcMar>
              <w:top w:type="dxa" w:w="70"/>
              <w:left w:type="dxa" w:w="110"/>
              <w:bottom w:type="dxa" w:w="70"/>
              <w:right w:type="dxa" w:w="110"/>
            </w:tcMar>
          </w:tcPr>
          <w:p>
            <w:pPr>
              <w:spacing w:after="0" w:line="252"/>
            </w:pPr>
            <w:r>
              <w:rPr>
                <w:rFonts w:ascii="Calibri" w:cs="Calibri" w:eastAsia="Calibri" w:hAnsi="Calibri"/>
                <w:b/>
                <w:bCs/>
                <w:i w:val="false"/>
                <w:iCs w:val="false"/>
                <w:color w:val="FFFFFF"/>
                <w:sz w:val="19"/>
                <w:szCs w:val="19"/>
              </w:rPr>
              <w:t xml:space="preserve">Domain</w:t>
            </w:r>
          </w:p>
        </w:tc>
        <w:tc>
          <w:tcPr>
            <w:tcW w:type="dxa" w:w="1593"/>
            <w:tcBorders>
              <w:top w:val="single" w:color="C9D3E6" w:sz="4"/>
              <w:left w:val="single" w:color="C9D3E6" w:sz="4"/>
              <w:bottom w:val="single" w:color="C9D3E6" w:sz="4"/>
              <w:right w:val="single" w:color="C9D3E6" w:sz="4"/>
            </w:tcBorders>
            <w:shd w:fill="14213D" w:val="clear"/>
            <w:tcMar>
              <w:top w:type="dxa" w:w="70"/>
              <w:left w:type="dxa" w:w="110"/>
              <w:bottom w:type="dxa" w:w="70"/>
              <w:right w:type="dxa" w:w="110"/>
            </w:tcMar>
          </w:tcPr>
          <w:p>
            <w:pPr>
              <w:spacing w:after="0" w:line="252"/>
            </w:pPr>
            <w:r>
              <w:rPr>
                <w:rFonts w:ascii="Calibri" w:cs="Calibri" w:eastAsia="Calibri" w:hAnsi="Calibri"/>
                <w:b/>
                <w:bCs/>
                <w:i w:val="false"/>
                <w:iCs w:val="false"/>
                <w:color w:val="FFFFFF"/>
                <w:sz w:val="19"/>
                <w:szCs w:val="19"/>
              </w:rPr>
              <w:t xml:space="preserve">Subtotal</w:t>
            </w:r>
          </w:p>
        </w:tc>
        <w:tc>
          <w:tcPr>
            <w:tcW w:type="dxa" w:w="1195"/>
            <w:tcBorders>
              <w:top w:val="single" w:color="C9D3E6" w:sz="4"/>
              <w:left w:val="single" w:color="C9D3E6" w:sz="4"/>
              <w:bottom w:val="single" w:color="C9D3E6" w:sz="4"/>
              <w:right w:val="single" w:color="C9D3E6" w:sz="4"/>
            </w:tcBorders>
            <w:shd w:fill="14213D" w:val="clear"/>
            <w:tcMar>
              <w:top w:type="dxa" w:w="70"/>
              <w:left w:type="dxa" w:w="110"/>
              <w:bottom w:type="dxa" w:w="70"/>
              <w:right w:type="dxa" w:w="110"/>
            </w:tcMar>
          </w:tcPr>
          <w:p>
            <w:pPr>
              <w:spacing w:after="0" w:line="252"/>
            </w:pPr>
            <w:r>
              <w:rPr>
                <w:rFonts w:ascii="Calibri" w:cs="Calibri" w:eastAsia="Calibri" w:hAnsi="Calibri"/>
                <w:b/>
                <w:bCs/>
                <w:i w:val="false"/>
                <w:iCs w:val="false"/>
                <w:color w:val="FFFFFF"/>
                <w:sz w:val="19"/>
                <w:szCs w:val="19"/>
              </w:rPr>
              <w:t xml:space="preserve">Out of</w:t>
            </w:r>
          </w:p>
        </w:tc>
      </w:tr>
      <w:tr>
        <w:trPr>
          <w:tblHeader w:val="false"/>
        </w:trPr>
        <w:tc>
          <w:tcPr>
            <w:tcW w:type="dxa" w:w="6572"/>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A — Governance and Policy</w:t>
            </w:r>
          </w:p>
        </w:tc>
        <w:tc>
          <w:tcPr>
            <w:tcW w:type="dxa" w:w="1593"/>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______</w:t>
            </w:r>
          </w:p>
        </w:tc>
        <w:tc>
          <w:tcPr>
            <w:tcW w:type="dxa" w:w="119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5</w:t>
            </w:r>
          </w:p>
        </w:tc>
      </w:tr>
      <w:tr>
        <w:trPr>
          <w:tblHeader w:val="false"/>
        </w:trPr>
        <w:tc>
          <w:tcPr>
            <w:tcW w:type="dxa" w:w="6572"/>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B — Code of Conduct</w:t>
            </w:r>
          </w:p>
        </w:tc>
        <w:tc>
          <w:tcPr>
            <w:tcW w:type="dxa" w:w="1593"/>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______</w:t>
            </w:r>
          </w:p>
        </w:tc>
        <w:tc>
          <w:tcPr>
            <w:tcW w:type="dxa" w:w="119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5</w:t>
            </w:r>
          </w:p>
        </w:tc>
      </w:tr>
      <w:tr>
        <w:trPr>
          <w:tblHeader w:val="false"/>
        </w:trPr>
        <w:tc>
          <w:tcPr>
            <w:tcW w:type="dxa" w:w="6572"/>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C — Screening and Recruitment</w:t>
            </w:r>
          </w:p>
        </w:tc>
        <w:tc>
          <w:tcPr>
            <w:tcW w:type="dxa" w:w="1593"/>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______</w:t>
            </w:r>
          </w:p>
        </w:tc>
        <w:tc>
          <w:tcPr>
            <w:tcW w:type="dxa" w:w="119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5</w:t>
            </w:r>
          </w:p>
        </w:tc>
      </w:tr>
      <w:tr>
        <w:trPr>
          <w:tblHeader w:val="false"/>
        </w:trPr>
        <w:tc>
          <w:tcPr>
            <w:tcW w:type="dxa" w:w="6572"/>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D — Training and Awareness</w:t>
            </w:r>
          </w:p>
        </w:tc>
        <w:tc>
          <w:tcPr>
            <w:tcW w:type="dxa" w:w="1593"/>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______</w:t>
            </w:r>
          </w:p>
        </w:tc>
        <w:tc>
          <w:tcPr>
            <w:tcW w:type="dxa" w:w="119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5</w:t>
            </w:r>
          </w:p>
        </w:tc>
      </w:tr>
      <w:tr>
        <w:trPr>
          <w:tblHeader w:val="false"/>
        </w:trPr>
        <w:tc>
          <w:tcPr>
            <w:tcW w:type="dxa" w:w="6572"/>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E — Reporting and Response</w:t>
            </w:r>
          </w:p>
        </w:tc>
        <w:tc>
          <w:tcPr>
            <w:tcW w:type="dxa" w:w="1593"/>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______</w:t>
            </w:r>
          </w:p>
        </w:tc>
        <w:tc>
          <w:tcPr>
            <w:tcW w:type="dxa" w:w="119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7</w:t>
            </w:r>
          </w:p>
        </w:tc>
      </w:tr>
      <w:tr>
        <w:trPr>
          <w:tblHeader w:val="false"/>
        </w:trPr>
        <w:tc>
          <w:tcPr>
            <w:tcW w:type="dxa" w:w="6572"/>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F — Partners, Records, and Review</w:t>
            </w:r>
          </w:p>
        </w:tc>
        <w:tc>
          <w:tcPr>
            <w:tcW w:type="dxa" w:w="1593"/>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______</w:t>
            </w:r>
          </w:p>
        </w:tc>
        <w:tc>
          <w:tcPr>
            <w:tcW w:type="dxa" w:w="119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5</w:t>
            </w:r>
          </w:p>
        </w:tc>
      </w:tr>
      <w:tr>
        <w:trPr>
          <w:tblHeader w:val="false"/>
        </w:trPr>
        <w:tc>
          <w:tcPr>
            <w:tcW w:type="dxa" w:w="6572"/>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bCs/>
                <w:i w:val="false"/>
                <w:iCs w:val="false"/>
                <w:color w:val="14213D"/>
                <w:sz w:val="19"/>
                <w:szCs w:val="19"/>
              </w:rPr>
              <w:t xml:space="preserve">TOTAL</w:t>
            </w:r>
          </w:p>
        </w:tc>
        <w:tc>
          <w:tcPr>
            <w:tcW w:type="dxa" w:w="1593"/>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bCs/>
                <w:i w:val="false"/>
                <w:iCs w:val="false"/>
                <w:color w:val="14213D"/>
                <w:sz w:val="19"/>
                <w:szCs w:val="19"/>
              </w:rPr>
              <w:t xml:space="preserve">______</w:t>
            </w:r>
          </w:p>
        </w:tc>
        <w:tc>
          <w:tcPr>
            <w:tcW w:type="dxa" w:w="119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bCs/>
                <w:i w:val="false"/>
                <w:iCs w:val="false"/>
                <w:color w:val="14213D"/>
                <w:sz w:val="19"/>
                <w:szCs w:val="19"/>
              </w:rPr>
              <w:t xml:space="preserve">32</w:t>
            </w:r>
          </w:p>
        </w:tc>
      </w:tr>
    </w:tbl>
    <w:p>
      <w:pPr>
        <w:spacing w:after="60"/>
      </w:pPr>
    </w:p>
    <w:p>
      <w:pPr>
        <w:keepNext/>
        <w:spacing w:after="120" w:before="300"/>
      </w:pPr>
      <w:r>
        <w:rPr>
          <w:rFonts w:ascii="Cambria" w:cs="Cambria" w:eastAsia="Cambria" w:hAnsi="Cambria"/>
          <w:b/>
          <w:bCs/>
          <w:i w:val="false"/>
          <w:iCs w:val="false"/>
          <w:color w:val="14213D"/>
          <w:sz w:val="25"/>
          <w:szCs w:val="25"/>
        </w:rPr>
        <w:t xml:space="preserve">What Your Score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5"/>
        <w:gridCol w:w="1660"/>
        <w:gridCol w:w="6845"/>
      </w:tblGrid>
      <w:tr>
        <w:trPr>
          <w:tblHeader/>
        </w:trPr>
        <w:tc>
          <w:tcPr>
            <w:tcW w:type="dxa" w:w="855"/>
            <w:tcBorders>
              <w:top w:val="single" w:color="C9D3E6" w:sz="4"/>
              <w:left w:val="single" w:color="C9D3E6" w:sz="4"/>
              <w:bottom w:val="single" w:color="C9D3E6" w:sz="4"/>
              <w:right w:val="single" w:color="C9D3E6" w:sz="4"/>
            </w:tcBorders>
            <w:shd w:fill="14213D" w:val="clear"/>
            <w:tcMar>
              <w:top w:type="dxa" w:w="70"/>
              <w:left w:type="dxa" w:w="110"/>
              <w:bottom w:type="dxa" w:w="70"/>
              <w:right w:type="dxa" w:w="110"/>
            </w:tcMar>
          </w:tcPr>
          <w:p>
            <w:pPr>
              <w:spacing w:after="0" w:line="252"/>
            </w:pPr>
            <w:r>
              <w:rPr>
                <w:rFonts w:ascii="Calibri" w:cs="Calibri" w:eastAsia="Calibri" w:hAnsi="Calibri"/>
                <w:b/>
                <w:bCs/>
                <w:i w:val="false"/>
                <w:iCs w:val="false"/>
                <w:color w:val="FFFFFF"/>
                <w:sz w:val="19"/>
                <w:szCs w:val="19"/>
              </w:rPr>
              <w:t xml:space="preserve">Score</w:t>
            </w:r>
          </w:p>
        </w:tc>
        <w:tc>
          <w:tcPr>
            <w:tcW w:type="dxa" w:w="1660"/>
            <w:tcBorders>
              <w:top w:val="single" w:color="C9D3E6" w:sz="4"/>
              <w:left w:val="single" w:color="C9D3E6" w:sz="4"/>
              <w:bottom w:val="single" w:color="C9D3E6" w:sz="4"/>
              <w:right w:val="single" w:color="C9D3E6" w:sz="4"/>
            </w:tcBorders>
            <w:shd w:fill="14213D" w:val="clear"/>
            <w:tcMar>
              <w:top w:type="dxa" w:w="70"/>
              <w:left w:type="dxa" w:w="110"/>
              <w:bottom w:type="dxa" w:w="70"/>
              <w:right w:type="dxa" w:w="110"/>
            </w:tcMar>
          </w:tcPr>
          <w:p>
            <w:pPr>
              <w:spacing w:after="0" w:line="252"/>
            </w:pPr>
            <w:r>
              <w:rPr>
                <w:rFonts w:ascii="Calibri" w:cs="Calibri" w:eastAsia="Calibri" w:hAnsi="Calibri"/>
                <w:b/>
                <w:bCs/>
                <w:i w:val="false"/>
                <w:iCs w:val="false"/>
                <w:color w:val="FFFFFF"/>
                <w:sz w:val="19"/>
                <w:szCs w:val="19"/>
              </w:rPr>
              <w:t xml:space="preserve">Band</w:t>
            </w:r>
          </w:p>
        </w:tc>
        <w:tc>
          <w:tcPr>
            <w:tcW w:type="dxa" w:w="6845"/>
            <w:tcBorders>
              <w:top w:val="single" w:color="C9D3E6" w:sz="4"/>
              <w:left w:val="single" w:color="C9D3E6" w:sz="4"/>
              <w:bottom w:val="single" w:color="C9D3E6" w:sz="4"/>
              <w:right w:val="single" w:color="C9D3E6" w:sz="4"/>
            </w:tcBorders>
            <w:shd w:fill="14213D" w:val="clear"/>
            <w:tcMar>
              <w:top w:type="dxa" w:w="70"/>
              <w:left w:type="dxa" w:w="110"/>
              <w:bottom w:type="dxa" w:w="70"/>
              <w:right w:type="dxa" w:w="110"/>
            </w:tcMar>
          </w:tcPr>
          <w:p>
            <w:pPr>
              <w:spacing w:after="0" w:line="252"/>
            </w:pPr>
            <w:r>
              <w:rPr>
                <w:rFonts w:ascii="Calibri" w:cs="Calibri" w:eastAsia="Calibri" w:hAnsi="Calibri"/>
                <w:b/>
                <w:bCs/>
                <w:i w:val="false"/>
                <w:iCs w:val="false"/>
                <w:color w:val="FFFFFF"/>
                <w:sz w:val="19"/>
                <w:szCs w:val="19"/>
              </w:rPr>
              <w:t xml:space="preserve">What it means and where to start</w:t>
            </w:r>
          </w:p>
        </w:tc>
      </w:tr>
      <w:tr>
        <w:trPr>
          <w:tblHeader w:val="false"/>
        </w:trPr>
        <w:tc>
          <w:tcPr>
            <w:tcW w:type="dxa" w:w="85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0–12</w:t>
            </w:r>
          </w:p>
        </w:tc>
        <w:tc>
          <w:tcPr>
            <w:tcW w:type="dxa" w:w="166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bCs/>
                <w:i w:val="false"/>
                <w:iCs w:val="false"/>
                <w:color w:val="14213D"/>
                <w:sz w:val="19"/>
                <w:szCs w:val="19"/>
              </w:rPr>
              <w:t xml:space="preserve">Foundational</w:t>
            </w:r>
          </w:p>
        </w:tc>
        <w:tc>
          <w:tcPr>
            <w:tcW w:type="dxa" w:w="684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Your organization has few written safeguarding rules yet and relies mainly on the good judgment of individuals. This is where most small and mid-sized nonprofits begin — it reflects the absence of any general U.S. requirement, not a failure of care. Start with the companion Policy Template's starter policy (Sections 1–3 and 6): one board meeting and one staff orientation, using only the published guides.</w:t>
            </w:r>
          </w:p>
        </w:tc>
      </w:tr>
      <w:tr>
        <w:trPr>
          <w:tblHeader w:val="false"/>
        </w:trPr>
        <w:tc>
          <w:tcPr>
            <w:tcW w:type="dxa" w:w="85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13–21</w:t>
            </w:r>
          </w:p>
        </w:tc>
        <w:tc>
          <w:tcPr>
            <w:tcW w:type="dxa" w:w="166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bCs/>
                <w:i w:val="false"/>
                <w:iCs w:val="false"/>
                <w:color w:val="14213D"/>
                <w:sz w:val="19"/>
                <w:szCs w:val="19"/>
              </w:rPr>
              <w:t xml:space="preserve">Developing</w:t>
            </w:r>
          </w:p>
        </w:tc>
        <w:tc>
          <w:tcPr>
            <w:tcW w:type="dxa" w:w="684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The rules largely exist, but the systems that make them real are uneven — typically screening or training is in place while reporting and records are not. Work through your two lowest domains using the matching sections of the Policy Template and the Training Outlines.</w:t>
            </w:r>
          </w:p>
        </w:tc>
      </w:tr>
      <w:tr>
        <w:trPr>
          <w:tblHeader w:val="false"/>
        </w:trPr>
        <w:tc>
          <w:tcPr>
            <w:tcW w:type="dxa" w:w="85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22–28</w:t>
            </w:r>
          </w:p>
        </w:tc>
        <w:tc>
          <w:tcPr>
            <w:tcW w:type="dxa" w:w="166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bCs/>
                <w:i w:val="false"/>
                <w:iCs w:val="false"/>
                <w:color w:val="14213D"/>
                <w:sz w:val="19"/>
                <w:szCs w:val="19"/>
              </w:rPr>
              <w:t xml:space="preserve">Established</w:t>
            </w:r>
          </w:p>
        </w:tc>
        <w:tc>
          <w:tcPr>
            <w:tcW w:type="dxa" w:w="684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A working safeguarding system is in place. The remaining gaps are usually documentation, partner flow-down, or the annual review cycle — the things that prove the system works to a funder or a board. Close them item by item.</w:t>
            </w:r>
          </w:p>
        </w:tc>
      </w:tr>
      <w:tr>
        <w:trPr>
          <w:tblHeader w:val="false"/>
        </w:trPr>
        <w:tc>
          <w:tcPr>
            <w:tcW w:type="dxa" w:w="85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29–32</w:t>
            </w:r>
          </w:p>
        </w:tc>
        <w:tc>
          <w:tcPr>
            <w:tcW w:type="dxa" w:w="1660"/>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bCs/>
                <w:i w:val="false"/>
                <w:iCs w:val="false"/>
                <w:color w:val="14213D"/>
                <w:sz w:val="19"/>
                <w:szCs w:val="19"/>
              </w:rPr>
              <w:t xml:space="preserve">Advanced</w:t>
            </w:r>
          </w:p>
        </w:tc>
        <w:tc>
          <w:tcPr>
            <w:tcW w:type="dxa" w:w="6845"/>
            <w:tcBorders>
              <w:top w:val="single" w:color="C9D3E6" w:sz="4"/>
              <w:left w:val="single" w:color="C9D3E6" w:sz="4"/>
              <w:bottom w:val="single" w:color="C9D3E6" w:sz="4"/>
              <w:right w:val="single" w:color="C9D3E6" w:sz="4"/>
            </w:tcBorders>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4213D"/>
                <w:sz w:val="19"/>
                <w:szCs w:val="19"/>
              </w:rPr>
              <w:t xml:space="preserve">A comprehensive, documented safeguarding system is in place. Keep the review cycle running, and consider sharing what worked — sector-level practice improves when organizations that have solved this describe how.</w:t>
            </w:r>
          </w:p>
        </w:tc>
      </w:tr>
    </w:tbl>
    <w:p>
      <w:pPr>
        <w:spacing w:after="60"/>
      </w:pPr>
    </w:p>
    <w:p>
      <w:pPr>
        <w:keepNext/>
        <w:spacing w:after="120" w:before="300"/>
      </w:pPr>
      <w:r>
        <w:rPr>
          <w:rFonts w:ascii="Cambria" w:cs="Cambria" w:eastAsia="Cambria" w:hAnsi="Cambria"/>
          <w:b/>
          <w:bCs/>
          <w:i w:val="false"/>
          <w:iCs w:val="false"/>
          <w:color w:val="14213D"/>
          <w:sz w:val="25"/>
          <w:szCs w:val="25"/>
        </w:rPr>
        <w:t xml:space="preserve">Using Your Results</w:t>
      </w:r>
    </w:p>
    <w:p>
      <w:pPr>
        <w:spacing w:after="140" w:line="276"/>
      </w:pPr>
      <w:r>
        <w:rPr>
          <w:rFonts w:ascii="Calibri" w:cs="Calibri" w:eastAsia="Calibri" w:hAnsi="Calibri"/>
          <w:b w:val="false"/>
          <w:bCs w:val="false"/>
          <w:i w:val="false"/>
          <w:iCs w:val="false"/>
          <w:color w:val="14213D"/>
          <w:sz w:val="21"/>
          <w:szCs w:val="21"/>
        </w:rPr>
        <w:t xml:space="preserve">Record the date and the score. Give the board the domain subtotals rather than only the total — a score of 20 built from strong screening and no reporting mechanism is a different organization from one with 20 spread evenly, and the subtotals show which.</w:t>
      </w:r>
    </w:p>
    <w:p>
      <w:pPr>
        <w:spacing w:after="140" w:line="276"/>
      </w:pPr>
      <w:r>
        <w:rPr>
          <w:rFonts w:ascii="Calibri" w:cs="Calibri" w:eastAsia="Calibri" w:hAnsi="Calibri"/>
          <w:b w:val="false"/>
          <w:bCs w:val="false"/>
          <w:i w:val="false"/>
          <w:iCs w:val="false"/>
          <w:color w:val="14213D"/>
          <w:sz w:val="21"/>
          <w:szCs w:val="21"/>
        </w:rPr>
        <w:t xml:space="preserve">Re-run the self-assessment in 12 months, or after any substantiated incident, and compare. A dated pair of scores is among the most useful evidence of progress you can show a funder.</w:t>
      </w:r>
    </w:p>
    <w:p>
      <w:pPr>
        <w:spacing w:after="140" w:line="276"/>
      </w:pPr>
      <w:r>
        <w:rPr>
          <w:rFonts w:ascii="Calibri" w:cs="Calibri" w:eastAsia="Calibri" w:hAnsi="Calibri"/>
          <w:b w:val="false"/>
          <w:bCs w:val="false"/>
          <w:i w:val="false"/>
          <w:iCs w:val="false"/>
          <w:color w:val="14213D"/>
          <w:sz w:val="21"/>
          <w:szCs w:val="21"/>
        </w:rPr>
        <w:t xml:space="preserve">Organizations using these tools may contact the project with questions about the published materials; feedback informs sector-level research on safeguarding readiness. If you are willing to share what worked and what did not, the companion Adopter Feedback Form (Tool 3) takes 15–20 minutes and directly shapes the next published version.</w:t>
      </w:r>
    </w:p>
    <w:p>
      <w:pPr>
        <w:spacing w:after="140" w:line="276"/>
      </w:pPr>
      <w:r>
        <w:rPr>
          <w:rFonts w:ascii="Calibri" w:cs="Calibri" w:eastAsia="Calibri" w:hAnsi="Calibri"/>
          <w:b/>
          <w:bCs/>
          <w:i w:val="false"/>
          <w:iCs w:val="false"/>
          <w:color w:val="14213D"/>
          <w:sz w:val="21"/>
          <w:szCs w:val="21"/>
        </w:rPr>
        <w:t xml:space="preserve">Attribution.</w:t>
      </w:r>
      <w:r>
        <w:rPr>
          <w:rFonts w:ascii="Calibri" w:cs="Calibri" w:eastAsia="Calibri" w:hAnsi="Calibri"/>
          <w:b w:val="false"/>
          <w:bCs w:val="false"/>
          <w:i w:val="false"/>
          <w:iCs w:val="false"/>
          <w:color w:val="14213D"/>
          <w:sz w:val="21"/>
          <w:szCs w:val="21"/>
        </w:rPr>
        <w:t xml:space="preserve"> </w:t>
      </w:r>
      <w:r>
        <w:rPr>
          <w:rFonts w:ascii="Calibri" w:cs="Calibri" w:eastAsia="Calibri" w:hAnsi="Calibri"/>
          <w:b w:val="false"/>
          <w:bCs w:val="false"/>
          <w:i/>
          <w:iCs/>
          <w:color w:val="14213D"/>
          <w:sz w:val="21"/>
          <w:szCs w:val="21"/>
        </w:rPr>
        <w:t xml:space="preserve">This self-assessment is released under CC BY 4.0. Organizations may adapt it freely. Suggested attribution: "Adapted from the U.S. Nonprofit Safeguarding Crosswalk Project, Safeguarding Self-Assessment</w:t>
      </w:r>
      <w:r>
        <w:rPr>
          <w:rFonts w:ascii="Calibri" w:cs="Calibri" w:eastAsia="Calibri" w:hAnsi="Calibri"/>
          <w:b w:val="false"/>
          <w:bCs w:val="false"/>
          <w:i w:val="false"/>
          <w:iCs w:val="false"/>
          <w:color w:val="14213D"/>
          <w:sz w:val="21"/>
          <w:szCs w:val="21"/>
        </w:rPr>
        <w:t xml:space="preserve"> </w:t>
      </w:r>
      <w:r>
        <w:rPr>
          <w:rFonts w:ascii="Calibri" w:cs="Calibri" w:eastAsia="Calibri" w:hAnsi="Calibri"/>
          <w:b w:val="false"/>
          <w:bCs w:val="false"/>
          <w:i/>
          <w:iCs/>
          <w:color w:val="14213D"/>
          <w:sz w:val="21"/>
          <w:szCs w:val="21"/>
        </w:rPr>
        <w:t xml:space="preserve">(Gul, 2026),</w:t>
      </w:r>
      <w:r>
        <w:rPr>
          <w:rFonts w:ascii="Calibri" w:cs="Calibri" w:eastAsia="Calibri" w:hAnsi="Calibri"/>
          <w:b w:val="false"/>
          <w:bCs w:val="false"/>
          <w:i w:val="false"/>
          <w:iCs w:val="false"/>
          <w:color w:val="14213D"/>
          <w:sz w:val="21"/>
          <w:szCs w:val="21"/>
        </w:rPr>
        <w:t xml:space="preserve"> </w:t>
      </w:r>
      <w:r>
        <w:rPr>
          <w:rFonts w:ascii="Calibri" w:cs="Calibri" w:eastAsia="Calibri" w:hAnsi="Calibri"/>
          <w:b w:val="false"/>
          <w:bCs w:val="false"/>
          <w:i/>
          <w:iCs/>
          <w:color w:val="14213D"/>
          <w:sz w:val="21"/>
          <w:szCs w:val="21"/>
        </w:rPr>
        <w:t xml:space="preserve">https://doi.org/10.5281/zenodo.22023885."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20"/>
      <w:gridCol w:w="3120"/>
      <w:gridCol w:w="3120"/>
    </w:tblGrid>
    <w:tr>
      <w:trPr>
        <w:trHeight w:val="60" w:hRule="exact"/>
      </w:trPr>
      <w:tc>
        <w:tcPr>
          <w:tcW w:type="dxa" w:w="3120"/>
          <w:tcBorders>
            <w:top w:val="none" w:color="FFFFFF" w:sz="0"/>
            <w:left w:val="none" w:color="FFFFFF" w:sz="0"/>
            <w:bottom w:val="none" w:color="FFFFFF" w:sz="0"/>
            <w:right w:val="none" w:color="FFFFFF" w:sz="0"/>
          </w:tcBorders>
          <w:shd w:fill="F4845F" w:val="clear"/>
          <w:tcMar>
            <w:top w:type="dxa" w:w="0"/>
            <w:left w:type="dxa" w:w="0"/>
            <w:bottom w:type="dxa" w:w="0"/>
            <w:right w:type="dxa" w:w="0"/>
          </w:tcMar>
        </w:tcPr>
        <w:p>
          <w:pPr>
            <w:spacing w:after="0" w:before="0" w:line="20" w:lineRule="exact"/>
          </w:pPr>
          <w:r>
            <w:rPr>
              <w:sz w:val="2"/>
              <w:szCs w:val="2"/>
            </w:rPr>
            <w:t xml:space="preserve"/>
          </w:r>
        </w:p>
      </w:tc>
      <w:tc>
        <w:tcPr>
          <w:tcW w:type="dxa" w:w="3120"/>
          <w:tcBorders>
            <w:top w:val="none" w:color="FFFFFF" w:sz="0"/>
            <w:left w:val="none" w:color="FFFFFF" w:sz="0"/>
            <w:bottom w:val="none" w:color="FFFFFF" w:sz="0"/>
            <w:right w:val="none" w:color="FFFFFF" w:sz="0"/>
          </w:tcBorders>
          <w:shd w:fill="F6BE2C" w:val="clear"/>
          <w:tcMar>
            <w:top w:type="dxa" w:w="0"/>
            <w:left w:type="dxa" w:w="0"/>
            <w:bottom w:type="dxa" w:w="0"/>
            <w:right w:type="dxa" w:w="0"/>
          </w:tcMar>
        </w:tcPr>
        <w:p>
          <w:pPr>
            <w:spacing w:after="0" w:before="0" w:line="20" w:lineRule="exact"/>
          </w:pPr>
          <w:r>
            <w:rPr>
              <w:sz w:val="2"/>
              <w:szCs w:val="2"/>
            </w:rPr>
            <w:t xml:space="preserve"/>
          </w:r>
        </w:p>
      </w:tc>
      <w:tc>
        <w:tcPr>
          <w:tcW w:type="dxa" w:w="3120"/>
          <w:tcBorders>
            <w:top w:val="none" w:color="FFFFFF" w:sz="0"/>
            <w:left w:val="none" w:color="FFFFFF" w:sz="0"/>
            <w:bottom w:val="none" w:color="FFFFFF" w:sz="0"/>
            <w:right w:val="none" w:color="FFFFFF" w:sz="0"/>
          </w:tcBorders>
          <w:shd w:fill="2EC4B6" w:val="clear"/>
          <w:tcMar>
            <w:top w:type="dxa" w:w="0"/>
            <w:left w:type="dxa" w:w="0"/>
            <w:bottom w:type="dxa" w:w="0"/>
            <w:right w:type="dxa" w:w="0"/>
          </w:tcMar>
        </w:tcPr>
        <w:p>
          <w:pPr>
            <w:spacing w:after="0" w:before="0" w:line="20" w:lineRule="exact"/>
          </w:pPr>
          <w:r>
            <w:rPr>
              <w:sz w:val="2"/>
              <w:szCs w:val="2"/>
            </w:rPr>
            <w:t xml:space="preserve"/>
          </w:r>
        </w:p>
      </w:tc>
    </w:tr>
  </w:tbl>
  <w:p>
    <w:pPr>
      <w:tabs>
        <w:tab w:val="right" w:pos="9360"/>
      </w:tabs>
      <w:spacing w:before="80"/>
    </w:pPr>
    <w:r>
      <w:rPr>
        <w:rFonts w:ascii="Calibri" w:cs="Calibri" w:eastAsia="Calibri" w:hAnsi="Calibri"/>
        <w:color w:val="46546E"/>
        <w:sz w:val="15"/>
        <w:szCs w:val="15"/>
      </w:rPr>
      <w:t xml:space="preserve">U.S. Nonprofit Safeguarding Crosswalk Project · Tool 2 · Updated October 2026 · CC BY 4.0 · pseacrosswalk.org</w:t>
    </w:r>
    <w:r>
      <w:rPr>
        <w:rFonts w:ascii="Calibri" w:cs="Calibri" w:eastAsia="Calibri" w:hAnsi="Calibri"/>
        <w:sz w:val="15"/>
        <w:szCs w:val="15"/>
      </w:rPr>
      <w:t xml:space="preserve">	</w:t>
    </w:r>
    <w:r>
      <w:rPr>
        <w:rFonts w:ascii="Calibri" w:cs="Calibri" w:eastAsia="Calibri" w:hAnsi="Calibri"/>
        <w:color w:val="46546E"/>
        <w:sz w:val="15"/>
        <w:szCs w:val="15"/>
      </w:rPr>
      <w:t xml:space="preserve">Page </w:t>
    </w:r>
    <w:r>
      <w:rPr>
        <w:rFonts w:ascii="Calibri" w:cs="Calibri" w:eastAsia="Calibri" w:hAnsi="Calibri"/>
        <w:color w:val="46546E"/>
        <w:sz w:val="15"/>
        <w:szCs w:val="15"/>
      </w:rPr>
      <w:fldChar w:fldCharType="begin"/>
      <w:instrText xml:space="preserve">PAGE</w:instrText>
      <w:fldChar w:fldCharType="separate"/>
      <w:fldChar w:fldCharType="end"/>
    </w:r>
    <w:r>
      <w:rPr>
        <w:rFonts w:ascii="Calibri" w:cs="Calibri" w:eastAsia="Calibri" w:hAnsi="Calibri"/>
        <w:color w:val="46546E"/>
        <w:sz w:val="15"/>
        <w:szCs w:val="15"/>
      </w:rPr>
      <w:t xml:space="preserve"> of </w:t>
    </w:r>
    <w:r>
      <w:rPr>
        <w:rFonts w:ascii="Calibri" w:cs="Calibri" w:eastAsia="Calibri" w:hAnsi="Calibri"/>
        <w:color w:val="46546E"/>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3a6b6640cf115aeade07a1d4531fddab83163b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2026-10-16T22:11:22.121Z</dcterms:created>
  <dcterms:modified xsi:type="dcterms:W3CDTF">2026-10-16T22:11:22.121Z</dcterms:modified>
</cp:coreProperties>
</file>

<file path=docProps/custom.xml><?xml version="1.0" encoding="utf-8"?>
<Properties xmlns="http://schemas.openxmlformats.org/officeDocument/2006/custom-properties" xmlns:vt="http://schemas.openxmlformats.org/officeDocument/2006/docPropsVTypes"/>
</file>