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6BC27">
      <w:pPr>
        <w:rPr>
          <w:rFonts w:hint="default"/>
          <w:b/>
          <w:bCs/>
          <w:sz w:val="30"/>
          <w:szCs w:val="30"/>
          <w:lang w:val="en-US" w:eastAsia="zh-CN"/>
        </w:rPr>
      </w:pPr>
      <w:r>
        <w:rPr>
          <w:rFonts w:hint="default"/>
          <w:b/>
          <w:bCs/>
          <w:sz w:val="30"/>
          <w:szCs w:val="30"/>
          <w:lang w:val="en-US" w:eastAsia="zh-CN"/>
        </w:rPr>
        <w:t>Market Power and Oligopolistic Dominance in Canada's Grocery Industry: Challenges and Policy Solutions</w:t>
      </w:r>
      <w:r>
        <w:rPr>
          <w:rFonts w:hint="eastAsia"/>
          <w:b/>
          <w:bCs/>
          <w:sz w:val="30"/>
          <w:szCs w:val="30"/>
          <w:lang w:val="en-US" w:eastAsia="zh-CN"/>
        </w:rPr>
        <w:t xml:space="preserve"> --- Shaotong LI</w:t>
      </w:r>
    </w:p>
    <w:p w14:paraId="68A211FA">
      <w:pPr>
        <w:rPr>
          <w:rFonts w:hint="default"/>
          <w:lang w:val="en-US" w:eastAsia="zh-CN"/>
        </w:rPr>
      </w:pPr>
    </w:p>
    <w:p w14:paraId="4E760047">
      <w:pPr>
        <w:rPr>
          <w:rFonts w:hint="default"/>
          <w:lang w:val="en-US" w:eastAsia="zh-CN"/>
        </w:rPr>
      </w:pPr>
      <w:r>
        <w:rPr>
          <w:rFonts w:hint="default"/>
          <w:lang w:val="en-US" w:eastAsia="zh-CN"/>
        </w:rPr>
        <w:t>The Canadian grocery market is highly concentrated, with three major retailers controlling approximately 70% of total sales (Competition Bureau Canada, 2022). This high level of market concentration allows dominant firms to set prices with minimal competitive pressure, reducing overall market efficiency and negatively impacting consumer welfare. Such a market structure is characteristic of an oligopoly, where a few large firms exert significant influence over pricing and output decisions (Tirole, 1988).</w:t>
      </w:r>
    </w:p>
    <w:p w14:paraId="600DE1A9">
      <w:pPr>
        <w:rPr>
          <w:rFonts w:hint="default"/>
          <w:lang w:val="en-US" w:eastAsia="zh-CN"/>
        </w:rPr>
      </w:pPr>
    </w:p>
    <w:p w14:paraId="2EC6CC09">
      <w:pPr>
        <w:rPr>
          <w:rFonts w:hint="default"/>
          <w:b/>
          <w:bCs/>
          <w:sz w:val="28"/>
          <w:szCs w:val="28"/>
          <w:lang w:val="en-US" w:eastAsia="zh-CN"/>
        </w:rPr>
      </w:pPr>
      <w:r>
        <w:rPr>
          <w:rFonts w:hint="default"/>
          <w:b/>
          <w:bCs/>
          <w:sz w:val="28"/>
          <w:szCs w:val="28"/>
          <w:lang w:val="en-US" w:eastAsia="zh-CN"/>
        </w:rPr>
        <w:t>Market Power and Consumer Welfare</w:t>
      </w:r>
    </w:p>
    <w:p w14:paraId="673CE63B">
      <w:pPr>
        <w:rPr>
          <w:rFonts w:hint="default"/>
          <w:lang w:val="en-US" w:eastAsia="zh-CN"/>
        </w:rPr>
      </w:pPr>
    </w:p>
    <w:p w14:paraId="2BD0E993">
      <w:pPr>
        <w:rPr>
          <w:rFonts w:hint="default"/>
          <w:lang w:val="en-US" w:eastAsia="zh-CN"/>
        </w:rPr>
      </w:pPr>
      <w:r>
        <w:rPr>
          <w:rFonts w:hint="default"/>
          <w:lang w:val="en-US" w:eastAsia="zh-CN"/>
        </w:rPr>
        <w:t>To understand the implications of oligopoly in the grocery sector, it is essential to examine market power—the ability of a firm to influence prices by controlling supply (Varian, 1992). Major grocery chains in Canada exhibit strong market power, enabling them to manipulate pricing strategies to maximize profits at the expense of consumer welfare. This results in higher grocery prices and limited consumer choices, which are direct consequences of restricted competition (Competition Bureau Canada, 2021).</w:t>
      </w:r>
    </w:p>
    <w:p w14:paraId="0E7C809D">
      <w:pPr>
        <w:rPr>
          <w:rFonts w:hint="default"/>
          <w:lang w:val="en-US" w:eastAsia="zh-CN"/>
        </w:rPr>
      </w:pPr>
    </w:p>
    <w:p w14:paraId="4207048E">
      <w:pPr>
        <w:rPr>
          <w:rFonts w:hint="default"/>
          <w:lang w:val="en-US" w:eastAsia="zh-CN"/>
        </w:rPr>
      </w:pPr>
      <w:r>
        <w:rPr>
          <w:rFonts w:hint="default"/>
          <w:lang w:val="en-US" w:eastAsia="zh-CN"/>
        </w:rPr>
        <w:t>Oligopolistic markets often lead to allocative inefficiency, where firms set prices based on profit maximization at the point where marginal cost equals marginal revenue, rather than where price equals marginal cost, as would be expected in a perfectly competitive market (Tirole, 1988). This discrepancy results in deadweight loss, reducing total economic efficiency. Furthermore, the inelastic demand for essential grocery items allows dominant firms to raise prices without significant decreases in sales, exacerbating consumer harm (OECD, 2019).</w:t>
      </w:r>
    </w:p>
    <w:p w14:paraId="056CEA71">
      <w:pPr>
        <w:rPr>
          <w:rFonts w:hint="default"/>
          <w:lang w:val="en-US" w:eastAsia="zh-CN"/>
        </w:rPr>
      </w:pPr>
    </w:p>
    <w:p w14:paraId="65292138">
      <w:pPr>
        <w:rPr>
          <w:rFonts w:hint="default"/>
          <w:b/>
          <w:bCs/>
          <w:sz w:val="28"/>
          <w:szCs w:val="28"/>
          <w:lang w:val="en-US" w:eastAsia="zh-CN"/>
        </w:rPr>
      </w:pPr>
      <w:r>
        <w:rPr>
          <w:rFonts w:hint="default"/>
          <w:b/>
          <w:bCs/>
          <w:sz w:val="28"/>
          <w:szCs w:val="28"/>
          <w:lang w:val="en-US" w:eastAsia="zh-CN"/>
        </w:rPr>
        <w:t>Barriers to Market Entry</w:t>
      </w:r>
    </w:p>
    <w:p w14:paraId="56F6CF80">
      <w:pPr>
        <w:rPr>
          <w:rFonts w:hint="default"/>
          <w:lang w:val="en-US" w:eastAsia="zh-CN"/>
        </w:rPr>
      </w:pPr>
    </w:p>
    <w:p w14:paraId="3EF35AA9">
      <w:pPr>
        <w:rPr>
          <w:rFonts w:hint="default"/>
          <w:lang w:val="en-US" w:eastAsia="zh-CN"/>
        </w:rPr>
      </w:pPr>
      <w:r>
        <w:rPr>
          <w:rFonts w:hint="default"/>
          <w:lang w:val="en-US" w:eastAsia="zh-CN"/>
        </w:rPr>
        <w:t>High barriers to entry further entrench the market dominance of large retailers. Established firms benefit from economies of scale, which raise capital costs for new entrants and limit competition (Stigler, 1968). Additional restrictive practices, such as exclusive leasing agreements and brand control, force smaller firms to rely on supply chains controlled by dominant players (Competition Bureau Canada, 2022).</w:t>
      </w:r>
    </w:p>
    <w:p w14:paraId="4BC35F2E">
      <w:pPr>
        <w:rPr>
          <w:rFonts w:hint="default"/>
          <w:lang w:val="en-US" w:eastAsia="zh-CN"/>
        </w:rPr>
      </w:pPr>
    </w:p>
    <w:p w14:paraId="3F19139B">
      <w:pPr>
        <w:rPr>
          <w:rFonts w:hint="default"/>
          <w:lang w:val="en-US" w:eastAsia="zh-CN"/>
        </w:rPr>
      </w:pPr>
      <w:r>
        <w:rPr>
          <w:rFonts w:hint="default"/>
          <w:lang w:val="en-US" w:eastAsia="zh-CN"/>
        </w:rPr>
        <w:t>Another concern is collusion, where large firms—either explicitly or implicitly—coordinate to maintain higher prices and avoid price wars, further limiting competitive pressures (Bresnahan, 1989). Such behaviors reinforce the already concentrated market power, making it increasingly difficult for new players to enter and compete.</w:t>
      </w:r>
    </w:p>
    <w:p w14:paraId="5B6EB913">
      <w:pPr>
        <w:rPr>
          <w:rFonts w:hint="default"/>
          <w:lang w:val="en-US" w:eastAsia="zh-CN"/>
        </w:rPr>
      </w:pPr>
    </w:p>
    <w:p w14:paraId="685A7EB4">
      <w:pPr>
        <w:rPr>
          <w:rFonts w:hint="default"/>
          <w:b/>
          <w:bCs/>
          <w:sz w:val="28"/>
          <w:szCs w:val="28"/>
          <w:lang w:val="en-US" w:eastAsia="zh-CN"/>
        </w:rPr>
      </w:pPr>
      <w:r>
        <w:rPr>
          <w:rFonts w:hint="default"/>
          <w:b/>
          <w:bCs/>
          <w:sz w:val="28"/>
          <w:szCs w:val="28"/>
          <w:lang w:val="en-US" w:eastAsia="zh-CN"/>
        </w:rPr>
        <w:t>Policy Recommendations for Market Reform</w:t>
      </w:r>
    </w:p>
    <w:p w14:paraId="46A14990">
      <w:pPr>
        <w:rPr>
          <w:rFonts w:hint="default"/>
          <w:lang w:val="en-US" w:eastAsia="zh-CN"/>
        </w:rPr>
      </w:pPr>
    </w:p>
    <w:p w14:paraId="3130DC50">
      <w:pPr>
        <w:rPr>
          <w:rFonts w:hint="default"/>
          <w:lang w:val="en-US" w:eastAsia="zh-CN"/>
        </w:rPr>
      </w:pPr>
      <w:r>
        <w:rPr>
          <w:rFonts w:hint="default"/>
          <w:lang w:val="en-US" w:eastAsia="zh-CN"/>
        </w:rPr>
        <w:t>Given the adverse effects of oligopoly in the grocery sector, several policy interventions are necessary:</w:t>
      </w:r>
    </w:p>
    <w:p w14:paraId="056EADC1">
      <w:pPr>
        <w:rPr>
          <w:rFonts w:hint="default"/>
          <w:lang w:val="en-US" w:eastAsia="zh-CN"/>
        </w:rPr>
      </w:pPr>
    </w:p>
    <w:p w14:paraId="436BA83C">
      <w:pPr>
        <w:rPr>
          <w:rFonts w:hint="default"/>
          <w:lang w:val="en-US" w:eastAsia="zh-CN"/>
        </w:rPr>
      </w:pPr>
      <w:r>
        <w:rPr>
          <w:rFonts w:hint="default"/>
          <w:b/>
          <w:bCs/>
          <w:lang w:val="en-US" w:eastAsia="zh-CN"/>
        </w:rPr>
        <w:t>Grocery Innovation Strategy</w:t>
      </w:r>
      <w:r>
        <w:rPr>
          <w:rFonts w:hint="default"/>
          <w:lang w:val="en-US" w:eastAsia="zh-CN"/>
        </w:rPr>
        <w:t xml:space="preserve"> – Encouraging new business models, such as online grocery platforms, can introduce new competition and put downward pressure on prices, ultimately increasing consumer welfare and reducing deadweight loss (OECD, 2019).</w:t>
      </w:r>
    </w:p>
    <w:p w14:paraId="466D357B">
      <w:pPr>
        <w:rPr>
          <w:rFonts w:hint="default"/>
          <w:lang w:val="en-US" w:eastAsia="zh-CN"/>
        </w:rPr>
      </w:pPr>
    </w:p>
    <w:p w14:paraId="2C59EB16">
      <w:pPr>
        <w:rPr>
          <w:rFonts w:hint="default"/>
          <w:lang w:val="en-US" w:eastAsia="zh-CN"/>
        </w:rPr>
      </w:pPr>
      <w:r>
        <w:rPr>
          <w:rFonts w:hint="default"/>
          <w:b/>
          <w:bCs/>
          <w:lang w:val="en-US" w:eastAsia="zh-CN"/>
        </w:rPr>
        <w:t>Financial Support for New Entrants</w:t>
      </w:r>
      <w:r>
        <w:rPr>
          <w:rFonts w:hint="default"/>
          <w:lang w:val="en-US" w:eastAsia="zh-CN"/>
        </w:rPr>
        <w:t xml:space="preserve"> – Government incentives, such as tax breaks for international firms and subsidies for small independent grocers, can help offset high capital costs and encourage market entry, enhancing pricing competition (Competition Bureau Canada, 2022).</w:t>
      </w:r>
    </w:p>
    <w:p w14:paraId="42268814">
      <w:pPr>
        <w:rPr>
          <w:rFonts w:hint="default"/>
          <w:lang w:val="en-US" w:eastAsia="zh-CN"/>
        </w:rPr>
      </w:pPr>
    </w:p>
    <w:p w14:paraId="2A49A1F7">
      <w:pPr>
        <w:rPr>
          <w:rFonts w:hint="default"/>
          <w:lang w:val="en-US" w:eastAsia="zh-CN"/>
        </w:rPr>
      </w:pPr>
      <w:r>
        <w:rPr>
          <w:rFonts w:hint="default"/>
          <w:b/>
          <w:bCs/>
          <w:lang w:val="en-US" w:eastAsia="zh-CN"/>
        </w:rPr>
        <w:t>Standardized Unit Pricing Regulations</w:t>
      </w:r>
      <w:r>
        <w:rPr>
          <w:rFonts w:hint="default"/>
          <w:lang w:val="en-US" w:eastAsia="zh-CN"/>
        </w:rPr>
        <w:t xml:space="preserve"> – Mandating unit pricing requirements can promote price transparency, allowing consumers to compare costs more easily and mitigate the impact of price-setting by dominant players (OECD, 2019). By providing better price information, retailers face greater competitive pressure to adjust prices downward.</w:t>
      </w:r>
    </w:p>
    <w:p w14:paraId="24731900">
      <w:pPr>
        <w:rPr>
          <w:rFonts w:hint="default"/>
          <w:lang w:val="en-US" w:eastAsia="zh-CN"/>
        </w:rPr>
      </w:pPr>
    </w:p>
    <w:p w14:paraId="155A332B">
      <w:pPr>
        <w:rPr>
          <w:rFonts w:hint="default"/>
          <w:lang w:val="en-US" w:eastAsia="zh-CN"/>
        </w:rPr>
      </w:pPr>
      <w:r>
        <w:rPr>
          <w:rFonts w:hint="default"/>
          <w:b/>
          <w:bCs/>
          <w:lang w:val="en-US" w:eastAsia="zh-CN"/>
        </w:rPr>
        <w:t>Regulation of Property Covenants</w:t>
      </w:r>
      <w:r>
        <w:rPr>
          <w:rFonts w:hint="default"/>
          <w:lang w:val="en-US" w:eastAsia="zh-CN"/>
        </w:rPr>
        <w:t xml:space="preserve"> – Many dominant retailers use restrictive property covenants to block competitors from accessing prime retail spaces. Limiting such practices would open the market to new and independent grocers, fostering a more dynamic and competitive environment (Competition Bureau Canada, 2021).</w:t>
      </w:r>
    </w:p>
    <w:p w14:paraId="4B8D308C">
      <w:pPr>
        <w:rPr>
          <w:rFonts w:hint="default"/>
          <w:lang w:val="en-US" w:eastAsia="zh-CN"/>
        </w:rPr>
      </w:pPr>
    </w:p>
    <w:p w14:paraId="42B7E49C">
      <w:pPr>
        <w:rPr>
          <w:rFonts w:hint="default"/>
          <w:lang w:val="en-US" w:eastAsia="zh-CN"/>
        </w:rPr>
      </w:pPr>
      <w:r>
        <w:rPr>
          <w:rFonts w:hint="default"/>
          <w:b/>
          <w:bCs/>
          <w:lang w:val="en-US" w:eastAsia="zh-CN"/>
        </w:rPr>
        <w:t>Conclusion</w:t>
      </w:r>
    </w:p>
    <w:p w14:paraId="5EEC21FD">
      <w:pPr>
        <w:rPr>
          <w:rFonts w:hint="default"/>
          <w:lang w:val="en-US" w:eastAsia="zh-CN"/>
        </w:rPr>
      </w:pPr>
    </w:p>
    <w:p w14:paraId="60AA0A2D">
      <w:pPr>
        <w:rPr>
          <w:rFonts w:hint="default"/>
          <w:lang w:val="en-US" w:eastAsia="zh-CN"/>
        </w:rPr>
      </w:pPr>
      <w:r>
        <w:rPr>
          <w:rFonts w:hint="default"/>
          <w:lang w:val="en-US" w:eastAsia="zh-CN"/>
        </w:rPr>
        <w:t>The Canadian grocery market faces significant challenges due to its oligopolistic structure, which has led to higher consumer prices, fewer choices, and decreased market efficiency. To counteract these effects, policymakers must implement competition-enhancing reforms such as promoting innovation, lowering entry barriers, enforcing unit pricing regulations, and restricting anti-competitive property practices. These measures will ensure a more competitive grocery industry, leading to improved consumer welfare, increased market efficiency, and fairer pricing structures.</w:t>
      </w:r>
    </w:p>
    <w:p w14:paraId="77973101">
      <w:pPr>
        <w:rPr>
          <w:rFonts w:hint="default"/>
          <w:lang w:val="en-US" w:eastAsia="zh-CN"/>
        </w:rPr>
      </w:pPr>
    </w:p>
    <w:p w14:paraId="7BDA5EF2">
      <w:pPr>
        <w:rPr>
          <w:rFonts w:hint="default"/>
          <w:lang w:val="en-US" w:eastAsia="zh-CN"/>
        </w:rPr>
      </w:pPr>
    </w:p>
    <w:p w14:paraId="712FCACC">
      <w:pPr>
        <w:rPr>
          <w:rFonts w:hint="default"/>
          <w:lang w:val="en-US" w:eastAsia="zh-CN"/>
        </w:rPr>
      </w:pPr>
    </w:p>
    <w:p w14:paraId="2E631217">
      <w:pPr>
        <w:rPr>
          <w:rFonts w:hint="default"/>
          <w:lang w:val="en-US" w:eastAsia="zh-CN"/>
        </w:rPr>
      </w:pPr>
    </w:p>
    <w:p w14:paraId="40DB8D7D">
      <w:pPr>
        <w:rPr>
          <w:rFonts w:hint="default"/>
          <w:lang w:val="en-US" w:eastAsia="zh-CN"/>
        </w:rPr>
      </w:pPr>
    </w:p>
    <w:p w14:paraId="69550EA4">
      <w:pPr>
        <w:rPr>
          <w:rFonts w:hint="default"/>
          <w:lang w:val="en-US" w:eastAsia="zh-CN"/>
        </w:rPr>
      </w:pPr>
    </w:p>
    <w:p w14:paraId="3D5C647C">
      <w:pPr>
        <w:rPr>
          <w:rFonts w:hint="default"/>
          <w:lang w:val="en-US" w:eastAsia="zh-CN"/>
        </w:rPr>
      </w:pPr>
    </w:p>
    <w:p w14:paraId="19843AB2">
      <w:pPr>
        <w:rPr>
          <w:rFonts w:hint="default"/>
          <w:lang w:val="en-US" w:eastAsia="zh-CN"/>
        </w:rPr>
      </w:pPr>
    </w:p>
    <w:p w14:paraId="7E449A2A">
      <w:pPr>
        <w:rPr>
          <w:rFonts w:hint="default"/>
          <w:lang w:val="en-US" w:eastAsia="zh-CN"/>
        </w:rPr>
      </w:pPr>
      <w:bookmarkStart w:id="0" w:name="_GoBack"/>
    </w:p>
    <w:bookmarkEnd w:id="0"/>
    <w:p w14:paraId="4B53D701">
      <w:pPr>
        <w:rPr>
          <w:rFonts w:hint="default"/>
          <w:lang w:val="en-US" w:eastAsia="zh-CN"/>
        </w:rPr>
      </w:pPr>
    </w:p>
    <w:p w14:paraId="48AF27C3">
      <w:pPr>
        <w:rPr>
          <w:rFonts w:hint="default"/>
          <w:lang w:val="en-US" w:eastAsia="zh-CN"/>
        </w:rPr>
      </w:pPr>
    </w:p>
    <w:p w14:paraId="6A5A4818">
      <w:pPr>
        <w:rPr>
          <w:rFonts w:hint="default"/>
          <w:lang w:val="en-US" w:eastAsia="zh-CN"/>
        </w:rPr>
      </w:pPr>
    </w:p>
    <w:p w14:paraId="7F6FA6A2">
      <w:pPr>
        <w:rPr>
          <w:rFonts w:hint="default"/>
          <w:lang w:val="en-US" w:eastAsia="zh-CN"/>
        </w:rPr>
      </w:pPr>
    </w:p>
    <w:p w14:paraId="07F418D0">
      <w:pPr>
        <w:rPr>
          <w:rFonts w:hint="eastAsia"/>
          <w:b/>
          <w:bCs/>
          <w:sz w:val="30"/>
          <w:szCs w:val="30"/>
          <w:lang w:val="en-US" w:eastAsia="zh-CN"/>
        </w:rPr>
      </w:pPr>
      <w:r>
        <w:rPr>
          <w:rFonts w:hint="eastAsia"/>
          <w:b/>
          <w:bCs/>
          <w:sz w:val="30"/>
          <w:szCs w:val="30"/>
          <w:lang w:val="en-US" w:eastAsia="zh-CN"/>
        </w:rPr>
        <w:t>Reference：</w:t>
      </w:r>
    </w:p>
    <w:p w14:paraId="03CBA8DD">
      <w:pPr>
        <w:rPr>
          <w:rFonts w:hint="default"/>
          <w:lang w:val="en-US" w:eastAsia="zh-CN"/>
        </w:rPr>
      </w:pPr>
      <w:r>
        <w:rPr>
          <w:rFonts w:hint="eastAsia"/>
          <w:lang w:val="en-US" w:eastAsia="zh-CN"/>
        </w:rPr>
        <w:t>1.</w:t>
      </w:r>
      <w:r>
        <w:rPr>
          <w:rFonts w:hint="default"/>
          <w:lang w:val="en-US" w:eastAsia="zh-CN"/>
        </w:rPr>
        <w:t>Bresnahan, T. F. (1989). Empirical studies of industries with market power. Handbook of Industrial Organization, 2, 1011-1057.</w:t>
      </w:r>
    </w:p>
    <w:p w14:paraId="04E2426F">
      <w:pPr>
        <w:rPr>
          <w:rFonts w:hint="default"/>
          <w:lang w:val="en-US" w:eastAsia="zh-CN"/>
        </w:rPr>
      </w:pPr>
      <w:r>
        <w:rPr>
          <w:rFonts w:hint="eastAsia"/>
          <w:lang w:val="en-US" w:eastAsia="zh-CN"/>
        </w:rPr>
        <w:t>2.</w:t>
      </w:r>
      <w:r>
        <w:rPr>
          <w:rFonts w:hint="default"/>
          <w:lang w:val="en-US" w:eastAsia="zh-CN"/>
        </w:rPr>
        <w:t>Competition Bureau Canada. (2021). The impact of market concentration on grocery prices: Policy considerations. Retrieved from [official website]</w:t>
      </w:r>
    </w:p>
    <w:p w14:paraId="54BAED82">
      <w:pPr>
        <w:rPr>
          <w:rFonts w:hint="default"/>
          <w:lang w:val="en-US" w:eastAsia="zh-CN"/>
        </w:rPr>
      </w:pPr>
      <w:r>
        <w:rPr>
          <w:rFonts w:hint="eastAsia"/>
          <w:lang w:val="en-US" w:eastAsia="zh-CN"/>
        </w:rPr>
        <w:t>3.</w:t>
      </w:r>
      <w:r>
        <w:rPr>
          <w:rFonts w:hint="default"/>
          <w:lang w:val="en-US" w:eastAsia="zh-CN"/>
        </w:rPr>
        <w:t>Competition Bureau Canada. (2022). Canada’s grocery sector: Market concentration and competition. Retrieved from [official website]</w:t>
      </w:r>
    </w:p>
    <w:p w14:paraId="3D526522">
      <w:pPr>
        <w:rPr>
          <w:rFonts w:hint="default"/>
          <w:lang w:val="en-US" w:eastAsia="zh-CN"/>
        </w:rPr>
      </w:pPr>
      <w:r>
        <w:rPr>
          <w:rFonts w:hint="eastAsia"/>
          <w:lang w:val="en-US" w:eastAsia="zh-CN"/>
        </w:rPr>
        <w:t>4.</w:t>
      </w:r>
      <w:r>
        <w:rPr>
          <w:rFonts w:hint="default"/>
          <w:lang w:val="en-US" w:eastAsia="zh-CN"/>
        </w:rPr>
        <w:t>OECD. (2019). Price transparency and market competition: A policy review. Retrieved from [official website]</w:t>
      </w:r>
    </w:p>
    <w:p w14:paraId="1E4F28B3">
      <w:pPr>
        <w:rPr>
          <w:rFonts w:hint="default"/>
          <w:lang w:val="en-US" w:eastAsia="zh-CN"/>
        </w:rPr>
      </w:pPr>
      <w:r>
        <w:rPr>
          <w:rFonts w:hint="eastAsia"/>
          <w:lang w:val="en-US" w:eastAsia="zh-CN"/>
        </w:rPr>
        <w:t>5.</w:t>
      </w:r>
      <w:r>
        <w:rPr>
          <w:rFonts w:hint="default"/>
          <w:lang w:val="en-US" w:eastAsia="zh-CN"/>
        </w:rPr>
        <w:t>Stigler, G. J. (1968). The Organization of Industry. University of Chicago Press.</w:t>
      </w:r>
    </w:p>
    <w:p w14:paraId="30913DDA">
      <w:pPr>
        <w:rPr>
          <w:rFonts w:hint="default"/>
          <w:lang w:val="en-US" w:eastAsia="zh-CN"/>
        </w:rPr>
      </w:pPr>
      <w:r>
        <w:rPr>
          <w:rFonts w:hint="eastAsia"/>
          <w:lang w:val="en-US" w:eastAsia="zh-CN"/>
        </w:rPr>
        <w:t>6.</w:t>
      </w:r>
      <w:r>
        <w:rPr>
          <w:rFonts w:hint="default"/>
          <w:lang w:val="en-US" w:eastAsia="zh-CN"/>
        </w:rPr>
        <w:t>Tirole, J. (1988). The Theory of Industrial Organization. MIT Press.</w:t>
      </w:r>
    </w:p>
    <w:p w14:paraId="0239BA03">
      <w:pPr>
        <w:rPr>
          <w:rFonts w:hint="default"/>
          <w:lang w:val="en-US" w:eastAsia="zh-CN"/>
        </w:rPr>
      </w:pPr>
      <w:r>
        <w:rPr>
          <w:rFonts w:hint="eastAsia"/>
          <w:lang w:val="en-US" w:eastAsia="zh-CN"/>
        </w:rPr>
        <w:t>7.</w:t>
      </w:r>
      <w:r>
        <w:rPr>
          <w:rFonts w:hint="default"/>
          <w:lang w:val="en-US" w:eastAsia="zh-CN"/>
        </w:rPr>
        <w:t>Varian, H. R. (1992). Microeconomic Analysis. W. W. Norton &amp; Company.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966F7"/>
    <w:rsid w:val="140730A7"/>
    <w:rsid w:val="1AF91B43"/>
    <w:rsid w:val="26600825"/>
    <w:rsid w:val="2B9D7E25"/>
    <w:rsid w:val="59140E77"/>
    <w:rsid w:val="623205C0"/>
    <w:rsid w:val="62986934"/>
    <w:rsid w:val="686D3959"/>
    <w:rsid w:val="6EDF387E"/>
    <w:rsid w:val="71140992"/>
    <w:rsid w:val="716D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696</Words>
  <Characters>4470</Characters>
  <Lines>0</Lines>
  <Paragraphs>0</Paragraphs>
  <TotalTime>119</TotalTime>
  <ScaleCrop>false</ScaleCrop>
  <LinksUpToDate>false</LinksUpToDate>
  <CharactersWithSpaces>5141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2024-11-25T21:17:00Z</dcterms:created>
  <dc:creator>李劭同</dc:creator>
  <cp:lastModifiedBy>Scar-20 Rush B</cp:lastModifiedBy>
  <dcterms:modified xsi:type="dcterms:W3CDTF">2025-03-08T15:56:53Z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2D29B9E5DCD14F6C8EB8143232E91A81_12</vt:lpwstr>
  </property>
  <property fmtid="{D5CDD505-2E9C-101B-9397-08002B2CF9AE}" pid="4" name="KSOTemplateDocerSaveRecord">
    <vt:lpwstr>eyJoZGlkIjoiMTVmNWRjZGI5MmE5MmNiNzBlZTg5Mzg4YWUzYzE1NTEiLCJ1c2VySWQiOiIzOTI3MjM3MjUifQ==</vt:lpwstr>
  </property>
</Properties>
</file>