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eastAsia" w:ascii="Times New Roman" w:hAnsi="Times New Roman" w:eastAsia="方正小标宋简体" w:cs="Times New Roman"/>
          <w:sz w:val="44"/>
          <w:szCs w:val="44"/>
          <w:lang w:val="en-US" w:eastAsia="zh-CN"/>
        </w:rPr>
      </w:pPr>
      <w:r>
        <w:rPr>
          <w:rFonts w:hint="eastAsia" w:ascii="Times New Roman" w:hAnsi="Times New Roman" w:eastAsia="方正小标宋_GBK" w:cs="方正小标宋_GBK"/>
          <w:b w:val="0"/>
          <w:bCs w:val="0"/>
          <w:color w:val="000000"/>
          <w:kern w:val="0"/>
          <w:sz w:val="44"/>
          <w:szCs w:val="44"/>
          <w:lang w:val="en-US" w:eastAsia="zh-CN" w:bidi="a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-941070</wp:posOffset>
            </wp:positionH>
            <wp:positionV relativeFrom="paragraph">
              <wp:posOffset>-1009015</wp:posOffset>
            </wp:positionV>
            <wp:extent cx="7560310" cy="10693400"/>
            <wp:effectExtent l="0" t="0" r="0" b="0"/>
            <wp:wrapNone/>
            <wp:docPr id="2" name="图片 2" descr="绍兴市教育局   信笺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绍兴市教育局   信笺"/>
                    <pic:cNvPicPr>
                      <a:picLocks noChangeAspect="true"/>
                    </pic:cNvPicPr>
                  </pic:nvPicPr>
                  <pic:blipFill>
                    <a:blip r:embed="rId5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eastAsia" w:ascii="Times New Roman" w:hAnsi="Times New Roman" w:eastAsia="方正小标宋简体" w:cs="Times New Roman"/>
          <w:sz w:val="44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eastAsia" w:ascii="Times New Roman" w:hAnsi="Times New Roman" w:eastAsia="方正小标宋简体" w:cs="Times New Roman"/>
          <w:sz w:val="44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eastAsia" w:ascii="Times New Roman" w:hAnsi="Times New Roman" w:eastAsia="方正小标宋简体" w:cs="Times New Roman"/>
          <w:sz w:val="44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0" w:firstLineChars="0"/>
        <w:jc w:val="both"/>
        <w:textAlignment w:val="auto"/>
        <w:rPr>
          <w:rFonts w:hint="eastAsia" w:ascii="Times New Roman" w:hAnsi="Times New Roman" w:eastAsia="方正小标宋简体" w:cs="Times New Roman"/>
          <w:sz w:val="44"/>
          <w:szCs w:val="44"/>
          <w:lang w:val="en-US" w:eastAsia="zh-CN"/>
        </w:rPr>
      </w:pPr>
      <w:r>
        <w:rPr>
          <w:rFonts w:hint="eastAsia" w:ascii="Times New Roman" w:hAnsi="Times New Roman" w:eastAsia="方正小标宋简体" w:cs="Times New Roman"/>
          <w:sz w:val="44"/>
          <w:szCs w:val="44"/>
          <w:lang w:val="en-US" w:eastAsia="zh-CN"/>
        </w:rPr>
        <w:t xml:space="preserve">  市直高中</w:t>
      </w:r>
      <w:r>
        <w:rPr>
          <w:rFonts w:hint="default" w:ascii="Times New Roman" w:hAnsi="Times New Roman" w:eastAsia="方正小标宋简体" w:cs="Times New Roman"/>
          <w:sz w:val="44"/>
          <w:szCs w:val="44"/>
          <w:lang w:val="en" w:eastAsia="zh-CN"/>
        </w:rPr>
        <w:t>教学</w:t>
      </w:r>
      <w:r>
        <w:rPr>
          <w:rFonts w:hint="eastAsia" w:ascii="Times New Roman" w:hAnsi="Times New Roman" w:eastAsia="方正小标宋简体" w:cs="Times New Roman"/>
          <w:sz w:val="44"/>
          <w:szCs w:val="44"/>
          <w:lang w:val="en-US" w:eastAsia="zh-CN"/>
        </w:rPr>
        <w:t>调研</w:t>
      </w:r>
      <w:r>
        <w:rPr>
          <w:rFonts w:hint="eastAsia" w:ascii="Times New Roman" w:hAnsi="Times New Roman" w:eastAsia="方正小标宋简体" w:cs="Times New Roman"/>
          <w:sz w:val="44"/>
          <w:szCs w:val="44"/>
          <w:lang w:val="en" w:eastAsia="zh-CN"/>
        </w:rPr>
        <w:t>“</w:t>
      </w:r>
      <w:r>
        <w:rPr>
          <w:rFonts w:hint="default" w:ascii="Times New Roman" w:hAnsi="Times New Roman" w:eastAsia="方正小标宋简体" w:cs="Times New Roman"/>
          <w:sz w:val="44"/>
          <w:szCs w:val="44"/>
          <w:lang w:val="en" w:eastAsia="zh-CN"/>
        </w:rPr>
        <w:t>5533</w:t>
      </w:r>
      <w:r>
        <w:rPr>
          <w:rFonts w:hint="eastAsia" w:ascii="Times New Roman" w:hAnsi="Times New Roman" w:eastAsia="方正小标宋简体" w:cs="Times New Roman"/>
          <w:sz w:val="44"/>
          <w:szCs w:val="44"/>
          <w:lang w:val="en" w:eastAsia="zh-CN"/>
        </w:rPr>
        <w:t>”</w:t>
      </w:r>
      <w:r>
        <w:rPr>
          <w:rFonts w:hint="eastAsia" w:ascii="Times New Roman" w:hAnsi="Times New Roman" w:eastAsia="方正小标宋简体" w:cs="Times New Roman"/>
          <w:sz w:val="44"/>
          <w:szCs w:val="44"/>
          <w:lang w:val="en-US" w:eastAsia="zh-CN"/>
        </w:rPr>
        <w:t>工作清单交办单</w:t>
      </w: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eastAsia" w:ascii="Times New Roman" w:hAnsi="Times New Roman" w:eastAsia="方正小标宋简体" w:cs="Times New Roman"/>
          <w:sz w:val="44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60" w:lineRule="exact"/>
        <w:ind w:right="0" w:rightChars="0"/>
        <w:jc w:val="both"/>
        <w:textAlignment w:val="auto"/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研究院、各市直高中学校：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40" w:firstLineChars="200"/>
        <w:jc w:val="both"/>
        <w:textAlignment w:val="auto"/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根据2022学年第一学期市直高中教学调研情况，现形成调研回头看“5533”工作清单，请对照任务清单整改落实。落实情况请在2022年12月30日前反馈市教育教学研究院。联系人：邵乃军；联系电话：88909397。</w:t>
      </w: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40" w:firstLineChars="200"/>
        <w:jc w:val="both"/>
        <w:textAlignment w:val="auto"/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40" w:firstLineChars="200"/>
        <w:jc w:val="both"/>
        <w:textAlignment w:val="auto"/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附：市直高中</w:t>
      </w:r>
      <w:r>
        <w:rPr>
          <w:rFonts w:hint="default" w:ascii="Times New Roman" w:hAnsi="Times New Roman" w:eastAsia="仿宋_GB2312" w:cs="仿宋_GB2312"/>
          <w:sz w:val="32"/>
          <w:szCs w:val="32"/>
          <w:lang w:val="en" w:eastAsia="zh-CN"/>
        </w:rPr>
        <w:t>教学</w:t>
      </w: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调研</w:t>
      </w:r>
      <w:r>
        <w:rPr>
          <w:rFonts w:hint="eastAsia" w:ascii="Times New Roman" w:hAnsi="Times New Roman" w:eastAsia="仿宋_GB2312" w:cs="仿宋_GB2312"/>
          <w:sz w:val="32"/>
          <w:szCs w:val="32"/>
          <w:lang w:val="en" w:eastAsia="zh-CN"/>
        </w:rPr>
        <w:t>“</w:t>
      </w:r>
      <w:r>
        <w:rPr>
          <w:rFonts w:hint="default" w:ascii="Times New Roman" w:hAnsi="Times New Roman" w:eastAsia="仿宋_GB2312" w:cs="仿宋_GB2312"/>
          <w:sz w:val="32"/>
          <w:szCs w:val="32"/>
          <w:lang w:val="en" w:eastAsia="zh-CN"/>
        </w:rPr>
        <w:t>5533</w:t>
      </w:r>
      <w:r>
        <w:rPr>
          <w:rFonts w:hint="eastAsia" w:ascii="Times New Roman" w:hAnsi="Times New Roman" w:eastAsia="仿宋_GB2312" w:cs="仿宋_GB2312"/>
          <w:sz w:val="32"/>
          <w:szCs w:val="32"/>
          <w:lang w:val="en" w:eastAsia="zh-CN"/>
        </w:rPr>
        <w:t>”</w:t>
      </w: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工作清单</w:t>
      </w: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40" w:firstLineChars="200"/>
        <w:jc w:val="both"/>
        <w:textAlignment w:val="auto"/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 xml:space="preserve">                     绍兴市教育局办公室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 xml:space="preserve">                     2022年10月24</w:t>
      </w:r>
      <w:bookmarkStart w:id="0" w:name="_GoBack"/>
      <w:bookmarkEnd w:id="0"/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日</w:t>
      </w: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40" w:firstLineChars="200"/>
        <w:jc w:val="both"/>
        <w:textAlignment w:val="auto"/>
        <w:rPr>
          <w:rFonts w:hint="eastAsia" w:ascii="Times New Roman" w:hAnsi="Times New Roman" w:eastAsia="方正小标宋简体" w:cs="Times New Roman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40" w:firstLineChars="200"/>
        <w:jc w:val="both"/>
        <w:textAlignment w:val="auto"/>
        <w:rPr>
          <w:rFonts w:hint="eastAsia" w:ascii="Times New Roman" w:hAnsi="Times New Roman" w:eastAsia="方正小标宋简体" w:cs="Times New Roman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40" w:firstLineChars="200"/>
        <w:jc w:val="both"/>
        <w:textAlignment w:val="auto"/>
        <w:rPr>
          <w:rFonts w:hint="eastAsia" w:ascii="Times New Roman" w:hAnsi="Times New Roman" w:eastAsia="方正小标宋简体" w:cs="Times New Roman"/>
          <w:sz w:val="32"/>
          <w:szCs w:val="32"/>
          <w:lang w:val="en-US" w:eastAsia="zh-CN"/>
        </w:rPr>
        <w:sectPr>
          <w:footerReference r:id="rId3" w:type="default"/>
          <w:pgSz w:w="11906" w:h="16838"/>
          <w:pgMar w:top="1587" w:right="1587" w:bottom="1587" w:left="1587" w:header="851" w:footer="1361" w:gutter="0"/>
          <w:pgNumType w:fmt="decimal"/>
          <w:cols w:space="425" w:num="1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eastAsia" w:ascii="Times New Roman" w:hAnsi="Times New Roman" w:eastAsia="方正小标宋简体" w:cs="Times New Roman"/>
          <w:sz w:val="44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eastAsia" w:ascii="Times New Roman" w:hAnsi="Times New Roman" w:eastAsia="方正小标宋简体" w:cs="Times New Roman"/>
          <w:sz w:val="44"/>
          <w:szCs w:val="44"/>
          <w:lang w:val="en-US" w:eastAsia="zh-CN"/>
        </w:rPr>
      </w:pPr>
      <w:r>
        <w:rPr>
          <w:rFonts w:hint="eastAsia" w:ascii="Times New Roman" w:hAnsi="Times New Roman" w:eastAsia="方正小标宋简体" w:cs="Times New Roman"/>
          <w:sz w:val="44"/>
          <w:szCs w:val="44"/>
          <w:lang w:val="en-US" w:eastAsia="zh-CN"/>
        </w:rPr>
        <w:t>市直高中</w:t>
      </w:r>
      <w:r>
        <w:rPr>
          <w:rFonts w:hint="default" w:ascii="Times New Roman" w:hAnsi="Times New Roman" w:eastAsia="方正小标宋简体" w:cs="Times New Roman"/>
          <w:sz w:val="44"/>
          <w:szCs w:val="44"/>
          <w:lang w:val="en" w:eastAsia="zh-CN"/>
        </w:rPr>
        <w:t>教学</w:t>
      </w:r>
      <w:r>
        <w:rPr>
          <w:rFonts w:hint="eastAsia" w:ascii="Times New Roman" w:hAnsi="Times New Roman" w:eastAsia="方正小标宋简体" w:cs="Times New Roman"/>
          <w:sz w:val="44"/>
          <w:szCs w:val="44"/>
          <w:lang w:val="en-US" w:eastAsia="zh-CN"/>
        </w:rPr>
        <w:t>调研</w:t>
      </w:r>
      <w:r>
        <w:rPr>
          <w:rFonts w:hint="eastAsia" w:ascii="Times New Roman" w:hAnsi="Times New Roman" w:eastAsia="方正小标宋简体" w:cs="Times New Roman"/>
          <w:sz w:val="44"/>
          <w:szCs w:val="44"/>
          <w:lang w:val="en" w:eastAsia="zh-CN"/>
        </w:rPr>
        <w:t>“</w:t>
      </w:r>
      <w:r>
        <w:rPr>
          <w:rFonts w:hint="default" w:ascii="Times New Roman" w:hAnsi="Times New Roman" w:eastAsia="方正小标宋简体" w:cs="Times New Roman"/>
          <w:sz w:val="44"/>
          <w:szCs w:val="44"/>
          <w:lang w:val="en" w:eastAsia="zh-CN"/>
        </w:rPr>
        <w:t>5533</w:t>
      </w:r>
      <w:r>
        <w:rPr>
          <w:rFonts w:hint="eastAsia" w:ascii="Times New Roman" w:hAnsi="Times New Roman" w:eastAsia="方正小标宋简体" w:cs="Times New Roman"/>
          <w:sz w:val="44"/>
          <w:szCs w:val="44"/>
          <w:lang w:val="en" w:eastAsia="zh-CN"/>
        </w:rPr>
        <w:t>”</w:t>
      </w:r>
      <w:r>
        <w:rPr>
          <w:rFonts w:hint="eastAsia" w:ascii="Times New Roman" w:hAnsi="Times New Roman" w:eastAsia="方正小标宋简体" w:cs="Times New Roman"/>
          <w:sz w:val="44"/>
          <w:szCs w:val="44"/>
          <w:lang w:val="en-US" w:eastAsia="zh-CN"/>
        </w:rPr>
        <w:t>工作清单</w:t>
      </w: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eastAsia" w:ascii="Times New Roman" w:hAnsi="Times New Roman" w:eastAsia="仿宋_GB2312" w:cs="仿宋_GB2312"/>
          <w:sz w:val="44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60" w:lineRule="exact"/>
        <w:ind w:right="0" w:rightChars="0"/>
        <w:jc w:val="both"/>
        <w:textAlignment w:val="auto"/>
        <w:rPr>
          <w:rFonts w:hint="eastAsia" w:ascii="Times New Roman" w:hAnsi="Times New Roman" w:eastAsia="仿宋_GB2312" w:cs="仿宋_GB2312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28"/>
          <w:szCs w:val="28"/>
          <w:lang w:val="en-US" w:eastAsia="zh-CN"/>
        </w:rPr>
        <w:t>填报单位：                        填报人：                             填报时间：</w:t>
      </w:r>
    </w:p>
    <w:tbl>
      <w:tblPr>
        <w:tblStyle w:val="5"/>
        <w:tblW w:w="1445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2119"/>
        <w:gridCol w:w="5728"/>
        <w:gridCol w:w="2892"/>
        <w:gridCol w:w="28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tblHeader/>
          <w:jc w:val="center"/>
        </w:trPr>
        <w:tc>
          <w:tcPr>
            <w:tcW w:w="8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211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sz w:val="24"/>
                <w:szCs w:val="24"/>
                <w:vertAlign w:val="baseline"/>
                <w:lang w:val="en-US" w:eastAsia="zh-CN"/>
              </w:rPr>
              <w:t>5533大项</w:t>
            </w:r>
          </w:p>
        </w:tc>
        <w:tc>
          <w:tcPr>
            <w:tcW w:w="5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sz w:val="24"/>
                <w:szCs w:val="24"/>
                <w:vertAlign w:val="baseline"/>
                <w:lang w:val="en-US" w:eastAsia="zh-CN"/>
              </w:rPr>
              <w:t>具体内容</w:t>
            </w:r>
          </w:p>
        </w:tc>
        <w:tc>
          <w:tcPr>
            <w:tcW w:w="289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sz w:val="24"/>
                <w:szCs w:val="24"/>
                <w:vertAlign w:val="baseline"/>
                <w:lang w:val="en-US" w:eastAsia="zh-CN"/>
              </w:rPr>
              <w:t>责任单位</w:t>
            </w:r>
          </w:p>
        </w:tc>
        <w:tc>
          <w:tcPr>
            <w:tcW w:w="289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sz w:val="24"/>
                <w:szCs w:val="24"/>
                <w:vertAlign w:val="baseline"/>
                <w:lang w:val="en-US" w:eastAsia="zh-CN"/>
              </w:rPr>
              <w:t>整改落实情况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26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119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研究院“五个一”任务清单</w:t>
            </w:r>
          </w:p>
        </w:tc>
        <w:tc>
          <w:tcPr>
            <w:tcW w:w="5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汉仪书宋二S" w:hAnsi="汉仪书宋二S" w:eastAsia="汉仪书宋二S" w:cs="汉仪书宋二S"/>
                <w:sz w:val="24"/>
                <w:szCs w:val="24"/>
                <w:lang w:val="en-US" w:eastAsia="zh-CN"/>
              </w:rPr>
              <w:t>①</w:t>
            </w: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组织一次学科新高考复习研讨会（落实各学科专家指导报告）</w:t>
            </w:r>
          </w:p>
        </w:tc>
        <w:tc>
          <w:tcPr>
            <w:tcW w:w="289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研究院</w:t>
            </w:r>
          </w:p>
        </w:tc>
        <w:tc>
          <w:tcPr>
            <w:tcW w:w="289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26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211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5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汉仪书宋二S" w:hAnsi="汉仪书宋二S" w:eastAsia="汉仪书宋二S" w:cs="汉仪书宋二S"/>
                <w:sz w:val="24"/>
                <w:szCs w:val="24"/>
                <w:lang w:val="en-US" w:eastAsia="zh-CN"/>
              </w:rPr>
              <w:t>②</w:t>
            </w: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组织一次</w:t>
            </w: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" w:eastAsia="zh-CN"/>
              </w:rPr>
              <w:t>新高考</w:t>
            </w: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校本教研活动</w:t>
            </w:r>
          </w:p>
        </w:tc>
        <w:tc>
          <w:tcPr>
            <w:tcW w:w="289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研究院</w:t>
            </w:r>
          </w:p>
        </w:tc>
        <w:tc>
          <w:tcPr>
            <w:tcW w:w="289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26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211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5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汉仪书宋二S" w:hAnsi="汉仪书宋二S" w:eastAsia="汉仪书宋二S" w:cs="汉仪书宋二S"/>
                <w:sz w:val="24"/>
                <w:szCs w:val="24"/>
                <w:lang w:val="en-US" w:eastAsia="zh-CN"/>
              </w:rPr>
              <w:t>③</w:t>
            </w: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组织一次市直调研回头看</w:t>
            </w:r>
          </w:p>
        </w:tc>
        <w:tc>
          <w:tcPr>
            <w:tcW w:w="289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研究院</w:t>
            </w:r>
          </w:p>
        </w:tc>
        <w:tc>
          <w:tcPr>
            <w:tcW w:w="289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26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211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5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汉仪书宋二S" w:hAnsi="汉仪书宋二S" w:eastAsia="汉仪书宋二S" w:cs="汉仪书宋二S"/>
                <w:sz w:val="24"/>
                <w:szCs w:val="24"/>
                <w:lang w:val="en-US" w:eastAsia="zh-CN"/>
              </w:rPr>
              <w:t>④</w:t>
            </w: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组织一次新高考命题比赛</w:t>
            </w:r>
          </w:p>
        </w:tc>
        <w:tc>
          <w:tcPr>
            <w:tcW w:w="289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研究院</w:t>
            </w:r>
          </w:p>
        </w:tc>
        <w:tc>
          <w:tcPr>
            <w:tcW w:w="289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26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211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5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汉仪书宋二S" w:hAnsi="汉仪书宋二S" w:eastAsia="汉仪书宋二S" w:cs="汉仪书宋二S"/>
                <w:sz w:val="24"/>
                <w:szCs w:val="24"/>
                <w:lang w:val="en-US" w:eastAsia="zh-CN"/>
              </w:rPr>
              <w:t>⑤</w:t>
            </w: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组织一次新高考全市质量调测</w:t>
            </w:r>
          </w:p>
        </w:tc>
        <w:tc>
          <w:tcPr>
            <w:tcW w:w="289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研究院</w:t>
            </w:r>
          </w:p>
        </w:tc>
        <w:tc>
          <w:tcPr>
            <w:tcW w:w="289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26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119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市直学校“五个一”任务清单</w:t>
            </w:r>
          </w:p>
        </w:tc>
        <w:tc>
          <w:tcPr>
            <w:tcW w:w="5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汉仪书宋二S" w:hAnsi="汉仪书宋二S" w:eastAsia="汉仪书宋二S" w:cs="汉仪书宋二S"/>
                <w:sz w:val="24"/>
                <w:szCs w:val="24"/>
                <w:lang w:val="en-US" w:eastAsia="zh-CN"/>
              </w:rPr>
              <w:t>①</w:t>
            </w: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组织一次校内新高考新课程新教材实施情况调研</w:t>
            </w:r>
          </w:p>
        </w:tc>
        <w:tc>
          <w:tcPr>
            <w:tcW w:w="289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市直学校</w:t>
            </w:r>
          </w:p>
        </w:tc>
        <w:tc>
          <w:tcPr>
            <w:tcW w:w="289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26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211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5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汉仪书宋二S" w:hAnsi="汉仪书宋二S" w:eastAsia="汉仪书宋二S" w:cs="汉仪书宋二S"/>
                <w:sz w:val="24"/>
                <w:szCs w:val="24"/>
                <w:lang w:val="en-US" w:eastAsia="zh-CN"/>
              </w:rPr>
              <w:t>②</w:t>
            </w: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组织一次校内教师命题解题和说题比赛</w:t>
            </w:r>
          </w:p>
        </w:tc>
        <w:tc>
          <w:tcPr>
            <w:tcW w:w="289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市直学校</w:t>
            </w:r>
          </w:p>
        </w:tc>
        <w:tc>
          <w:tcPr>
            <w:tcW w:w="289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26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211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5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汉仪书宋二S" w:hAnsi="汉仪书宋二S" w:eastAsia="汉仪书宋二S" w:cs="汉仪书宋二S"/>
                <w:sz w:val="24"/>
                <w:szCs w:val="24"/>
                <w:lang w:val="en-US" w:eastAsia="zh-CN"/>
              </w:rPr>
              <w:t>③</w:t>
            </w: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组织一次新高考新课标新教材课堂教学节</w:t>
            </w:r>
          </w:p>
        </w:tc>
        <w:tc>
          <w:tcPr>
            <w:tcW w:w="289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市直学校</w:t>
            </w:r>
          </w:p>
        </w:tc>
        <w:tc>
          <w:tcPr>
            <w:tcW w:w="289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26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211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5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汉仪书宋二S" w:hAnsi="汉仪书宋二S" w:eastAsia="汉仪书宋二S" w:cs="汉仪书宋二S"/>
                <w:sz w:val="24"/>
                <w:szCs w:val="24"/>
                <w:lang w:val="en-US" w:eastAsia="zh-CN"/>
              </w:rPr>
              <w:t>④</w:t>
            </w: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组织各学科开展一次深度新高考校本教研</w:t>
            </w:r>
          </w:p>
        </w:tc>
        <w:tc>
          <w:tcPr>
            <w:tcW w:w="289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市直学校</w:t>
            </w:r>
          </w:p>
        </w:tc>
        <w:tc>
          <w:tcPr>
            <w:tcW w:w="289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26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211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5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汉仪书宋二S" w:hAnsi="汉仪书宋二S" w:eastAsia="汉仪书宋二S" w:cs="汉仪书宋二S"/>
                <w:sz w:val="24"/>
                <w:szCs w:val="24"/>
                <w:lang w:val="en-US" w:eastAsia="zh-CN"/>
              </w:rPr>
              <w:t>⑤</w:t>
            </w: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组织一次跨校交流（与</w:t>
            </w:r>
            <w:r>
              <w:rPr>
                <w:rFonts w:hint="default" w:ascii="Times New Roman" w:hAnsi="Times New Roman" w:eastAsia="仿宋_GB2312" w:cs="仿宋_GB2312"/>
                <w:sz w:val="24"/>
                <w:szCs w:val="24"/>
                <w:lang w:val="en" w:eastAsia="zh-CN"/>
              </w:rPr>
              <w:t>杭</w:t>
            </w: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" w:eastAsia="zh-CN"/>
              </w:rPr>
              <w:t>甬</w:t>
            </w: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名校或市内同类、同层次学校的联合教研）</w:t>
            </w:r>
          </w:p>
        </w:tc>
        <w:tc>
          <w:tcPr>
            <w:tcW w:w="289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市直学校</w:t>
            </w:r>
          </w:p>
        </w:tc>
        <w:tc>
          <w:tcPr>
            <w:tcW w:w="289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26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119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市直学校“三个”共性问题清单</w:t>
            </w:r>
          </w:p>
        </w:tc>
        <w:tc>
          <w:tcPr>
            <w:tcW w:w="5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汉仪书宋二S" w:hAnsi="汉仪书宋二S" w:eastAsia="汉仪书宋二S" w:cs="汉仪书宋二S"/>
                <w:sz w:val="24"/>
                <w:szCs w:val="24"/>
                <w:lang w:val="en-US" w:eastAsia="zh-CN"/>
              </w:rPr>
              <w:t>①</w:t>
            </w: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在落实校本教研、加强对新课标新教材新高考的研究上欠深入</w:t>
            </w:r>
          </w:p>
        </w:tc>
        <w:tc>
          <w:tcPr>
            <w:tcW w:w="289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市直学校</w:t>
            </w:r>
          </w:p>
        </w:tc>
        <w:tc>
          <w:tcPr>
            <w:tcW w:w="289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26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211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5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汉仪书宋二S" w:hAnsi="汉仪书宋二S" w:eastAsia="汉仪书宋二S" w:cs="汉仪书宋二S"/>
                <w:sz w:val="24"/>
                <w:szCs w:val="24"/>
                <w:lang w:val="en-US" w:eastAsia="zh-CN"/>
              </w:rPr>
              <w:t>②</w:t>
            </w: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在限时训练频度、命题质量和结果应用，提高训练效度上欠优化</w:t>
            </w:r>
          </w:p>
        </w:tc>
        <w:tc>
          <w:tcPr>
            <w:tcW w:w="289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市直学校</w:t>
            </w:r>
          </w:p>
        </w:tc>
        <w:tc>
          <w:tcPr>
            <w:tcW w:w="289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26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211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5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汉仪书宋二S" w:hAnsi="汉仪书宋二S" w:eastAsia="汉仪书宋二S" w:cs="汉仪书宋二S"/>
                <w:sz w:val="24"/>
                <w:szCs w:val="24"/>
                <w:lang w:val="en-US" w:eastAsia="zh-CN"/>
              </w:rPr>
              <w:t>③</w:t>
            </w: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在“双新”背景下课堂学教方式转型、教学PPT和课堂板书使用上欠规范</w:t>
            </w:r>
          </w:p>
        </w:tc>
        <w:tc>
          <w:tcPr>
            <w:tcW w:w="289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市直学校</w:t>
            </w:r>
          </w:p>
        </w:tc>
        <w:tc>
          <w:tcPr>
            <w:tcW w:w="289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26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2119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市直学校“三个”个性问题清单</w:t>
            </w:r>
          </w:p>
        </w:tc>
        <w:tc>
          <w:tcPr>
            <w:tcW w:w="5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①在规划尖子生培养课程、发挥</w:t>
            </w:r>
            <w:r>
              <w:rPr>
                <w:rFonts w:hint="default" w:ascii="Times New Roman" w:hAnsi="Times New Roman" w:eastAsia="仿宋_GB2312" w:cs="仿宋_GB2312"/>
                <w:sz w:val="24"/>
                <w:szCs w:val="24"/>
                <w:lang w:val="en-US" w:eastAsia="zh-CN"/>
              </w:rPr>
              <w:t>尖子生</w:t>
            </w: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学习潜能上欠突出</w:t>
            </w:r>
          </w:p>
        </w:tc>
        <w:tc>
          <w:tcPr>
            <w:tcW w:w="2892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绍兴一中</w:t>
            </w:r>
          </w:p>
        </w:tc>
        <w:tc>
          <w:tcPr>
            <w:tcW w:w="289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26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211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5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②在加强研究和科学应对知名高校强基计划问题上欠冒尖</w:t>
            </w:r>
          </w:p>
        </w:tc>
        <w:tc>
          <w:tcPr>
            <w:tcW w:w="289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289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26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211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5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③在推进作业校本化、教辅资料电子化过程中，对有效把控质量问题上欠深入</w:t>
            </w:r>
          </w:p>
        </w:tc>
        <w:tc>
          <w:tcPr>
            <w:tcW w:w="289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289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26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211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5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①青年教师偏多，在对青年教师培养问题上欠有效</w:t>
            </w:r>
          </w:p>
        </w:tc>
        <w:tc>
          <w:tcPr>
            <w:tcW w:w="2892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阳明中学</w:t>
            </w:r>
          </w:p>
        </w:tc>
        <w:tc>
          <w:tcPr>
            <w:tcW w:w="289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26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211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5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②在有效发挥大数据均值增值评价方式，扩大优秀生绝对人数问题上欠凸显</w:t>
            </w:r>
          </w:p>
        </w:tc>
        <w:tc>
          <w:tcPr>
            <w:tcW w:w="289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289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26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211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5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③在课程设置上欠合理规范（心理、美术、音乐</w:t>
            </w:r>
            <w:r>
              <w:rPr>
                <w:rFonts w:hint="default" w:ascii="Times New Roman" w:hAnsi="Times New Roman" w:eastAsia="仿宋_GB2312" w:cs="仿宋_GB2312"/>
                <w:sz w:val="24"/>
                <w:szCs w:val="24"/>
                <w:lang w:val="en-US" w:eastAsia="zh-CN"/>
              </w:rPr>
              <w:t>课时</w:t>
            </w: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未按国家课标要求开设）</w:t>
            </w:r>
          </w:p>
        </w:tc>
        <w:tc>
          <w:tcPr>
            <w:tcW w:w="289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289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26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211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5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①</w:t>
            </w:r>
            <w:r>
              <w:rPr>
                <w:rFonts w:hint="default" w:ascii="Times New Roman" w:hAnsi="Times New Roman" w:eastAsia="仿宋_GB2312" w:cs="仿宋_GB2312"/>
                <w:sz w:val="24"/>
                <w:szCs w:val="24"/>
                <w:lang w:val="en-US" w:eastAsia="zh-CN"/>
              </w:rPr>
              <w:t>学科教师群体年龄整体偏大，</w:t>
            </w: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在教师队伍积极性激发上效果不明显</w:t>
            </w:r>
          </w:p>
        </w:tc>
        <w:tc>
          <w:tcPr>
            <w:tcW w:w="2892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稽山中学</w:t>
            </w:r>
          </w:p>
        </w:tc>
        <w:tc>
          <w:tcPr>
            <w:tcW w:w="289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26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211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5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②没有形成校本研训常态化机制，未形成校本研训定时间、定地点、定主题、定规范的机制</w:t>
            </w:r>
          </w:p>
        </w:tc>
        <w:tc>
          <w:tcPr>
            <w:tcW w:w="289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289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26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211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5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③选课组班工作不够科学合理（安排3位教师参与高二3个生物走班教学，导致教师工作量不足，出现不必要跨年段教学的情况）</w:t>
            </w:r>
          </w:p>
        </w:tc>
        <w:tc>
          <w:tcPr>
            <w:tcW w:w="289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289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26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211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5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①</w:t>
            </w:r>
            <w:r>
              <w:rPr>
                <w:rFonts w:hint="default" w:ascii="Times New Roman" w:hAnsi="Times New Roman" w:eastAsia="仿宋_GB2312" w:cs="仿宋_GB2312"/>
                <w:sz w:val="24"/>
                <w:szCs w:val="24"/>
                <w:lang w:val="en-US" w:eastAsia="zh-CN"/>
              </w:rPr>
              <w:t>三年教学安排</w:t>
            </w: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统筹欠合理（信息技术</w:t>
            </w:r>
            <w:r>
              <w:rPr>
                <w:rFonts w:hint="default" w:ascii="Times New Roman" w:hAnsi="Times New Roman" w:eastAsia="仿宋_GB2312" w:cs="仿宋_GB2312"/>
                <w:sz w:val="24"/>
                <w:szCs w:val="24"/>
                <w:lang w:val="en-US" w:eastAsia="zh-CN"/>
              </w:rPr>
              <w:t>在高二中断，对学生知识掌握</w:t>
            </w: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造成</w:t>
            </w:r>
            <w:r>
              <w:rPr>
                <w:rFonts w:hint="default" w:ascii="Times New Roman" w:hAnsi="Times New Roman" w:eastAsia="仿宋_GB2312" w:cs="仿宋_GB2312"/>
                <w:sz w:val="24"/>
                <w:szCs w:val="24"/>
                <w:lang w:val="en-US" w:eastAsia="zh-CN"/>
              </w:rPr>
              <w:t>一定影响</w:t>
            </w: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；高二物理教学进度落后其他学校一个月课时）</w:t>
            </w:r>
          </w:p>
        </w:tc>
        <w:tc>
          <w:tcPr>
            <w:tcW w:w="2892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高级中学</w:t>
            </w:r>
          </w:p>
        </w:tc>
        <w:tc>
          <w:tcPr>
            <w:tcW w:w="289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26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211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5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②没有形成校本研训常态化机制，未形成校本研训定时间、定地点、定主题、定规范的机制</w:t>
            </w:r>
          </w:p>
        </w:tc>
        <w:tc>
          <w:tcPr>
            <w:tcW w:w="289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289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26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211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5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③省一级心理辅导站尚未创建成功</w:t>
            </w:r>
          </w:p>
        </w:tc>
        <w:tc>
          <w:tcPr>
            <w:tcW w:w="289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289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26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211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5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①教师教科研积极性不高，导致论文、课题审报和获奖相对偏少</w:t>
            </w:r>
          </w:p>
        </w:tc>
        <w:tc>
          <w:tcPr>
            <w:tcW w:w="2892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越州中学</w:t>
            </w:r>
          </w:p>
        </w:tc>
        <w:tc>
          <w:tcPr>
            <w:tcW w:w="289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26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211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5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②在探索和加强偏科学生的分层次教学及发展指导、有效激发学生学习积极性上效果不明显</w:t>
            </w:r>
          </w:p>
        </w:tc>
        <w:tc>
          <w:tcPr>
            <w:tcW w:w="289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289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26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211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572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  <w:t>③在加强对体育、艺术、传媒特长生培养上优势不够凸显</w:t>
            </w:r>
          </w:p>
        </w:tc>
        <w:tc>
          <w:tcPr>
            <w:tcW w:w="289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289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_GB2312"/>
                <w:sz w:val="24"/>
                <w:szCs w:val="24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仿宋_GB2312" w:cs="仿宋_GB2312"/>
          <w:sz w:val="24"/>
          <w:szCs w:val="24"/>
          <w:vertAlign w:val="baseline"/>
          <w:lang w:val="en-US" w:eastAsia="zh-CN"/>
        </w:rPr>
      </w:pPr>
    </w:p>
    <w:sectPr>
      <w:pgSz w:w="16838" w:h="11906" w:orient="landscape"/>
      <w:pgMar w:top="1587" w:right="1587" w:bottom="1587" w:left="1587" w:header="851" w:footer="1361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汉仪书宋二S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  <w:rPr>
                              <w:rFonts w:ascii="Times New Roman" w:hAnsi="Times New Roman" w:eastAsiaTheme="minorEastAsia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eastAsiaTheme="minorEastAsia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Theme="minorEastAsia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eastAsiaTheme="minorEastAsia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Theme="minorEastAsia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Times New Roman" w:hAnsi="Times New Roman" w:eastAsiaTheme="minorEastAsia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upright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FgAAAGRycy9QSwECFAAUAAAACACH&#10;TuJAs0lY7tAAAAAFAQAADwAAAAAAAAABACAAAAA4AAAAZHJzL2Rvd25yZXYueG1sUEsBAhQAFAAA&#10;AAgAh07iQCYa0m4aAgAAKQQAAA4AAAAAAAAAAQAgAAAANQ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ascii="Times New Roman" w:hAnsi="Times New Roman" w:eastAsiaTheme="minorEastAsia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eastAsiaTheme="minorEastAsia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ascii="Times New Roman" w:hAnsi="Times New Roman" w:eastAsiaTheme="minorEastAsia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eastAsiaTheme="minorEastAsia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ascii="Times New Roman" w:hAnsi="Times New Roman" w:eastAsiaTheme="minorEastAsia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Times New Roman" w:hAnsi="Times New Roman" w:eastAsiaTheme="minorEastAsia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false"/>
  <w:bordersDoNotSurroundFooter w:val="false"/>
  <w:documentProtection w:enforcement="0"/>
  <w:defaultTabStop w:val="420"/>
  <w:drawingGridVerticalSpacing w:val="156"/>
  <w:displayHorizontalDrawingGridEvery w:val="1"/>
  <w:displayVerticalDrawingGridEvery w:val="1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I3ZjQwZmJkOTM3YzY5NDEyZmQyYWNiY2JhYWY4ZGIifQ=="/>
  </w:docVars>
  <w:rsids>
    <w:rsidRoot w:val="693C1EA9"/>
    <w:rsid w:val="011E1FE4"/>
    <w:rsid w:val="051F79B2"/>
    <w:rsid w:val="0BFE98F2"/>
    <w:rsid w:val="13B660AC"/>
    <w:rsid w:val="16F00789"/>
    <w:rsid w:val="1B77B5DB"/>
    <w:rsid w:val="1C7E42B5"/>
    <w:rsid w:val="282346FA"/>
    <w:rsid w:val="2CD8B7E2"/>
    <w:rsid w:val="355DB2D0"/>
    <w:rsid w:val="36622EB0"/>
    <w:rsid w:val="3CBE1B94"/>
    <w:rsid w:val="3F7F9C10"/>
    <w:rsid w:val="4EF9413A"/>
    <w:rsid w:val="4FD545FA"/>
    <w:rsid w:val="5DFD3C5A"/>
    <w:rsid w:val="602264C9"/>
    <w:rsid w:val="61AF1C6F"/>
    <w:rsid w:val="63FC5B0F"/>
    <w:rsid w:val="678F5095"/>
    <w:rsid w:val="693C1EA9"/>
    <w:rsid w:val="6BE6642B"/>
    <w:rsid w:val="6DFE9C25"/>
    <w:rsid w:val="6F101C89"/>
    <w:rsid w:val="6F1918D1"/>
    <w:rsid w:val="73D2F4F1"/>
    <w:rsid w:val="76FF2AAE"/>
    <w:rsid w:val="77FFD450"/>
    <w:rsid w:val="797CC7F3"/>
    <w:rsid w:val="79D0629D"/>
    <w:rsid w:val="79FD8E5D"/>
    <w:rsid w:val="7BD7ADF8"/>
    <w:rsid w:val="7DD5F4D2"/>
    <w:rsid w:val="7E6F9BE0"/>
    <w:rsid w:val="7EAF3BBC"/>
    <w:rsid w:val="7F1F0455"/>
    <w:rsid w:val="7F3EC040"/>
    <w:rsid w:val="7FAFD0D0"/>
    <w:rsid w:val="7FD743E1"/>
    <w:rsid w:val="7FF329B6"/>
    <w:rsid w:val="7FFFB371"/>
    <w:rsid w:val="9B9D544C"/>
    <w:rsid w:val="9F5B66B3"/>
    <w:rsid w:val="B97F518A"/>
    <w:rsid w:val="BFDAAA3D"/>
    <w:rsid w:val="CF673268"/>
    <w:rsid w:val="DFFF8643"/>
    <w:rsid w:val="E58788A1"/>
    <w:rsid w:val="E7F10FE9"/>
    <w:rsid w:val="E9C67D78"/>
    <w:rsid w:val="EF79FD7F"/>
    <w:rsid w:val="F3D40FC4"/>
    <w:rsid w:val="F6675473"/>
    <w:rsid w:val="F9F76A13"/>
    <w:rsid w:val="FD2FB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1045</Words>
  <Characters>1061</Characters>
  <Lines>0</Lines>
  <Paragraphs>0</Paragraphs>
  <TotalTime>0</TotalTime>
  <ScaleCrop>false</ScaleCrop>
  <LinksUpToDate>false</LinksUpToDate>
  <CharactersWithSpaces>1080</CharactersWithSpaces>
  <Application>WPS Office_11.8.2.10422_F1E327BC-269C-435d-A152-05C5408002CA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2021-08-26T02:05:00Z</dcterms:created>
  <dc:creator>妮子</dc:creator>
  <cp:lastModifiedBy>user</cp:lastModifiedBy>
  <cp:lastPrinted>2022-10-24T15:25:29Z</cp:lastPrinted>
  <dcterms:modified xsi:type="dcterms:W3CDTF">2022-10-24T15:28:05Z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2052-11.8.2.10422</vt:lpwstr>
  </property>
  <property fmtid="{D5CDD505-2E9C-101B-9397-08002B2CF9AE}" pid="3" name="ICV">
    <vt:lpwstr>719A21273C354E67B630243B1A631BB0</vt:lpwstr>
  </property>
</Properties>
</file>