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0A9E2">
      <w:pPr>
        <w:adjustRightInd w:val="0"/>
        <w:snapToGrid w:val="0"/>
        <w:ind w:left="-359" w:leftChars="-171" w:right="-649" w:rightChars="-309"/>
        <w:jc w:val="center"/>
        <w:rPr>
          <w:rFonts w:ascii="黑体" w:hAnsi="黑体" w:eastAsia="黑体"/>
          <w:b/>
          <w:color w:val="000000"/>
          <w:sz w:val="36"/>
        </w:rPr>
      </w:pPr>
      <w:bookmarkStart w:id="0" w:name="OLE_LINK12"/>
      <w:r>
        <w:rPr>
          <w:rFonts w:hint="eastAsia" w:ascii="黑体" w:hAnsi="黑体" w:eastAsia="黑体"/>
          <w:b/>
          <w:color w:val="000000"/>
          <w:spacing w:val="30"/>
          <w:sz w:val="36"/>
          <w:szCs w:val="32"/>
        </w:rPr>
        <w:t>学术荣誉申报对象业绩量化表</w:t>
      </w:r>
      <w:bookmarkEnd w:id="0"/>
      <w:r>
        <w:rPr>
          <w:rFonts w:hint="eastAsia" w:ascii="黑体" w:hAnsi="黑体" w:eastAsia="黑体"/>
          <w:b/>
          <w:color w:val="000000"/>
          <w:spacing w:val="30"/>
          <w:sz w:val="36"/>
          <w:szCs w:val="32"/>
        </w:rPr>
        <w:t>（学校评比用表）</w:t>
      </w:r>
    </w:p>
    <w:p w14:paraId="71A2473E">
      <w:pPr>
        <w:adjustRightInd w:val="0"/>
        <w:snapToGrid w:val="0"/>
        <w:spacing w:line="200" w:lineRule="exact"/>
      </w:pPr>
    </w:p>
    <w:p w14:paraId="5026DFF2">
      <w:pPr>
        <w:adjustRightInd w:val="0"/>
        <w:snapToGrid w:val="0"/>
        <w:spacing w:after="156" w:afterLines="50"/>
        <w:ind w:left="-359" w:leftChars="-171" w:right="-649" w:rightChars="-309"/>
        <w:rPr>
          <w:rFonts w:ascii="楷体" w:hAnsi="楷体" w:eastAsia="楷体"/>
          <w:b/>
          <w:color w:val="000000"/>
          <w:u w:val="single"/>
        </w:rPr>
      </w:pPr>
      <w:r>
        <w:rPr>
          <w:rFonts w:hint="eastAsia" w:ascii="楷体" w:hAnsi="楷体" w:eastAsia="楷体"/>
          <w:b/>
          <w:color w:val="000000"/>
        </w:rPr>
        <w:t>姓名：</w:t>
      </w:r>
      <w:r>
        <w:rPr>
          <w:rFonts w:hint="eastAsia" w:ascii="楷体" w:hAnsi="楷体" w:eastAsia="楷体"/>
          <w:b/>
          <w:color w:val="000000"/>
          <w:u w:val="single"/>
        </w:rPr>
        <w:t xml:space="preserve">  </w:t>
      </w:r>
      <w:r>
        <w:rPr>
          <w:rFonts w:hint="eastAsia" w:ascii="楷体" w:hAnsi="楷体" w:eastAsia="楷体"/>
          <w:b/>
          <w:color w:val="000000"/>
          <w:u w:val="single"/>
          <w:lang w:val="en-US" w:eastAsia="zh-CN"/>
        </w:rPr>
        <w:t xml:space="preserve">         </w:t>
      </w:r>
      <w:r>
        <w:rPr>
          <w:rFonts w:hint="eastAsia" w:ascii="楷体" w:hAnsi="楷体" w:eastAsia="楷体"/>
          <w:b/>
          <w:color w:val="000000"/>
          <w:u w:val="single"/>
        </w:rPr>
        <w:t xml:space="preserve">     </w:t>
      </w:r>
      <w:r>
        <w:rPr>
          <w:rFonts w:hint="eastAsia" w:ascii="楷体" w:hAnsi="楷体" w:eastAsia="楷体"/>
          <w:b/>
          <w:color w:val="000000"/>
        </w:rPr>
        <w:t xml:space="preserve">  填写时间：</w:t>
      </w:r>
      <w:r>
        <w:rPr>
          <w:rFonts w:hint="eastAsia" w:ascii="楷体" w:hAnsi="楷体" w:eastAsia="楷体"/>
          <w:b/>
          <w:color w:val="000000"/>
          <w:u w:val="single"/>
        </w:rPr>
        <w:t xml:space="preserve"> </w:t>
      </w:r>
      <w:r>
        <w:rPr>
          <w:rFonts w:hint="eastAsia" w:ascii="楷体" w:hAnsi="楷体" w:eastAsia="楷体"/>
          <w:b/>
          <w:color w:val="000000"/>
          <w:u w:val="single"/>
          <w:lang w:val="en-US" w:eastAsia="zh-CN"/>
        </w:rPr>
        <w:t xml:space="preserve">             </w:t>
      </w:r>
      <w:r>
        <w:rPr>
          <w:rFonts w:hint="eastAsia" w:ascii="楷体" w:hAnsi="楷体" w:eastAsia="楷体"/>
          <w:b/>
          <w:color w:val="000000"/>
          <w:u w:val="single"/>
        </w:rPr>
        <w:t xml:space="preserve"> </w:t>
      </w:r>
    </w:p>
    <w:tbl>
      <w:tblPr>
        <w:tblStyle w:val="4"/>
        <w:tblW w:w="21765" w:type="dxa"/>
        <w:tblInd w:w="-36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709"/>
        <w:gridCol w:w="406"/>
        <w:gridCol w:w="7334"/>
        <w:gridCol w:w="4635"/>
        <w:gridCol w:w="6619"/>
        <w:gridCol w:w="709"/>
        <w:gridCol w:w="851"/>
      </w:tblGrid>
      <w:tr w14:paraId="64EB1A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 w:hRule="atLeast"/>
        </w:trPr>
        <w:tc>
          <w:tcPr>
            <w:tcW w:w="50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A7A2FB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基本</w:t>
            </w:r>
          </w:p>
          <w:p w14:paraId="07AAACE8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部分</w:t>
            </w:r>
          </w:p>
        </w:tc>
        <w:tc>
          <w:tcPr>
            <w:tcW w:w="7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B94612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评价</w:t>
            </w:r>
          </w:p>
          <w:p w14:paraId="2AFAF31E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内容</w:t>
            </w:r>
          </w:p>
        </w:tc>
        <w:tc>
          <w:tcPr>
            <w:tcW w:w="40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83E999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权重</w:t>
            </w:r>
          </w:p>
        </w:tc>
        <w:tc>
          <w:tcPr>
            <w:tcW w:w="733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961D09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评    价    标    准</w:t>
            </w:r>
          </w:p>
        </w:tc>
        <w:tc>
          <w:tcPr>
            <w:tcW w:w="4635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39DE537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评分标准说明</w:t>
            </w:r>
          </w:p>
        </w:tc>
        <w:tc>
          <w:tcPr>
            <w:tcW w:w="661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vAlign w:val="center"/>
          </w:tcPr>
          <w:p w14:paraId="575EC8CB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依      据</w:t>
            </w:r>
            <w:r>
              <w:rPr>
                <w:rFonts w:hint="eastAsia" w:ascii="仿宋" w:hAnsi="仿宋" w:eastAsia="仿宋"/>
                <w:b/>
                <w:bCs/>
                <w:snapToGrid w:val="0"/>
                <w:color w:val="auto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/>
                <w:bCs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注明获奖时间、奖项名称、对应分值，</w:t>
            </w:r>
          </w:p>
          <w:p w14:paraId="329A515A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按照每一个项目中的每一个小点进行分类汇总，计算总分</w:t>
            </w:r>
            <w:r>
              <w:rPr>
                <w:rFonts w:hint="eastAsia" w:ascii="仿宋" w:hAnsi="仿宋" w:eastAsia="仿宋"/>
                <w:b/>
                <w:bCs/>
                <w:snapToGrid w:val="0"/>
                <w:color w:val="auto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7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95390E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自评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8FBD1E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校级</w:t>
            </w:r>
          </w:p>
        </w:tc>
      </w:tr>
      <w:tr w14:paraId="5D4622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8" w:hRule="atLeast"/>
        </w:trPr>
        <w:tc>
          <w:tcPr>
            <w:tcW w:w="502" w:type="dxa"/>
            <w:tcBorders>
              <w:top w:val="single" w:color="auto" w:sz="12" w:space="0"/>
            </w:tcBorders>
            <w:vAlign w:val="center"/>
          </w:tcPr>
          <w:p w14:paraId="422D2292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一</w:t>
            </w:r>
          </w:p>
        </w:tc>
        <w:tc>
          <w:tcPr>
            <w:tcW w:w="709" w:type="dxa"/>
            <w:tcBorders>
              <w:top w:val="single" w:color="auto" w:sz="12" w:space="0"/>
            </w:tcBorders>
            <w:vAlign w:val="center"/>
          </w:tcPr>
          <w:p w14:paraId="6B4D35DB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工作量（5）</w:t>
            </w:r>
          </w:p>
        </w:tc>
        <w:tc>
          <w:tcPr>
            <w:tcW w:w="406" w:type="dxa"/>
            <w:tcBorders>
              <w:top w:val="single" w:color="auto" w:sz="12" w:space="0"/>
            </w:tcBorders>
            <w:vAlign w:val="center"/>
          </w:tcPr>
          <w:p w14:paraId="08D47712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5</w:t>
            </w:r>
          </w:p>
        </w:tc>
        <w:tc>
          <w:tcPr>
            <w:tcW w:w="7334" w:type="dxa"/>
            <w:tcBorders>
              <w:top w:val="single" w:color="auto" w:sz="12" w:space="0"/>
            </w:tcBorders>
            <w:vAlign w:val="center"/>
          </w:tcPr>
          <w:p w14:paraId="2E020409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本年度①承担班主任工作加3分；②承担学科竞赛主教练工作的加3分，辅助竞赛教学工作的加1分；③承担校中层领导、年段长、学科主任（或备课组长）工作加3分；④承担素养班（分层班）高考学科教学工作，加1分。本学期⑤一学期来，承担学校困难，临时代课或代班主任工作达1个月以上的，加2分。</w:t>
            </w:r>
          </w:p>
        </w:tc>
        <w:tc>
          <w:tcPr>
            <w:tcW w:w="463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7642C063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spacing w:val="-4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同时兼任以上①②③④</w:t>
            </w:r>
            <w:r>
              <w:rPr>
                <w:rFonts w:hint="eastAsia" w:ascii="微软雅黑" w:hAnsi="微软雅黑" w:eastAsia="微软雅黑" w:cs="微软雅黑"/>
                <w:snapToGrid w:val="0"/>
                <w:kern w:val="0"/>
                <w:szCs w:val="21"/>
              </w:rPr>
              <w:t>⑤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工作的可累计加分。累计总分不超过5分。</w:t>
            </w:r>
          </w:p>
        </w:tc>
        <w:tc>
          <w:tcPr>
            <w:tcW w:w="6619" w:type="dxa"/>
            <w:tcBorders>
              <w:top w:val="single" w:color="auto" w:sz="12" w:space="0"/>
              <w:left w:val="single" w:color="auto" w:sz="4" w:space="0"/>
            </w:tcBorders>
          </w:tcPr>
          <w:p w14:paraId="397A6DBB">
            <w:pPr>
              <w:adjustRightInd w:val="0"/>
              <w:snapToGrid w:val="0"/>
              <w:ind w:left="206" w:leftChars="98" w:right="225" w:rightChars="107"/>
              <w:rPr>
                <w:rFonts w:hint="default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样例：</w:t>
            </w:r>
          </w:p>
          <w:p w14:paraId="0BFEFAC0">
            <w:pPr>
              <w:adjustRightInd w:val="0"/>
              <w:snapToGrid w:val="0"/>
              <w:ind w:left="206" w:leftChars="98" w:right="225" w:rightChars="107"/>
              <w:rPr>
                <w:rFonts w:hint="default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①②③⑤无</w:t>
            </w: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，总计0分。</w:t>
            </w:r>
          </w:p>
          <w:p w14:paraId="5F64BAF3">
            <w:pPr>
              <w:adjustRightInd w:val="0"/>
              <w:snapToGrid w:val="0"/>
              <w:ind w:left="206" w:leftChars="98" w:right="225" w:rightChars="107"/>
              <w:rPr>
                <w:rFonts w:hint="default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</w:rPr>
              <w:t>④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2019-2022年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</w:rPr>
              <w:t>承担素养班（分层班）高考学科教学工作</w:t>
            </w:r>
            <w:bookmarkStart w:id="1" w:name="OLE_LINK9"/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eastAsia="zh-CN"/>
              </w:rPr>
              <w:t>：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1分</w:t>
            </w:r>
          </w:p>
          <w:p w14:paraId="13C0A441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总计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u w:val="none"/>
              </w:rPr>
              <w:t>1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</w:rPr>
              <w:t>分</w:t>
            </w:r>
            <w:bookmarkEnd w:id="1"/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eastAsia="zh-CN"/>
              </w:rPr>
              <w:t>。</w:t>
            </w:r>
          </w:p>
        </w:tc>
        <w:tc>
          <w:tcPr>
            <w:tcW w:w="709" w:type="dxa"/>
            <w:tcBorders>
              <w:top w:val="single" w:color="auto" w:sz="12" w:space="0"/>
            </w:tcBorders>
            <w:vAlign w:val="center"/>
          </w:tcPr>
          <w:p w14:paraId="48EF719D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default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12" w:space="0"/>
            </w:tcBorders>
          </w:tcPr>
          <w:p w14:paraId="13ACB295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19B9E2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8" w:hRule="atLeast"/>
        </w:trPr>
        <w:tc>
          <w:tcPr>
            <w:tcW w:w="502" w:type="dxa"/>
            <w:vMerge w:val="restart"/>
            <w:tcBorders>
              <w:top w:val="single" w:color="auto" w:sz="12" w:space="0"/>
            </w:tcBorders>
            <w:vAlign w:val="center"/>
          </w:tcPr>
          <w:p w14:paraId="2844B4EF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二</w:t>
            </w:r>
          </w:p>
        </w:tc>
        <w:tc>
          <w:tcPr>
            <w:tcW w:w="709" w:type="dxa"/>
            <w:vMerge w:val="restart"/>
            <w:tcBorders>
              <w:top w:val="single" w:color="auto" w:sz="12" w:space="0"/>
            </w:tcBorders>
            <w:vAlign w:val="center"/>
          </w:tcPr>
          <w:p w14:paraId="51C9CDDE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教</w:t>
            </w:r>
          </w:p>
          <w:p w14:paraId="7F28AB09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育</w:t>
            </w:r>
          </w:p>
          <w:p w14:paraId="05F866AA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教</w:t>
            </w:r>
          </w:p>
          <w:p w14:paraId="270E16F6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学</w:t>
            </w:r>
          </w:p>
          <w:p w14:paraId="5F1CC61B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  <w:p w14:paraId="1D7C72C5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（45）</w:t>
            </w:r>
          </w:p>
        </w:tc>
        <w:tc>
          <w:tcPr>
            <w:tcW w:w="406" w:type="dxa"/>
            <w:tcBorders>
              <w:top w:val="single" w:color="auto" w:sz="12" w:space="0"/>
            </w:tcBorders>
            <w:vAlign w:val="center"/>
          </w:tcPr>
          <w:p w14:paraId="564C7CA9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10</w:t>
            </w:r>
          </w:p>
        </w:tc>
        <w:tc>
          <w:tcPr>
            <w:tcW w:w="7334" w:type="dxa"/>
            <w:tcBorders>
              <w:top w:val="single" w:color="auto" w:sz="12" w:space="0"/>
            </w:tcBorders>
            <w:vAlign w:val="center"/>
          </w:tcPr>
          <w:p w14:paraId="07BBF710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b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Cs w:val="21"/>
              </w:rPr>
              <w:t>项目一：各级各类荣誉</w:t>
            </w:r>
          </w:p>
          <w:p w14:paraId="1FFC51E3">
            <w:pPr>
              <w:adjustRightInd w:val="0"/>
              <w:snapToGrid w:val="0"/>
              <w:spacing w:line="240" w:lineRule="exact"/>
              <w:ind w:right="225" w:rightChars="107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（1）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</w:rPr>
              <w:t>学术荣誉：省级及以上5分、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地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</w:rPr>
              <w:t>市级计3分、区、县（市）级计</w:t>
            </w:r>
            <w:r>
              <w:rPr>
                <w:rFonts w:ascii="仿宋" w:hAnsi="仿宋" w:eastAsia="仿宋"/>
                <w:snapToGrid w:val="0"/>
                <w:spacing w:val="-4"/>
                <w:kern w:val="0"/>
                <w:szCs w:val="21"/>
              </w:rPr>
              <w:t>1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</w:rPr>
              <w:t>分，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  <w:highlight w:val="none"/>
                <w:lang w:val="en-US" w:eastAsia="zh-CN"/>
              </w:rPr>
              <w:t>其中，省级网络名师工作室学科带头人、地市级、市直工作室主要成员分别计3分、2分、1分。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累计不超过</w:t>
            </w:r>
            <w:r>
              <w:rPr>
                <w:rFonts w:ascii="仿宋" w:hAnsi="仿宋" w:eastAsia="仿宋"/>
                <w:snapToGrid w:val="0"/>
                <w:kern w:val="0"/>
                <w:szCs w:val="21"/>
              </w:rPr>
              <w:t>5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分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</w:rPr>
              <w:t>。</w:t>
            </w:r>
          </w:p>
          <w:p w14:paraId="44F9D179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2）师德荣誉：各级政府颁发的劳动模范、党委及政府颁奖的综合性先进个人以及各级优秀教师、师德先进、优秀班主任、优秀教育工作者、青年岗位能手、所带班级被评为先进班级或先进团支部等。省级及以上5分、地市级计3分、区（县）级计1分, 累计不超过5分。</w:t>
            </w:r>
          </w:p>
        </w:tc>
        <w:tc>
          <w:tcPr>
            <w:tcW w:w="4635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1EE51C34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spacing w:val="-4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</w:rPr>
              <w:t>（1）同一荣誉只计最高一项，不重复计分。</w:t>
            </w:r>
          </w:p>
          <w:p w14:paraId="6BDE561A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</w:rPr>
              <w:t>（2）各种协会、团体颁奖的不计分。</w:t>
            </w:r>
          </w:p>
        </w:tc>
        <w:tc>
          <w:tcPr>
            <w:tcW w:w="6619" w:type="dxa"/>
            <w:tcBorders>
              <w:top w:val="single" w:color="auto" w:sz="12" w:space="0"/>
              <w:left w:val="single" w:color="auto" w:sz="4" w:space="0"/>
            </w:tcBorders>
          </w:tcPr>
          <w:p w14:paraId="4120C35C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样例：</w:t>
            </w:r>
          </w:p>
          <w:p w14:paraId="76444B14">
            <w:pPr>
              <w:adjustRightInd w:val="0"/>
              <w:snapToGrid w:val="0"/>
              <w:ind w:left="206" w:leftChars="98" w:right="225" w:rightChars="107"/>
              <w:rPr>
                <w:rFonts w:hint="default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（1）无，总计0分。</w:t>
            </w:r>
          </w:p>
          <w:p w14:paraId="38712DB2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（2）2018年绍兴市优秀共青团员：3分</w:t>
            </w:r>
          </w:p>
          <w:p w14:paraId="0B4BAED8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2019年绍兴市优秀班主任：3分</w:t>
            </w:r>
          </w:p>
          <w:p w14:paraId="6073C340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2020年市直先进工作者：1分</w:t>
            </w:r>
          </w:p>
          <w:p w14:paraId="3DE46226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2021年市直优秀党员：1分</w:t>
            </w:r>
          </w:p>
          <w:p w14:paraId="0956EBEB">
            <w:pPr>
              <w:adjustRightInd w:val="0"/>
              <w:snapToGrid w:val="0"/>
              <w:ind w:left="206" w:leftChars="98" w:right="225" w:rightChars="107"/>
              <w:rPr>
                <w:rFonts w:hint="default" w:ascii="宋体" w:hAnsi="宋体" w:cs="宋体"/>
                <w:snapToGrid w:val="0"/>
                <w:color w:val="auto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总计5分。</w:t>
            </w:r>
          </w:p>
        </w:tc>
        <w:tc>
          <w:tcPr>
            <w:tcW w:w="709" w:type="dxa"/>
            <w:tcBorders>
              <w:top w:val="single" w:color="auto" w:sz="12" w:space="0"/>
            </w:tcBorders>
            <w:vAlign w:val="center"/>
          </w:tcPr>
          <w:p w14:paraId="6E693388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default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  <w:highlight w:val="yellow"/>
                <w:lang w:val="en-US" w:eastAsia="zh-CN"/>
              </w:rPr>
              <w:t>5</w:t>
            </w:r>
          </w:p>
        </w:tc>
        <w:tc>
          <w:tcPr>
            <w:tcW w:w="851" w:type="dxa"/>
            <w:tcBorders>
              <w:top w:val="single" w:color="auto" w:sz="12" w:space="0"/>
            </w:tcBorders>
          </w:tcPr>
          <w:p w14:paraId="5D0D9B26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1BA000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81" w:hRule="atLeast"/>
        </w:trPr>
        <w:tc>
          <w:tcPr>
            <w:tcW w:w="502" w:type="dxa"/>
            <w:vMerge w:val="continue"/>
            <w:vAlign w:val="center"/>
          </w:tcPr>
          <w:p w14:paraId="73191715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03A36D8A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406" w:type="dxa"/>
            <w:vAlign w:val="center"/>
          </w:tcPr>
          <w:p w14:paraId="11096AB1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1</w:t>
            </w:r>
            <w:r>
              <w:rPr>
                <w:rFonts w:ascii="仿宋" w:hAnsi="仿宋" w:eastAsia="仿宋"/>
                <w:snapToGrid w:val="0"/>
                <w:kern w:val="0"/>
                <w:szCs w:val="21"/>
              </w:rPr>
              <w:t>0</w:t>
            </w:r>
          </w:p>
        </w:tc>
        <w:tc>
          <w:tcPr>
            <w:tcW w:w="7334" w:type="dxa"/>
            <w:vAlign w:val="center"/>
          </w:tcPr>
          <w:p w14:paraId="16C2F896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项目二：课堂教学与比武</w:t>
            </w:r>
          </w:p>
          <w:p w14:paraId="3F249830">
            <w:pPr>
              <w:numPr>
                <w:ilvl w:val="0"/>
                <w:numId w:val="1"/>
              </w:num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优质课、教学比武等教学比赛获奖：全国级一等10分、二等8分、三等6分；省级一等8分、二等6分、三等3分；地市级一等6分、二等3分、三等2分；区（县）级一等3 分、二等2分、三等1分，校级一等2分、二等1分、三等0.5分。累计不超过10分。</w:t>
            </w:r>
          </w:p>
          <w:p w14:paraId="40B78D9B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bookmarkStart w:id="2" w:name="OLE_LINK1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（4）教师基本功比武</w:t>
            </w:r>
            <w:bookmarkEnd w:id="2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、班主任基本功比武、青年教师教学技能比赛获市直级、市级、省级、国家级一等奖分别计2分、4分、6分、8分；二等奖减半计分。</w:t>
            </w:r>
          </w:p>
        </w:tc>
        <w:tc>
          <w:tcPr>
            <w:tcW w:w="4635" w:type="dxa"/>
            <w:tcBorders>
              <w:right w:val="single" w:color="auto" w:sz="4" w:space="0"/>
            </w:tcBorders>
            <w:vAlign w:val="center"/>
          </w:tcPr>
          <w:p w14:paraId="276D29D5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（1）录像课评比减半计分、“一师一优课”降级记分。</w:t>
            </w:r>
          </w:p>
          <w:p w14:paraId="1030AE2A">
            <w:pPr>
              <w:adjustRightInd w:val="0"/>
              <w:snapToGrid w:val="0"/>
              <w:spacing w:line="240" w:lineRule="exact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（2）由教育行政部门或教科研部门组织并颁奖的有效。</w:t>
            </w:r>
          </w:p>
          <w:p w14:paraId="18D66815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spacing w:val="-4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Cs w:val="21"/>
                <w:highlight w:val="none"/>
              </w:rPr>
              <w:t>）同一荣誉只计最高一项，不重复计分。</w:t>
            </w:r>
          </w:p>
          <w:p w14:paraId="2AE927BD">
            <w:pPr>
              <w:adjustRightInd w:val="0"/>
              <w:snapToGrid w:val="0"/>
              <w:spacing w:line="240" w:lineRule="exact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6619" w:type="dxa"/>
            <w:tcBorders>
              <w:left w:val="single" w:color="auto" w:sz="4" w:space="0"/>
            </w:tcBorders>
          </w:tcPr>
          <w:p w14:paraId="2EC17AB4">
            <w:pPr>
              <w:adjustRightInd w:val="0"/>
              <w:snapToGrid w:val="0"/>
              <w:ind w:left="206" w:leftChars="98" w:right="225" w:rightChars="107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  <w:bookmarkStart w:id="8" w:name="_GoBack"/>
            <w:bookmarkEnd w:id="8"/>
          </w:p>
        </w:tc>
        <w:tc>
          <w:tcPr>
            <w:tcW w:w="709" w:type="dxa"/>
            <w:vAlign w:val="center"/>
          </w:tcPr>
          <w:p w14:paraId="32BFF77D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3F5B493C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03565A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70" w:hRule="atLeast"/>
        </w:trPr>
        <w:tc>
          <w:tcPr>
            <w:tcW w:w="502" w:type="dxa"/>
            <w:vMerge w:val="continue"/>
            <w:vAlign w:val="center"/>
          </w:tcPr>
          <w:p w14:paraId="659EB71F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057D4160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406" w:type="dxa"/>
            <w:vAlign w:val="center"/>
          </w:tcPr>
          <w:p w14:paraId="356A01CA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15</w:t>
            </w:r>
          </w:p>
        </w:tc>
        <w:tc>
          <w:tcPr>
            <w:tcW w:w="7334" w:type="dxa"/>
            <w:vAlign w:val="center"/>
          </w:tcPr>
          <w:p w14:paraId="2BF45DD0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项目三：指导学生获奖</w:t>
            </w:r>
          </w:p>
          <w:p w14:paraId="5B3D812A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（5）直接辅导学生在物理、数学、化学、生物、信息学、天文奥赛中获奖，按每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  <w:t>竞赛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生计分，全国一等10分、全国二等5分、全国三等3分；省赛区一等5分、省赛区二等3分、省赛区三等1分；省一等3分、省二等1分。</w:t>
            </w:r>
          </w:p>
          <w:p w14:paraId="0CF753AD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bookmarkStart w:id="3" w:name="OLE_LINK7"/>
            <w:bookmarkStart w:id="4" w:name="OLE_LINK2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（6）</w:t>
            </w:r>
            <w:bookmarkEnd w:id="3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教育行政部门组织的其他学科、美术、科技、小论文等竞赛获奖按每生计，</w:t>
            </w:r>
            <w:bookmarkEnd w:id="4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全国一等5分、全国二等3分、全国三等2分；省一等3分、二等2分、三等1分；市一等2分、二等1分，三等0.5分；市直一等1分，二等0.5。体育团体奖加倍计分，其中团体第1名为一等奖、第2名为二等奖、第3名为三等奖。音乐获奖按团体加倍计分</w:t>
            </w:r>
          </w:p>
          <w:p w14:paraId="206C6986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（7）体育培养学生达到国家一级运动员3分、二级运动员2分。</w:t>
            </w:r>
          </w:p>
        </w:tc>
        <w:tc>
          <w:tcPr>
            <w:tcW w:w="4635" w:type="dxa"/>
            <w:tcBorders>
              <w:right w:val="single" w:color="auto" w:sz="4" w:space="0"/>
            </w:tcBorders>
            <w:vAlign w:val="center"/>
          </w:tcPr>
          <w:p w14:paraId="5227425F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（1）由教育行政部门、教研室组织举办或经批准（进入教育部当年公布的白名单）由相关学会组织举办的，颁发指导教师证书才算有效。本项同一学年同一类别的只计最高一项，不重复计分。</w:t>
            </w:r>
          </w:p>
          <w:p w14:paraId="17D43FF5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（2）其他非教育行政部门组织的学科竞赛，如 21世纪杯英语演讲比赛、“燕园杯”全国中学生历史写作大赛，省级以下的竞赛获奖不计分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，国家级竞赛获奖按市级获奖计分，省级竞赛获奖按市直级获奖计分。</w:t>
            </w:r>
          </w:p>
          <w:p w14:paraId="50FF532D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（3）以上获奖加分若出现争议，由学术委员会讨论决定。本项得分同一学生计最高奖，累计最高不超过15分。同时辅导的教师（除艺术）只算排名第一者，且教师所获荣誉称号不加分。</w:t>
            </w:r>
          </w:p>
        </w:tc>
        <w:tc>
          <w:tcPr>
            <w:tcW w:w="6619" w:type="dxa"/>
            <w:tcBorders>
              <w:left w:val="single" w:color="auto" w:sz="4" w:space="0"/>
            </w:tcBorders>
          </w:tcPr>
          <w:p w14:paraId="3E14FFCE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09" w:type="dxa"/>
            <w:vAlign w:val="center"/>
          </w:tcPr>
          <w:p w14:paraId="26C51ED7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4DE73EE2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7EE452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58" w:hRule="atLeast"/>
        </w:trPr>
        <w:tc>
          <w:tcPr>
            <w:tcW w:w="502" w:type="dxa"/>
            <w:vMerge w:val="continue"/>
            <w:vAlign w:val="center"/>
          </w:tcPr>
          <w:p w14:paraId="0CD21CFF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5F5DFAF4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406" w:type="dxa"/>
            <w:vAlign w:val="center"/>
          </w:tcPr>
          <w:p w14:paraId="4B62B6BC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ascii="仿宋" w:hAnsi="仿宋" w:eastAsia="仿宋"/>
                <w:snapToGrid w:val="0"/>
                <w:kern w:val="0"/>
                <w:szCs w:val="21"/>
              </w:rPr>
              <w:t>10</w:t>
            </w:r>
          </w:p>
        </w:tc>
        <w:tc>
          <w:tcPr>
            <w:tcW w:w="7334" w:type="dxa"/>
            <w:vAlign w:val="center"/>
          </w:tcPr>
          <w:p w14:paraId="43AD9F87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项目四：知名度及影响力</w:t>
            </w:r>
          </w:p>
          <w:p w14:paraId="7F6DBB42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（8）学科知名度：省、市级骨干教师分别计2分、1分。</w:t>
            </w:r>
          </w:p>
          <w:p w14:paraId="35A20FD1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（9）开设示范课、公开课和观摩课的数量：承担省、地市、区（县）级公开课、观摩课。省级每次计3分，</w:t>
            </w:r>
            <w:bookmarkStart w:id="5" w:name="OLE_LINK3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地市级每次计2分</w:t>
            </w:r>
            <w:bookmarkEnd w:id="5"/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，区（县）级每次计1分，累计不超过3分。</w:t>
            </w:r>
          </w:p>
          <w:p w14:paraId="54EDDB7E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  <w:t>10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）受教育行政、业务主管部门邀请到省、地市、区（县）级教学研讨活动中作专题讲座或经验交流的数量：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</w:rPr>
              <w:t>省级每次计3分，市级每次计2分，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累计不超过3分。</w:t>
            </w:r>
          </w:p>
          <w:p w14:paraId="6F70473B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）培养青年教师（带徒）：成为教育行政部门组织的名师工作室、网络名师工作室主持人的，按省、地市、区（县）级带徒每人次分别计2分、1分、0.5分。只计最高一项，不重复计分, 累计不超过2分。</w:t>
            </w:r>
          </w:p>
          <w:p w14:paraId="7ACE882F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）在理科教师实验技能、自制教具、说课、作文、命题等单项教学业务比赛中获奖，参照基本功比武的计分标准低一级计分。</w:t>
            </w:r>
          </w:p>
        </w:tc>
        <w:tc>
          <w:tcPr>
            <w:tcW w:w="4635" w:type="dxa"/>
            <w:tcBorders>
              <w:right w:val="single" w:color="auto" w:sz="4" w:space="0"/>
            </w:tcBorders>
            <w:vAlign w:val="center"/>
          </w:tcPr>
          <w:p w14:paraId="026CCE6A">
            <w:pPr>
              <w:adjustRightInd w:val="0"/>
              <w:snapToGrid w:val="0"/>
              <w:spacing w:line="240" w:lineRule="exact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（1）省、市级骨干教师指在同等级别内有较高知名度，担任相应级别学术团体理事及以上。名师名校长培养对象、青年教师研究者联盟（研学共同体）成员列入相应等级计分。</w:t>
            </w:r>
          </w:p>
          <w:p w14:paraId="022212B9">
            <w:pPr>
              <w:adjustRightInd w:val="0"/>
              <w:snapToGrid w:val="0"/>
              <w:spacing w:line="240" w:lineRule="exact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ascii="仿宋" w:hAnsi="仿宋" w:eastAsia="仿宋"/>
                <w:snapToGrid w:val="0"/>
                <w:kern w:val="0"/>
                <w:szCs w:val="21"/>
              </w:rPr>
              <w:t>（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2）公开课、讲座等需是教育行政、业务主管部门（以获得的证书印章为准）邀请或者由学校选派的。浙江省教育厅百人千场名师送教下乡活动、浙江省基础教育类名师工作站组织的相关活动减半计分。</w:t>
            </w:r>
            <w:r>
              <w:rPr>
                <w:rFonts w:hint="eastAsia" w:ascii="仿宋" w:hAnsi="仿宋" w:eastAsia="仿宋"/>
                <w:snapToGrid w:val="0"/>
                <w:color w:val="auto"/>
                <w:kern w:val="0"/>
                <w:szCs w:val="21"/>
              </w:rPr>
              <w:t>由学校选派参加的校际间公开课、讲座以区（县）级公开课、讲座计分。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除以上备注的外，民间团体、培训机构等邀请的不列入计分范畴。</w:t>
            </w:r>
          </w:p>
          <w:p w14:paraId="68C46B42">
            <w:pPr>
              <w:adjustRightInd w:val="0"/>
              <w:snapToGrid w:val="0"/>
              <w:spacing w:line="240" w:lineRule="exact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6619" w:type="dxa"/>
            <w:tcBorders>
              <w:left w:val="single" w:color="auto" w:sz="4" w:space="0"/>
            </w:tcBorders>
          </w:tcPr>
          <w:p w14:paraId="3E32F236">
            <w:pPr>
              <w:numPr>
                <w:ilvl w:val="0"/>
                <w:numId w:val="0"/>
              </w:numPr>
              <w:adjustRightInd w:val="0"/>
              <w:snapToGrid w:val="0"/>
              <w:ind w:leftChars="-152" w:right="225" w:rightChars="107"/>
              <w:rPr>
                <w:rFonts w:hint="eastAsia" w:ascii="仿宋" w:hAnsi="仿宋" w:eastAsia="仿宋"/>
                <w:snapToGrid w:val="0"/>
                <w:kern w:val="0"/>
                <w:szCs w:val="21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2583EE9">
            <w:pPr>
              <w:adjustRightInd w:val="0"/>
              <w:snapToGrid w:val="0"/>
              <w:ind w:left="731" w:leftChars="98" w:right="225" w:rightChars="107" w:hanging="525" w:hangingChars="250"/>
              <w:jc w:val="center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0D9D99F5">
            <w:pPr>
              <w:adjustRightInd w:val="0"/>
              <w:snapToGrid w:val="0"/>
              <w:ind w:left="731" w:leftChars="98" w:right="225" w:rightChars="107" w:hanging="525" w:hangingChars="250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4EEED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0" w:hRule="atLeast"/>
        </w:trPr>
        <w:tc>
          <w:tcPr>
            <w:tcW w:w="502" w:type="dxa"/>
            <w:vMerge w:val="restart"/>
            <w:vAlign w:val="center"/>
          </w:tcPr>
          <w:p w14:paraId="480004C0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三</w:t>
            </w:r>
          </w:p>
        </w:tc>
        <w:tc>
          <w:tcPr>
            <w:tcW w:w="709" w:type="dxa"/>
            <w:vMerge w:val="restart"/>
            <w:vAlign w:val="center"/>
          </w:tcPr>
          <w:p w14:paraId="5836E3F6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教</w:t>
            </w:r>
          </w:p>
          <w:p w14:paraId="3E484E60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科</w:t>
            </w:r>
          </w:p>
          <w:p w14:paraId="5FBAC0B4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研</w:t>
            </w:r>
          </w:p>
          <w:p w14:paraId="3DA89745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  <w:p w14:paraId="63312484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（35）</w:t>
            </w:r>
          </w:p>
        </w:tc>
        <w:tc>
          <w:tcPr>
            <w:tcW w:w="406" w:type="dxa"/>
            <w:vAlign w:val="center"/>
          </w:tcPr>
          <w:p w14:paraId="4BF1390E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1</w:t>
            </w:r>
            <w:r>
              <w:rPr>
                <w:rFonts w:ascii="仿宋" w:hAnsi="仿宋" w:eastAsia="仿宋"/>
                <w:snapToGrid w:val="0"/>
                <w:kern w:val="0"/>
                <w:szCs w:val="21"/>
              </w:rPr>
              <w:t>0</w:t>
            </w:r>
          </w:p>
        </w:tc>
        <w:tc>
          <w:tcPr>
            <w:tcW w:w="7334" w:type="dxa"/>
            <w:vAlign w:val="center"/>
          </w:tcPr>
          <w:p w14:paraId="23244770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项目五：科研课题成果</w:t>
            </w:r>
          </w:p>
          <w:p w14:paraId="46F01DE0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）主持的课题（教改项目）研究成果获奖计分：国家级一等奖10分、二等奖8分、三等奖6分；省级一等奖8分、二等奖6分、三等奖4分；地市级一等奖6分、二等奖4分、三等奖2分；区（县）级一等奖3分、二等奖2分、三等奖1分。此条累计不超过10分。</w:t>
            </w:r>
          </w:p>
        </w:tc>
        <w:tc>
          <w:tcPr>
            <w:tcW w:w="4635" w:type="dxa"/>
            <w:tcBorders>
              <w:right w:val="single" w:color="auto" w:sz="4" w:space="0"/>
            </w:tcBorders>
            <w:vAlign w:val="center"/>
          </w:tcPr>
          <w:p w14:paraId="2B831DC0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（1）由教育行政部门或教科研部门组织并颁奖的有效。省教研课题、师训获奖减半计分。（市教学改进主题报告、我的教学主张视为市课题一等）。</w:t>
            </w:r>
          </w:p>
          <w:p w14:paraId="281AB83C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（2）课题执笔人等同主持人；主要参与者减半计分（排名前5名有效）。</w:t>
            </w:r>
          </w:p>
        </w:tc>
        <w:tc>
          <w:tcPr>
            <w:tcW w:w="6619" w:type="dxa"/>
            <w:tcBorders>
              <w:left w:val="single" w:color="auto" w:sz="4" w:space="0"/>
            </w:tcBorders>
          </w:tcPr>
          <w:p w14:paraId="485098D7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412F577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7B1C6C0A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1AD79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44" w:hRule="atLeast"/>
        </w:trPr>
        <w:tc>
          <w:tcPr>
            <w:tcW w:w="502" w:type="dxa"/>
            <w:vMerge w:val="continue"/>
            <w:vAlign w:val="center"/>
          </w:tcPr>
          <w:p w14:paraId="41CBCA13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0671B935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406" w:type="dxa"/>
            <w:vAlign w:val="center"/>
          </w:tcPr>
          <w:p w14:paraId="3C42FDE2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20</w:t>
            </w:r>
          </w:p>
        </w:tc>
        <w:tc>
          <w:tcPr>
            <w:tcW w:w="7334" w:type="dxa"/>
            <w:vAlign w:val="center"/>
          </w:tcPr>
          <w:p w14:paraId="76358C79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Cs w:val="21"/>
                <w:highlight w:val="none"/>
              </w:rPr>
              <w:t>项目六：论文发表与专著出版</w:t>
            </w:r>
          </w:p>
          <w:p w14:paraId="01CBA78D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</w:pPr>
            <w:bookmarkStart w:id="6" w:name="OLE_LINK5"/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）发表字数2000字以上论文数量（省级以上刊物）或获奖数量（市一等奖及以上）：</w:t>
            </w:r>
            <w:bookmarkEnd w:id="6"/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一般刊物每篇计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分，核心刊物每篇计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分；省一等奖每篇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分，二等奖每篇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分，三等奖每篇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0.5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分；地市一等奖每篇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分，二等奖每篇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0.5</w:t>
            </w:r>
            <w:bookmarkStart w:id="7" w:name="OLE_LINK6"/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</w:t>
            </w:r>
            <w:bookmarkEnd w:id="7"/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；此条累计不超过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8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分。</w:t>
            </w:r>
          </w:p>
          <w:p w14:paraId="1CE74096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）正式出版过本学科较有价值的专著、译著或教师指导用书的第一编者</w:t>
            </w:r>
            <w:r>
              <w:rPr>
                <w:rFonts w:hint="eastAsia" w:ascii="仿宋" w:hAnsi="仿宋" w:eastAsia="仿宋"/>
                <w:b w:val="0"/>
                <w:bCs w:val="0"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主编或独著</w:t>
            </w:r>
            <w:r>
              <w:rPr>
                <w:rFonts w:hint="eastAsia" w:ascii="仿宋" w:hAnsi="仿宋" w:eastAsia="仿宋"/>
                <w:b w:val="0"/>
                <w:bCs w:val="0"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，每本计</w:t>
            </w:r>
            <w:r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分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  <w:lang w:val="en-US" w:eastAsia="zh-CN"/>
              </w:rPr>
              <w:t>副主编每本计1分；参编每本计0.5分，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累计不超过6分。</w:t>
            </w:r>
          </w:p>
          <w:p w14:paraId="2A1B34AE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highlight w:val="none"/>
              </w:rPr>
              <w:t>）开发的课程（或微课程）被评为省精品（网络）课程（或微课程）计4分，被评为市精品课程计2分。同一门课程只计最高一项，不重复计分, 累计不超过6分。</w:t>
            </w:r>
          </w:p>
        </w:tc>
        <w:tc>
          <w:tcPr>
            <w:tcW w:w="4635" w:type="dxa"/>
            <w:tcBorders>
              <w:right w:val="single" w:color="auto" w:sz="4" w:space="0"/>
            </w:tcBorders>
            <w:vAlign w:val="center"/>
          </w:tcPr>
          <w:p w14:paraId="31D7A797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学会、协会、杂志社等组织的论文评比获奖除外。</w:t>
            </w:r>
          </w:p>
          <w:p w14:paraId="122A20E5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6619" w:type="dxa"/>
            <w:tcBorders>
              <w:left w:val="single" w:color="auto" w:sz="4" w:space="0"/>
            </w:tcBorders>
          </w:tcPr>
          <w:p w14:paraId="484BE9E4">
            <w:pPr>
              <w:numPr>
                <w:ilvl w:val="0"/>
                <w:numId w:val="0"/>
              </w:num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09" w:type="dxa"/>
            <w:vAlign w:val="center"/>
          </w:tcPr>
          <w:p w14:paraId="5D84C0A8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</w:tcPr>
          <w:p w14:paraId="3EBA30B0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221789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0" w:hRule="atLeast"/>
        </w:trPr>
        <w:tc>
          <w:tcPr>
            <w:tcW w:w="502" w:type="dxa"/>
            <w:vMerge w:val="continue"/>
            <w:vAlign w:val="center"/>
          </w:tcPr>
          <w:p w14:paraId="1F10F5C3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1040CD63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406" w:type="dxa"/>
            <w:tcBorders>
              <w:top w:val="single" w:color="auto" w:sz="4" w:space="0"/>
            </w:tcBorders>
            <w:vAlign w:val="center"/>
          </w:tcPr>
          <w:p w14:paraId="7CF63960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5</w:t>
            </w:r>
          </w:p>
        </w:tc>
        <w:tc>
          <w:tcPr>
            <w:tcW w:w="7334" w:type="dxa"/>
            <w:tcBorders>
              <w:top w:val="single" w:color="auto" w:sz="4" w:space="0"/>
            </w:tcBorders>
            <w:vAlign w:val="center"/>
          </w:tcPr>
          <w:p w14:paraId="625BA2A6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Cs w:val="21"/>
              </w:rPr>
              <w:t>项目七：各级各类命题</w:t>
            </w:r>
          </w:p>
          <w:p w14:paraId="14ADE256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（1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）参与各级各类学科教学命题的数量：国家级5分、省级每次计3分，地市级每次计1分。此条累计不超过5分。</w:t>
            </w:r>
          </w:p>
        </w:tc>
        <w:tc>
          <w:tcPr>
            <w:tcW w:w="4635" w:type="dxa"/>
            <w:tcBorders>
              <w:top w:val="single" w:color="auto" w:sz="4" w:space="0"/>
              <w:right w:val="single" w:color="auto" w:sz="4" w:space="0"/>
            </w:tcBorders>
          </w:tcPr>
          <w:p w14:paraId="531E3A35">
            <w:pPr>
              <w:adjustRightInd w:val="0"/>
              <w:snapToGrid w:val="0"/>
              <w:spacing w:line="240" w:lineRule="exact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6619" w:type="dxa"/>
            <w:tcBorders>
              <w:top w:val="single" w:color="auto" w:sz="4" w:space="0"/>
              <w:left w:val="single" w:color="auto" w:sz="4" w:space="0"/>
            </w:tcBorders>
          </w:tcPr>
          <w:p w14:paraId="6994DDF9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  <w:vAlign w:val="center"/>
          </w:tcPr>
          <w:p w14:paraId="372AF1EB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hint="eastAsia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</w:tcPr>
          <w:p w14:paraId="5380CFE1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08D226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0" w:hRule="atLeast"/>
        </w:trPr>
        <w:tc>
          <w:tcPr>
            <w:tcW w:w="502" w:type="dxa"/>
            <w:vAlign w:val="center"/>
          </w:tcPr>
          <w:p w14:paraId="22B1C38E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四</w:t>
            </w:r>
          </w:p>
        </w:tc>
        <w:tc>
          <w:tcPr>
            <w:tcW w:w="709" w:type="dxa"/>
            <w:vAlign w:val="center"/>
          </w:tcPr>
          <w:p w14:paraId="6C7FD728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学术委员会评审评议（15）</w:t>
            </w:r>
          </w:p>
        </w:tc>
        <w:tc>
          <w:tcPr>
            <w:tcW w:w="406" w:type="dxa"/>
            <w:tcBorders>
              <w:top w:val="single" w:color="auto" w:sz="4" w:space="0"/>
            </w:tcBorders>
            <w:vAlign w:val="center"/>
          </w:tcPr>
          <w:p w14:paraId="1F504681">
            <w:pPr>
              <w:adjustRightInd w:val="0"/>
              <w:snapToGrid w:val="0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Cs w:val="21"/>
              </w:rPr>
              <w:t>15</w:t>
            </w:r>
          </w:p>
        </w:tc>
        <w:tc>
          <w:tcPr>
            <w:tcW w:w="7334" w:type="dxa"/>
            <w:tcBorders>
              <w:top w:val="single" w:color="auto" w:sz="4" w:space="0"/>
            </w:tcBorders>
            <w:vAlign w:val="center"/>
          </w:tcPr>
          <w:p w14:paraId="4FF70DFB">
            <w:pPr>
              <w:adjustRightInd w:val="0"/>
              <w:snapToGrid w:val="0"/>
              <w:spacing w:line="240" w:lineRule="exact"/>
              <w:ind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  <w:r>
              <w:rPr>
                <w:rFonts w:hint="eastAsia" w:ascii="楷体_GB2312" w:hAnsi="仿宋" w:eastAsia="楷体_GB2312"/>
                <w:kern w:val="0"/>
                <w:szCs w:val="21"/>
              </w:rPr>
              <w:t>学校学术委员会在对推荐人选进行充分审议的基础上，进行投票表决。校学术委员会评审评议时，先把最高票数折算成15分，其余票数则按此标准相应折算，折算分=</w:t>
            </w:r>
            <w:r>
              <w:rPr>
                <w:rFonts w:hint="eastAsia" w:ascii="楷体_GB2312" w:hAnsi="仿宋" w:eastAsia="楷体_GB2312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楷体_GB2312" w:hAnsi="仿宋" w:eastAsia="楷体_GB2312"/>
                <w:kern w:val="0"/>
                <w:szCs w:val="21"/>
              </w:rPr>
              <w:t>所获票数/最高票数</w:t>
            </w:r>
            <w:r>
              <w:rPr>
                <w:rFonts w:hint="eastAsia" w:ascii="楷体_GB2312" w:hAnsi="仿宋" w:eastAsia="楷体_GB2312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楷体_GB2312" w:hAnsi="仿宋" w:eastAsia="楷体_GB2312"/>
                <w:kern w:val="0"/>
                <w:szCs w:val="21"/>
              </w:rPr>
              <w:t>×15。</w:t>
            </w:r>
          </w:p>
        </w:tc>
        <w:tc>
          <w:tcPr>
            <w:tcW w:w="4635" w:type="dxa"/>
            <w:tcBorders>
              <w:top w:val="single" w:color="auto" w:sz="4" w:space="0"/>
              <w:right w:val="single" w:color="auto" w:sz="4" w:space="0"/>
            </w:tcBorders>
          </w:tcPr>
          <w:p w14:paraId="57FA8667">
            <w:pPr>
              <w:adjustRightInd w:val="0"/>
              <w:snapToGrid w:val="0"/>
              <w:spacing w:line="240" w:lineRule="exact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6619" w:type="dxa"/>
            <w:tcBorders>
              <w:top w:val="single" w:color="auto" w:sz="4" w:space="0"/>
              <w:left w:val="single" w:color="auto" w:sz="4" w:space="0"/>
            </w:tcBorders>
          </w:tcPr>
          <w:p w14:paraId="296A8DBC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  <w:vAlign w:val="center"/>
          </w:tcPr>
          <w:p w14:paraId="518FCBB3">
            <w:pPr>
              <w:adjustRightInd w:val="0"/>
              <w:snapToGrid w:val="0"/>
              <w:ind w:left="206" w:leftChars="98" w:right="225" w:rightChars="107"/>
              <w:jc w:val="center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</w:tcPr>
          <w:p w14:paraId="19349AEE">
            <w:pPr>
              <w:adjustRightInd w:val="0"/>
              <w:snapToGrid w:val="0"/>
              <w:ind w:left="206" w:leftChars="98" w:right="225" w:rightChars="107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  <w:tr w14:paraId="46041A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11" w:type="dxa"/>
            <w:gridSpan w:val="2"/>
            <w:tcBorders>
              <w:bottom w:val="single" w:color="auto" w:sz="12" w:space="0"/>
            </w:tcBorders>
            <w:vAlign w:val="center"/>
          </w:tcPr>
          <w:p w14:paraId="7E936F4C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Cs w:val="21"/>
              </w:rPr>
              <w:t>合计</w:t>
            </w:r>
          </w:p>
        </w:tc>
        <w:tc>
          <w:tcPr>
            <w:tcW w:w="406" w:type="dxa"/>
            <w:tcBorders>
              <w:bottom w:val="single" w:color="auto" w:sz="12" w:space="0"/>
            </w:tcBorders>
            <w:vAlign w:val="center"/>
          </w:tcPr>
          <w:p w14:paraId="4C2B80F8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napToGrid w:val="0"/>
                <w:kern w:val="0"/>
                <w:szCs w:val="21"/>
              </w:rPr>
            </w:pPr>
          </w:p>
        </w:tc>
        <w:tc>
          <w:tcPr>
            <w:tcW w:w="7334" w:type="dxa"/>
            <w:tcBorders>
              <w:bottom w:val="single" w:color="auto" w:sz="12" w:space="0"/>
            </w:tcBorders>
          </w:tcPr>
          <w:p w14:paraId="2B8454E6">
            <w:pPr>
              <w:adjustRightInd w:val="0"/>
              <w:snapToGrid w:val="0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4635" w:type="dxa"/>
            <w:tcBorders>
              <w:bottom w:val="single" w:color="auto" w:sz="12" w:space="0"/>
              <w:right w:val="single" w:color="auto" w:sz="4" w:space="0"/>
            </w:tcBorders>
          </w:tcPr>
          <w:p w14:paraId="64807FB7">
            <w:pPr>
              <w:adjustRightInd w:val="0"/>
              <w:snapToGrid w:val="0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6619" w:type="dxa"/>
            <w:tcBorders>
              <w:left w:val="single" w:color="auto" w:sz="4" w:space="0"/>
              <w:bottom w:val="single" w:color="auto" w:sz="12" w:space="0"/>
            </w:tcBorders>
          </w:tcPr>
          <w:p w14:paraId="30858FCE">
            <w:pPr>
              <w:adjustRightInd w:val="0"/>
              <w:snapToGrid w:val="0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color="auto" w:sz="12" w:space="0"/>
            </w:tcBorders>
            <w:vAlign w:val="center"/>
          </w:tcPr>
          <w:p w14:paraId="78BE05AC">
            <w:pPr>
              <w:adjustRightInd w:val="0"/>
              <w:snapToGrid w:val="0"/>
              <w:jc w:val="center"/>
              <w:rPr>
                <w:rFonts w:hint="default" w:ascii="仿宋" w:hAnsi="仿宋" w:eastAsia="仿宋"/>
                <w:snapToGrid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851" w:type="dxa"/>
            <w:tcBorders>
              <w:bottom w:val="single" w:color="auto" w:sz="12" w:space="0"/>
            </w:tcBorders>
          </w:tcPr>
          <w:p w14:paraId="7AD54524">
            <w:pPr>
              <w:adjustRightInd w:val="0"/>
              <w:snapToGrid w:val="0"/>
              <w:rPr>
                <w:rFonts w:ascii="仿宋" w:hAnsi="仿宋" w:eastAsia="仿宋"/>
                <w:snapToGrid w:val="0"/>
                <w:kern w:val="0"/>
                <w:szCs w:val="21"/>
              </w:rPr>
            </w:pPr>
          </w:p>
        </w:tc>
      </w:tr>
    </w:tbl>
    <w:p w14:paraId="09229E62">
      <w:pPr>
        <w:autoSpaceDE w:val="0"/>
        <w:autoSpaceDN w:val="0"/>
        <w:spacing w:line="240" w:lineRule="exact"/>
        <w:ind w:left="-359" w:leftChars="-171" w:right="-397" w:rightChars="-189"/>
        <w:rPr>
          <w:rFonts w:ascii="楷体_GB2312" w:hAnsi="仿宋" w:eastAsia="楷体_GB2312"/>
          <w:b/>
          <w:bCs/>
          <w:kern w:val="0"/>
          <w:szCs w:val="21"/>
        </w:rPr>
      </w:pPr>
      <w:r>
        <w:rPr>
          <w:rFonts w:hint="eastAsia" w:ascii="楷体_GB2312" w:hAnsi="仿宋" w:eastAsia="楷体_GB2312"/>
          <w:b/>
          <w:bCs/>
          <w:kern w:val="0"/>
          <w:szCs w:val="21"/>
        </w:rPr>
        <w:t>备注：</w:t>
      </w:r>
    </w:p>
    <w:p w14:paraId="4B33623B">
      <w:pPr>
        <w:autoSpaceDE w:val="0"/>
        <w:autoSpaceDN w:val="0"/>
        <w:spacing w:line="240" w:lineRule="exact"/>
        <w:ind w:right="-397" w:rightChars="-189"/>
        <w:rPr>
          <w:rFonts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1.必备条件：按照当年省、市教育行政部门文件评选条件参照执行。</w:t>
      </w:r>
    </w:p>
    <w:p w14:paraId="4E61A566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2.</w:t>
      </w:r>
      <w:r>
        <w:rPr>
          <w:rFonts w:hint="eastAsia"/>
        </w:rPr>
        <w:t xml:space="preserve"> </w:t>
      </w:r>
      <w:r>
        <w:rPr>
          <w:rFonts w:hint="eastAsia" w:ascii="楷体_GB2312" w:hAnsi="仿宋" w:eastAsia="楷体_GB2312"/>
          <w:kern w:val="0"/>
          <w:szCs w:val="21"/>
        </w:rPr>
        <w:t>根据相关规定及学校实际情况，存在以下现象的则不予推荐：</w:t>
      </w:r>
    </w:p>
    <w:p w14:paraId="6A6B37AF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（1）存在违规家教等师德师风问题。</w:t>
      </w:r>
    </w:p>
    <w:p w14:paraId="74685DFB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（2）参评前3年满意率调查有一次任课班级均分低于85分（满分100分）以下。</w:t>
      </w:r>
    </w:p>
    <w:p w14:paraId="3CA80307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（3）近三年出现严重教学事故，影响较大的，出现群体性家长投诉或上访的。</w:t>
      </w:r>
    </w:p>
    <w:p w14:paraId="0B8A04A8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（4）本年度因个人原因没有满工作量。</w:t>
      </w:r>
    </w:p>
    <w:p w14:paraId="0E526D25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（5）本年度任教班级成绩（提高率）在同类班级中排名后三分之一。</w:t>
      </w:r>
    </w:p>
    <w:p w14:paraId="1B9389AB">
      <w:pPr>
        <w:autoSpaceDE w:val="0"/>
        <w:autoSpaceDN w:val="0"/>
        <w:spacing w:line="240" w:lineRule="exact"/>
        <w:ind w:right="-397" w:rightChars="-189"/>
        <w:rPr>
          <w:rFonts w:hint="eastAsia"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（6）有不服从学校正常工作安排的。</w:t>
      </w:r>
    </w:p>
    <w:p w14:paraId="7F5DFD72">
      <w:pPr>
        <w:autoSpaceDE w:val="0"/>
        <w:autoSpaceDN w:val="0"/>
        <w:spacing w:line="240" w:lineRule="exact"/>
        <w:ind w:right="-397" w:rightChars="-189"/>
        <w:rPr>
          <w:rFonts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（7）经学术委员会审议认定的其他不符合推荐要求的现象。</w:t>
      </w:r>
    </w:p>
    <w:p w14:paraId="402D32CB">
      <w:pPr>
        <w:autoSpaceDE w:val="0"/>
        <w:autoSpaceDN w:val="0"/>
        <w:spacing w:line="240" w:lineRule="exact"/>
        <w:ind w:right="-397" w:rightChars="-189"/>
        <w:rPr>
          <w:rFonts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3.同年度、同项目获奖只计最高分，不逐项累加。</w:t>
      </w:r>
    </w:p>
    <w:p w14:paraId="5BEF1C97">
      <w:pPr>
        <w:autoSpaceDE w:val="0"/>
        <w:autoSpaceDN w:val="0"/>
        <w:spacing w:line="240" w:lineRule="exact"/>
        <w:ind w:right="-397" w:rightChars="-189"/>
        <w:rPr>
          <w:rFonts w:ascii="楷体_GB2312" w:hAnsi="仿宋" w:eastAsia="楷体_GB2312"/>
          <w:kern w:val="0"/>
          <w:szCs w:val="21"/>
        </w:rPr>
      </w:pPr>
      <w:r>
        <w:rPr>
          <w:rFonts w:hint="eastAsia" w:ascii="楷体_GB2312" w:hAnsi="仿宋" w:eastAsia="楷体_GB2312"/>
          <w:kern w:val="0"/>
          <w:szCs w:val="21"/>
        </w:rPr>
        <w:t>4.</w:t>
      </w:r>
      <w:r>
        <w:rPr>
          <w:rFonts w:hint="eastAsia" w:ascii="楷体_GB2312" w:hAnsi="仿宋" w:eastAsia="楷体_GB2312"/>
          <w:kern w:val="0"/>
          <w:szCs w:val="21"/>
          <w:highlight w:val="yellow"/>
          <w:lang w:val="en-US" w:eastAsia="zh-CN"/>
        </w:rPr>
        <w:t>佐证材料需做好目录，按照顺序排列，</w:t>
      </w:r>
      <w:r>
        <w:rPr>
          <w:rFonts w:hint="eastAsia" w:ascii="楷体_GB2312" w:hAnsi="仿宋" w:eastAsia="楷体_GB2312"/>
          <w:kern w:val="0"/>
          <w:szCs w:val="21"/>
        </w:rPr>
        <w:t>无佐证材料的不计分。</w:t>
      </w:r>
    </w:p>
    <w:sectPr>
      <w:pgSz w:w="23811" w:h="16838" w:orient="landscape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AAEB6"/>
    <w:multiLevelType w:val="singleLevel"/>
    <w:tmpl w:val="116AAEB6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lYTVhYWYzNmQxODU5YWJmZjk1ZDQwMzA0NjY2YzIifQ=="/>
  </w:docVars>
  <w:rsids>
    <w:rsidRoot w:val="220A7767"/>
    <w:rsid w:val="002253D9"/>
    <w:rsid w:val="002536F9"/>
    <w:rsid w:val="002C079E"/>
    <w:rsid w:val="003C6EFF"/>
    <w:rsid w:val="003F7027"/>
    <w:rsid w:val="004279E1"/>
    <w:rsid w:val="00516F98"/>
    <w:rsid w:val="006C6352"/>
    <w:rsid w:val="008E5676"/>
    <w:rsid w:val="00902D15"/>
    <w:rsid w:val="00BB0CA5"/>
    <w:rsid w:val="00BD1A28"/>
    <w:rsid w:val="00CD0009"/>
    <w:rsid w:val="01402B00"/>
    <w:rsid w:val="02783976"/>
    <w:rsid w:val="02CA7957"/>
    <w:rsid w:val="04A9326B"/>
    <w:rsid w:val="082E5202"/>
    <w:rsid w:val="098D5F59"/>
    <w:rsid w:val="0AFF4C34"/>
    <w:rsid w:val="0E157693"/>
    <w:rsid w:val="0F3375A2"/>
    <w:rsid w:val="0F3E3425"/>
    <w:rsid w:val="11760948"/>
    <w:rsid w:val="129E2F84"/>
    <w:rsid w:val="13CB5FFB"/>
    <w:rsid w:val="15E213DA"/>
    <w:rsid w:val="16CD4552"/>
    <w:rsid w:val="184C3483"/>
    <w:rsid w:val="1D7C443A"/>
    <w:rsid w:val="1E14059F"/>
    <w:rsid w:val="1F8B2AE2"/>
    <w:rsid w:val="1FE87F35"/>
    <w:rsid w:val="211663DC"/>
    <w:rsid w:val="216C24A0"/>
    <w:rsid w:val="220239F0"/>
    <w:rsid w:val="220A7767"/>
    <w:rsid w:val="22741355"/>
    <w:rsid w:val="25021151"/>
    <w:rsid w:val="2519649B"/>
    <w:rsid w:val="25C26B32"/>
    <w:rsid w:val="261A071C"/>
    <w:rsid w:val="267B5A2E"/>
    <w:rsid w:val="29D86924"/>
    <w:rsid w:val="29E76B67"/>
    <w:rsid w:val="2A4265CD"/>
    <w:rsid w:val="2B31437A"/>
    <w:rsid w:val="2BAA2CF4"/>
    <w:rsid w:val="2C3167C0"/>
    <w:rsid w:val="303D5733"/>
    <w:rsid w:val="30A21A3A"/>
    <w:rsid w:val="31CB6D6E"/>
    <w:rsid w:val="32F72511"/>
    <w:rsid w:val="347E456C"/>
    <w:rsid w:val="355E6877"/>
    <w:rsid w:val="37F374F4"/>
    <w:rsid w:val="398E34A3"/>
    <w:rsid w:val="3A660CAA"/>
    <w:rsid w:val="3B7A3CDF"/>
    <w:rsid w:val="3D804EB1"/>
    <w:rsid w:val="3E95498C"/>
    <w:rsid w:val="3F786788"/>
    <w:rsid w:val="405C072B"/>
    <w:rsid w:val="43566DE0"/>
    <w:rsid w:val="45575091"/>
    <w:rsid w:val="496D4ED4"/>
    <w:rsid w:val="49FE1F7F"/>
    <w:rsid w:val="4A472153"/>
    <w:rsid w:val="4AE36E03"/>
    <w:rsid w:val="4B241572"/>
    <w:rsid w:val="4FB31116"/>
    <w:rsid w:val="5167665C"/>
    <w:rsid w:val="51EB5005"/>
    <w:rsid w:val="54BC0A6D"/>
    <w:rsid w:val="567D5FDA"/>
    <w:rsid w:val="56DF2662"/>
    <w:rsid w:val="57F16C7F"/>
    <w:rsid w:val="589D2963"/>
    <w:rsid w:val="5D6D0B56"/>
    <w:rsid w:val="5E042D10"/>
    <w:rsid w:val="608E59B3"/>
    <w:rsid w:val="61062D98"/>
    <w:rsid w:val="616B4260"/>
    <w:rsid w:val="61EA4E6B"/>
    <w:rsid w:val="625C58C6"/>
    <w:rsid w:val="64DF4A2F"/>
    <w:rsid w:val="65AB4911"/>
    <w:rsid w:val="65D976D1"/>
    <w:rsid w:val="69B27027"/>
    <w:rsid w:val="69C441F4"/>
    <w:rsid w:val="69DF4B8A"/>
    <w:rsid w:val="6B574BF4"/>
    <w:rsid w:val="6C886262"/>
    <w:rsid w:val="710B6491"/>
    <w:rsid w:val="716F713B"/>
    <w:rsid w:val="71C034F3"/>
    <w:rsid w:val="71F238C8"/>
    <w:rsid w:val="73980985"/>
    <w:rsid w:val="7478774D"/>
    <w:rsid w:val="775070C7"/>
    <w:rsid w:val="78FB18E3"/>
    <w:rsid w:val="7A2D36EF"/>
    <w:rsid w:val="7AF97A75"/>
    <w:rsid w:val="7BE418FB"/>
    <w:rsid w:val="7BFE6C93"/>
    <w:rsid w:val="7C492337"/>
    <w:rsid w:val="7CAB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3016</Words>
  <Characters>3087</Characters>
  <Lines>21</Lines>
  <Paragraphs>5</Paragraphs>
  <TotalTime>12</TotalTime>
  <ScaleCrop>false</ScaleCrop>
  <LinksUpToDate>false</LinksUpToDate>
  <CharactersWithSpaces>3144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2022-11-06T23:57:00Z</dcterms:created>
  <dc:creator>1413345</dc:creator>
  <cp:lastModifiedBy>18225140223</cp:lastModifiedBy>
  <cp:lastPrinted>2025-11-10T02:14:00Z</cp:lastPrinted>
  <dcterms:modified xsi:type="dcterms:W3CDTF">2026-01-28T07:14:10Z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86E65714F0534BDA8C0BDCA09D2E569D_13</vt:lpwstr>
  </property>
  <property fmtid="{D5CDD505-2E9C-101B-9397-08002B2CF9AE}" pid="4" name="KSOTemplateDocerSaveRecord">
    <vt:lpwstr>eyJoZGlkIjoiZDgxMmRmMzg3MDA5YTFlMWIwNzgyMmIyODZkNjY2MzUiLCJ1c2VySWQiOiIxNzgzNzczOTY3In0=</vt:lpwstr>
  </property>
</Properties>
</file>