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8" w:line="198" w:lineRule="auto"/>
        <w:ind w:left="1775"/>
        <w:rPr>
          <w:rFonts w:ascii="华文中宋" w:hAnsi="华文中宋" w:eastAsia="华文中宋" w:cs="华文中宋"/>
          <w:sz w:val="35"/>
          <w:szCs w:val="35"/>
        </w:rPr>
      </w:pPr>
      <w:r>
        <w:rPr>
          <w:rFonts w:ascii="华文中宋" w:hAnsi="华文中宋" w:eastAsia="华文中宋" w:cs="华文中宋"/>
          <w:b/>
          <w:bCs/>
          <w:spacing w:val="26"/>
          <w:sz w:val="35"/>
          <w:szCs w:val="35"/>
        </w:rPr>
        <w:t>第六届课程思政案例推荐申报表</w:t>
      </w:r>
    </w:p>
    <w:p>
      <w:pPr>
        <w:spacing w:before="323" w:line="222" w:lineRule="auto"/>
        <w:ind w:left="227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第一部分   “课程思政”  设计书</w:t>
      </w:r>
    </w:p>
    <w:p>
      <w:pPr>
        <w:spacing w:line="152" w:lineRule="exact"/>
      </w:pPr>
    </w:p>
    <w:tbl>
      <w:tblPr>
        <w:tblStyle w:val="5"/>
        <w:tblW w:w="9019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1"/>
        <w:gridCol w:w="730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711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>
            <w:pPr>
              <w:spacing w:before="210" w:line="216" w:lineRule="auto"/>
              <w:ind w:left="37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案例名称</w:t>
            </w:r>
          </w:p>
        </w:tc>
        <w:tc>
          <w:tcPr>
            <w:tcW w:w="7308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1711" w:type="dxa"/>
            <w:tcBorders>
              <w:left w:val="single" w:color="000000" w:sz="10" w:space="0"/>
            </w:tcBorders>
            <w:vAlign w:val="top"/>
          </w:tcPr>
          <w:p>
            <w:pPr>
              <w:spacing w:before="211" w:line="216" w:lineRule="auto"/>
              <w:ind w:left="1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授课者及单位</w:t>
            </w:r>
          </w:p>
        </w:tc>
        <w:tc>
          <w:tcPr>
            <w:tcW w:w="730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1711" w:type="dxa"/>
            <w:tcBorders>
              <w:left w:val="single" w:color="000000" w:sz="10" w:space="0"/>
            </w:tcBorders>
            <w:vAlign w:val="top"/>
          </w:tcPr>
          <w:p>
            <w:pPr>
              <w:spacing w:before="268" w:line="216" w:lineRule="auto"/>
              <w:ind w:left="3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学科名称</w:t>
            </w:r>
          </w:p>
        </w:tc>
        <w:tc>
          <w:tcPr>
            <w:tcW w:w="730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1711" w:type="dxa"/>
            <w:tcBorders>
              <w:left w:val="single" w:color="000000" w:sz="10" w:space="0"/>
            </w:tcBorders>
            <w:vAlign w:val="top"/>
          </w:tcPr>
          <w:p>
            <w:pPr>
              <w:spacing w:before="111" w:line="242" w:lineRule="auto"/>
              <w:ind w:left="606" w:right="135" w:hanging="48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微课所在章节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名称</w:t>
            </w:r>
          </w:p>
        </w:tc>
        <w:tc>
          <w:tcPr>
            <w:tcW w:w="730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711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74" w:line="216" w:lineRule="auto"/>
              <w:ind w:left="36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授课对象</w:t>
            </w:r>
          </w:p>
        </w:tc>
        <w:tc>
          <w:tcPr>
            <w:tcW w:w="7308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9019" w:type="dxa"/>
            <w:gridSpan w:val="2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spacing w:before="73" w:line="216" w:lineRule="auto"/>
              <w:ind w:left="40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教学设计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1711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>
            <w:pPr>
              <w:spacing w:before="170" w:line="245" w:lineRule="auto"/>
              <w:ind w:left="150" w:right="135" w:hanging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切入课程思政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的课程知识点</w:t>
            </w:r>
          </w:p>
        </w:tc>
        <w:tc>
          <w:tcPr>
            <w:tcW w:w="7308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711" w:type="dxa"/>
            <w:tcBorders>
              <w:left w:val="single" w:color="000000" w:sz="10" w:space="0"/>
            </w:tcBorders>
            <w:vAlign w:val="top"/>
          </w:tcPr>
          <w:p>
            <w:pPr>
              <w:spacing w:before="106" w:line="230" w:lineRule="auto"/>
              <w:ind w:left="493" w:right="135" w:hanging="34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思政教育的课程目标</w:t>
            </w:r>
          </w:p>
        </w:tc>
        <w:tc>
          <w:tcPr>
            <w:tcW w:w="730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711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75" w:line="219" w:lineRule="auto"/>
              <w:ind w:left="1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知识点与思政</w:t>
            </w:r>
          </w:p>
          <w:p>
            <w:pPr>
              <w:spacing w:before="32" w:line="217" w:lineRule="auto"/>
              <w:ind w:left="1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教育结合的教</w:t>
            </w:r>
          </w:p>
          <w:p>
            <w:pPr>
              <w:spacing w:before="33" w:line="207" w:lineRule="auto"/>
              <w:ind w:left="5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学设计</w:t>
            </w:r>
          </w:p>
        </w:tc>
        <w:tc>
          <w:tcPr>
            <w:tcW w:w="7308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331" w:line="294" w:lineRule="auto"/>
        <w:ind w:left="27" w:right="184" w:firstLine="558"/>
        <w:rPr>
          <w:rFonts w:ascii="华文仿宋" w:hAnsi="华文仿宋" w:eastAsia="华文仿宋" w:cs="华文仿宋"/>
          <w:sz w:val="28"/>
          <w:szCs w:val="28"/>
        </w:rPr>
      </w:pPr>
      <w:r>
        <w:rPr>
          <w:rFonts w:ascii="黑体" w:hAnsi="黑体" w:eastAsia="黑体" w:cs="黑体"/>
          <w:spacing w:val="-4"/>
          <w:sz w:val="28"/>
          <w:szCs w:val="28"/>
        </w:rPr>
        <w:t xml:space="preserve">第二部分  </w:t>
      </w:r>
      <w:r>
        <w:rPr>
          <w:rFonts w:ascii="华文仿宋" w:hAnsi="华文仿宋" w:eastAsia="华文仿宋" w:cs="华文仿宋"/>
          <w:spacing w:val="-4"/>
          <w:sz w:val="28"/>
          <w:szCs w:val="28"/>
        </w:rPr>
        <w:t>课堂实录（以文字的方式呈现课本学科知识点与</w:t>
      </w:r>
      <w:r>
        <w:rPr>
          <w:rFonts w:ascii="华文仿宋" w:hAnsi="华文仿宋" w:eastAsia="华文仿宋" w:cs="华文仿宋"/>
          <w:spacing w:val="-5"/>
          <w:sz w:val="28"/>
          <w:szCs w:val="28"/>
        </w:rPr>
        <w:t>思政点结合的教学过程，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5-</w:t>
      </w:r>
      <w:r>
        <w:rPr>
          <w:rFonts w:ascii="Times New Roman" w:hAnsi="Times New Roman" w:eastAsia="Times New Roman" w:cs="Times New Roman"/>
          <w:spacing w:val="-3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10 </w:t>
      </w:r>
      <w:r>
        <w:rPr>
          <w:rFonts w:ascii="华文仿宋" w:hAnsi="华文仿宋" w:eastAsia="华文仿宋" w:cs="华文仿宋"/>
          <w:spacing w:val="-5"/>
          <w:sz w:val="28"/>
          <w:szCs w:val="28"/>
        </w:rPr>
        <w:t>分钟，而不是整节课，避免把</w:t>
      </w:r>
      <w:r>
        <w:rPr>
          <w:rFonts w:ascii="华文仿宋" w:hAnsi="华文仿宋" w:eastAsia="华文仿宋" w:cs="华文仿宋"/>
          <w:spacing w:val="-6"/>
          <w:sz w:val="28"/>
          <w:szCs w:val="28"/>
        </w:rPr>
        <w:t>学科教学变成思想政治</w:t>
      </w:r>
      <w:r>
        <w:rPr>
          <w:rFonts w:ascii="华文仿宋" w:hAnsi="华文仿宋" w:eastAsia="华文仿宋" w:cs="华文仿宋"/>
          <w:spacing w:val="-7"/>
          <w:sz w:val="28"/>
          <w:szCs w:val="28"/>
        </w:rPr>
        <w:t>课）</w:t>
      </w:r>
    </w:p>
    <w:p>
      <w:pPr>
        <w:spacing w:line="310" w:lineRule="auto"/>
        <w:ind w:left="37" w:right="184" w:firstLine="548"/>
        <w:rPr>
          <w:rFonts w:ascii="华文仿宋" w:hAnsi="华文仿宋" w:eastAsia="华文仿宋" w:cs="华文仿宋"/>
          <w:sz w:val="28"/>
          <w:szCs w:val="28"/>
        </w:rPr>
      </w:pPr>
      <w:r>
        <w:rPr>
          <w:rFonts w:ascii="黑体" w:hAnsi="黑体" w:eastAsia="黑体" w:cs="黑体"/>
          <w:spacing w:val="-4"/>
          <w:sz w:val="28"/>
          <w:szCs w:val="28"/>
        </w:rPr>
        <w:t xml:space="preserve">第三部分  </w:t>
      </w:r>
      <w:r>
        <w:rPr>
          <w:rFonts w:ascii="华文仿宋" w:hAnsi="华文仿宋" w:eastAsia="华文仿宋" w:cs="华文仿宋"/>
          <w:spacing w:val="-4"/>
          <w:sz w:val="28"/>
          <w:szCs w:val="28"/>
        </w:rPr>
        <w:t>案例分析（从以下三方面谈教学体会。一是理论依</w:t>
      </w:r>
      <w:r>
        <w:rPr>
          <w:rFonts w:ascii="华文仿宋" w:hAnsi="华文仿宋" w:eastAsia="华文仿宋" w:cs="华文仿宋"/>
          <w:spacing w:val="-5"/>
          <w:sz w:val="28"/>
          <w:szCs w:val="28"/>
        </w:rPr>
        <w:t>据，即</w:t>
      </w:r>
      <w:r>
        <w:rPr>
          <w:rFonts w:ascii="华文仿宋" w:hAnsi="华文仿宋" w:eastAsia="华文仿宋" w:cs="华文仿宋"/>
          <w:spacing w:val="-6"/>
          <w:sz w:val="28"/>
          <w:szCs w:val="28"/>
        </w:rPr>
        <w:t>重点阐述为什么要这样做；二是特色创新，结合相</w:t>
      </w:r>
      <w:r>
        <w:rPr>
          <w:rFonts w:ascii="华文仿宋" w:hAnsi="华文仿宋" w:eastAsia="华文仿宋" w:cs="华文仿宋"/>
          <w:spacing w:val="-7"/>
          <w:sz w:val="28"/>
          <w:szCs w:val="28"/>
        </w:rPr>
        <w:t>关理论或自 己的认识与</w:t>
      </w:r>
      <w:r>
        <w:rPr>
          <w:rFonts w:ascii="华文仿宋" w:hAnsi="华文仿宋" w:eastAsia="华文仿宋" w:cs="华文仿宋"/>
          <w:spacing w:val="-4"/>
          <w:sz w:val="28"/>
          <w:szCs w:val="28"/>
        </w:rPr>
        <w:t>经验角度，谈为什么好；三是反思与建议，主要</w:t>
      </w:r>
      <w:r>
        <w:rPr>
          <w:rFonts w:ascii="华文仿宋" w:hAnsi="华文仿宋" w:eastAsia="华文仿宋" w:cs="华文仿宋"/>
          <w:spacing w:val="-5"/>
          <w:sz w:val="28"/>
          <w:szCs w:val="28"/>
        </w:rPr>
        <w:t>谈本次课程思政设计及教</w:t>
      </w:r>
      <w:r>
        <w:rPr>
          <w:rFonts w:ascii="华文仿宋" w:hAnsi="华文仿宋" w:eastAsia="华文仿宋" w:cs="华文仿宋"/>
          <w:spacing w:val="-7"/>
          <w:sz w:val="28"/>
          <w:szCs w:val="28"/>
        </w:rPr>
        <w:t>学存在的问题</w:t>
      </w:r>
      <w:r>
        <w:rPr>
          <w:rFonts w:ascii="华文仿宋" w:hAnsi="华文仿宋" w:eastAsia="华文仿宋" w:cs="华文仿宋"/>
          <w:spacing w:val="-18"/>
          <w:sz w:val="28"/>
          <w:szCs w:val="28"/>
        </w:rPr>
        <w:t xml:space="preserve"> </w:t>
      </w:r>
      <w:r>
        <w:rPr>
          <w:rFonts w:ascii="华文仿宋" w:hAnsi="华文仿宋" w:eastAsia="华文仿宋" w:cs="华文仿宋"/>
          <w:spacing w:val="-7"/>
          <w:sz w:val="28"/>
          <w:szCs w:val="28"/>
        </w:rPr>
        <w:t>，解决方法或启示</w:t>
      </w:r>
      <w:r>
        <w:rPr>
          <w:rFonts w:ascii="华文仿宋" w:hAnsi="华文仿宋" w:eastAsia="华文仿宋" w:cs="华文仿宋"/>
          <w:spacing w:val="-36"/>
          <w:sz w:val="28"/>
          <w:szCs w:val="28"/>
        </w:rPr>
        <w:t xml:space="preserve"> </w:t>
      </w:r>
      <w:r>
        <w:rPr>
          <w:rFonts w:ascii="华文仿宋" w:hAnsi="华文仿宋" w:eastAsia="华文仿宋" w:cs="华文仿宋"/>
          <w:spacing w:val="-7"/>
          <w:sz w:val="28"/>
          <w:szCs w:val="28"/>
        </w:rPr>
        <w:t>。）</w:t>
      </w:r>
    </w:p>
    <w:p>
      <w:pPr>
        <w:spacing w:line="310" w:lineRule="auto"/>
        <w:rPr>
          <w:rFonts w:ascii="华文仿宋" w:hAnsi="华文仿宋" w:eastAsia="华文仿宋" w:cs="华文仿宋"/>
          <w:sz w:val="28"/>
          <w:szCs w:val="28"/>
        </w:rPr>
        <w:sectPr>
          <w:headerReference r:id="rId5" w:type="default"/>
          <w:footerReference r:id="rId6" w:type="default"/>
          <w:pgSz w:w="11906" w:h="16839"/>
          <w:pgMar w:top="2663" w:right="1288" w:bottom="1568" w:left="1572" w:header="2173" w:footer="1315" w:gutter="0"/>
          <w:cols w:space="720" w:num="1"/>
        </w:sect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pStyle w:val="2"/>
        <w:spacing w:before="130" w:line="367" w:lineRule="auto"/>
        <w:ind w:left="131" w:right="1673" w:firstLine="1368"/>
        <w:rPr>
          <w:sz w:val="24"/>
          <w:szCs w:val="24"/>
        </w:rPr>
      </w:pPr>
      <w:r>
        <w:rPr>
          <w:rFonts w:ascii="华文中宋" w:hAnsi="华文中宋" w:eastAsia="华文中宋" w:cs="华文中宋"/>
          <w:b/>
          <w:bCs/>
          <w:spacing w:val="26"/>
          <w:sz w:val="35"/>
          <w:szCs w:val="35"/>
        </w:rPr>
        <w:t>第六届课程思政优秀案例推荐汇总表</w:t>
      </w:r>
      <w:r>
        <w:rPr>
          <w:b/>
          <w:bCs/>
          <w:spacing w:val="-5"/>
          <w:sz w:val="24"/>
          <w:szCs w:val="24"/>
        </w:rPr>
        <w:t>填报人：</w:t>
      </w:r>
      <w:r>
        <w:rPr>
          <w:spacing w:val="1"/>
          <w:sz w:val="24"/>
          <w:szCs w:val="24"/>
        </w:rPr>
        <w:t xml:space="preserve">                          </w:t>
      </w:r>
      <w:r>
        <w:rPr>
          <w:b/>
          <w:bCs/>
          <w:spacing w:val="-5"/>
          <w:sz w:val="24"/>
          <w:szCs w:val="24"/>
        </w:rPr>
        <w:t>填报单位（盖章</w:t>
      </w:r>
      <w:r>
        <w:rPr>
          <w:b/>
          <w:bCs/>
          <w:spacing w:val="-1"/>
          <w:sz w:val="24"/>
          <w:szCs w:val="24"/>
        </w:rPr>
        <w:t>）：</w:t>
      </w:r>
    </w:p>
    <w:tbl>
      <w:tblPr>
        <w:tblStyle w:val="5"/>
        <w:tblW w:w="9229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2"/>
        <w:gridCol w:w="2227"/>
        <w:gridCol w:w="1547"/>
        <w:gridCol w:w="1194"/>
        <w:gridCol w:w="2280"/>
        <w:gridCol w:w="136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43" w:hRule="atLeast"/>
        </w:trPr>
        <w:tc>
          <w:tcPr>
            <w:tcW w:w="61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>
            <w:pPr>
              <w:spacing w:before="169" w:line="208" w:lineRule="auto"/>
              <w:ind w:left="48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38"/>
                <w:sz w:val="28"/>
                <w:szCs w:val="28"/>
              </w:rPr>
              <w:t>序号</w:t>
            </w:r>
          </w:p>
        </w:tc>
        <w:tc>
          <w:tcPr>
            <w:tcW w:w="2227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8" w:line="221" w:lineRule="auto"/>
              <w:ind w:left="836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8"/>
                <w:szCs w:val="28"/>
              </w:rPr>
              <w:t>题目</w:t>
            </w:r>
          </w:p>
        </w:tc>
        <w:tc>
          <w:tcPr>
            <w:tcW w:w="1547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8" w:line="218" w:lineRule="auto"/>
              <w:ind w:left="163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8"/>
                <w:szCs w:val="28"/>
              </w:rPr>
              <w:t>学段/学科</w:t>
            </w:r>
          </w:p>
        </w:tc>
        <w:tc>
          <w:tcPr>
            <w:tcW w:w="1194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8" w:line="220" w:lineRule="auto"/>
              <w:ind w:left="325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8"/>
                <w:szCs w:val="28"/>
              </w:rPr>
              <w:t>姓名</w:t>
            </w:r>
          </w:p>
        </w:tc>
        <w:tc>
          <w:tcPr>
            <w:tcW w:w="2280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9" w:line="216" w:lineRule="auto"/>
              <w:ind w:left="88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8"/>
                <w:szCs w:val="28"/>
              </w:rPr>
              <w:t>单位</w:t>
            </w:r>
          </w:p>
        </w:tc>
        <w:tc>
          <w:tcPr>
            <w:tcW w:w="1369" w:type="dxa"/>
            <w:tcBorders>
              <w:top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spacing w:before="227" w:line="219" w:lineRule="auto"/>
              <w:ind w:left="134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8"/>
                <w:szCs w:val="28"/>
              </w:rPr>
              <w:t>联系方式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612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0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0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1" w:hRule="atLeast"/>
        </w:trPr>
        <w:tc>
          <w:tcPr>
            <w:tcW w:w="612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4" w:hRule="atLeast"/>
        </w:trPr>
        <w:tc>
          <w:tcPr>
            <w:tcW w:w="612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27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0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9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headerReference r:id="rId7" w:type="default"/>
          <w:footerReference r:id="rId8" w:type="default"/>
          <w:pgSz w:w="11906" w:h="16839"/>
          <w:pgMar w:top="400" w:right="1186" w:bottom="1568" w:left="1464" w:header="0" w:footer="1315" w:gutter="0"/>
          <w:cols w:space="720" w:num="1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13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5"/>
        <w:sz w:val="28"/>
        <w:szCs w:val="28"/>
      </w:rPr>
      <w:t>—</w:t>
    </w:r>
    <w:r>
      <w:rPr>
        <w:rFonts w:ascii="Times New Roman" w:hAnsi="Times New Roman" w:eastAsia="Times New Roman" w:cs="Times New Roman"/>
        <w:spacing w:val="28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5"/>
        <w:sz w:val="28"/>
        <w:szCs w:val="28"/>
      </w:rPr>
      <w:t>10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7993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7"/>
        <w:sz w:val="28"/>
        <w:szCs w:val="28"/>
      </w:rPr>
      <w:t>—</w:t>
    </w:r>
    <w:r>
      <w:rPr>
        <w:rFonts w:ascii="Times New Roman" w:hAnsi="Times New Roman" w:eastAsia="Times New Roman" w:cs="Times New Roman"/>
        <w:spacing w:val="28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7"/>
        <w:sz w:val="28"/>
        <w:szCs w:val="28"/>
      </w:rPr>
      <w:t>11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83" w:line="230" w:lineRule="auto"/>
      <w:ind w:left="43"/>
      <w:rPr>
        <w:rFonts w:ascii="黑体" w:hAnsi="黑体" w:eastAsia="黑体" w:cs="黑体"/>
        <w:sz w:val="31"/>
        <w:szCs w:val="31"/>
      </w:rPr>
    </w:pPr>
    <w:r>
      <w:rPr>
        <w:rFonts w:ascii="黑体" w:hAnsi="黑体" w:eastAsia="黑体" w:cs="黑体"/>
        <w:spacing w:val="24"/>
        <w:sz w:val="31"/>
        <w:szCs w:val="31"/>
      </w:rPr>
      <w:t>附件3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B7286"/>
    <w:rsid w:val="7CBB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2026-05-07T06:48:00Z</dcterms:created>
  <dc:creator>大师兄</dc:creator>
  <cp:lastModifiedBy>大师兄</cp:lastModifiedBy>
  <dcterms:modified xsi:type="dcterms:W3CDTF">2026-05-07T06:49:12Z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