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B3A6B"/>
          <w:sz w:val="28"/>
          <w:szCs w:val="28"/>
        </w:rPr>
        <w:t xml:space="preserve">MONDAY, MARCH 23, 2026</w:t>
      </w:r>
    </w:p>
    <w:p>
      <w:pPr>
        <w:spacing w:after="40"/>
      </w:pPr>
      <w:r>
        <w:rPr>
          <w:rFonts w:ascii="Arial" w:cs="Arial" w:eastAsia="Arial" w:hAnsi="Arial"/>
          <w:b/>
          <w:bCs/>
          <w:color w:val="1A7A4A"/>
          <w:sz w:val="22"/>
          <w:szCs w:val="22"/>
        </w:rPr>
        <w:t xml:space="preserve">Trump Delays Iran Strikes 5 Days. “Very Good Talks.” Brent Crashes 14%. Futures Rip. COHR/LITE Join S&amp;P 500 Today.</w:t>
      </w:r>
    </w:p>
    <w:p>
      <w:pPr>
        <w:spacing w:after="100"/>
      </w:pPr>
      <w:r>
        <w:rPr>
          <w:rFonts w:ascii="Arial" w:cs="Arial" w:eastAsia="Arial" w:hAnsi="Arial"/>
          <w:color w:val="5D6D7E"/>
          <w:sz w:val="18"/>
          <w:szCs w:val="18"/>
        </w:rPr>
        <w:t xml:space="preserve">Day 24 of the US-Iran War  |  Brent $99–$104 (was $112 Fri)  |  S&amp;P Futs +2.7%  |  Dow Futs +2.1%  |  VIX 26.8</w:t>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TOP CALL — THE CEASEFIRE TRADE IS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22"/>
              <w:bottom w:val="single" w:color="1A7A4A" w:sz="1"/>
              <w:right w:val="single" w:color="1A7A4A" w:sz="1"/>
            </w:tcBorders>
            <w:shd w:fill="EAF7EF" w:val="clear"/>
            <w:tcMar>
              <w:top w:type="dxa" w:w="120"/>
              <w:left w:type="dxa" w:w="200"/>
              <w:bottom w:type="dxa" w:w="120"/>
              <w:right w:type="dxa" w:w="180"/>
            </w:tcMar>
          </w:tcPr>
          <w:p>
            <w:r>
              <w:rPr>
                <w:rFonts w:ascii="Arial" w:cs="Arial" w:eastAsia="Arial" w:hAnsi="Arial"/>
                <w:b/>
                <w:bCs/>
                <w:caps/>
                <w:color w:val="1A7A4A"/>
                <w:sz w:val="17"/>
                <w:szCs w:val="17"/>
              </w:rPr>
              <w:t xml:space="preserve">BREAKING  </w:t>
            </w:r>
            <w:r>
              <w:rPr>
                <w:rFonts w:ascii="Arial" w:cs="Arial" w:eastAsia="Arial" w:hAnsi="Arial"/>
                <w:b/>
                <w:bCs/>
                <w:color w:val="1B3A6B"/>
                <w:sz w:val="20"/>
                <w:szCs w:val="20"/>
              </w:rPr>
              <w:t xml:space="preserve">Trump Postpones Iran Strikes for 5 Days, Cites “Very Good” Talks</w:t>
            </w:r>
          </w:p>
          <w:p>
            <w:pPr>
              <w:spacing w:before="70"/>
            </w:pPr>
            <w:r>
              <w:rPr>
                <w:rFonts w:ascii="Arial" w:cs="Arial" w:eastAsia="Arial" w:hAnsi="Arial"/>
                <w:sz w:val="19"/>
                <w:szCs w:val="19"/>
              </w:rPr>
              <w:t xml:space="preserve">President Trump announced overnight that the US is postponing planned strikes on Iranian power plants and energy infrastructure for five days, citing “very good” talks with Tehran. He said envoys Steve Witkoff and Jared Kushner held talks with a “respected” Iranian leader on Sunday night. Trump stated both sides are keen to “make a deal” and that there are already “major points of agreement.” His chief demand: Iran must give up its enriched uranium stockpile.</w:t>
            </w:r>
          </w:p>
        </w:tc>
      </w:tr>
    </w:tbl>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680A" w:sz="1"/>
              <w:left w:val="single" w:color="C0680A" w:sz="22"/>
              <w:bottom w:val="single" w:color="C0680A" w:sz="1"/>
              <w:right w:val="single" w:color="C0680A" w:sz="1"/>
            </w:tcBorders>
            <w:shd w:fill="FEF9E7" w:val="clear"/>
            <w:tcMar>
              <w:top w:type="dxa" w:w="120"/>
              <w:left w:type="dxa" w:w="200"/>
              <w:bottom w:type="dxa" w:w="120"/>
              <w:right w:type="dxa" w:w="180"/>
            </w:tcMar>
          </w:tcPr>
          <w:p>
            <w:r>
              <w:rPr>
                <w:rFonts w:ascii="Arial" w:cs="Arial" w:eastAsia="Arial" w:hAnsi="Arial"/>
                <w:b/>
                <w:bCs/>
                <w:caps/>
                <w:color w:val="C0680A"/>
                <w:sz w:val="17"/>
                <w:szCs w:val="17"/>
              </w:rPr>
              <w:t xml:space="preserve">CAUTION  </w:t>
            </w:r>
            <w:r>
              <w:rPr>
                <w:rFonts w:ascii="Arial" w:cs="Arial" w:eastAsia="Arial" w:hAnsi="Arial"/>
                <w:b/>
                <w:bCs/>
                <w:color w:val="1B3A6B"/>
                <w:sz w:val="20"/>
                <w:szCs w:val="20"/>
              </w:rPr>
              <w:t xml:space="preserve">Iran Denies Direct Talks. Says Trump Is “Manipulating Markets.”</w:t>
            </w:r>
          </w:p>
          <w:p>
            <w:pPr>
              <w:spacing w:before="70"/>
            </w:pPr>
            <w:r>
              <w:rPr>
                <w:rFonts w:ascii="Arial" w:cs="Arial" w:eastAsia="Arial" w:hAnsi="Arial"/>
                <w:sz w:val="19"/>
                <w:szCs w:val="19"/>
              </w:rPr>
              <w:t xml:space="preserve">Iran’s response is skeptical to hostile. Speaker Ghalibaf denied any “negotiations” took place and called Trump’s claims an effort to “manipulate markets” and “escape the quagmire.” Iran’s position: the US announcement is designed to lower energy prices and buy time for military repositioning. This is a critical credibility gap—if Iran doesn’t confirm the talks, the 5-day window may be more of a head-fake than a genuine off-ramp.</w:t>
            </w:r>
          </w:p>
        </w:tc>
      </w:tr>
    </w:tbl>
    <w:p>
      <w:pPr>
        <w:spacing w:after="40"/>
      </w:pPr>
      <w:r>
        <w:rPr>
          <w:rFonts w:ascii="Arial" w:cs="Arial" w:eastAsia="Arial" w:hAnsi="Arial"/>
        </w:rPr>
        <w:t xml:space="preserve"/>
      </w:r>
    </w:p>
    <w:p>
      <w:pPr>
        <w:spacing w:after="80"/>
      </w:pPr>
      <w:r>
        <w:rPr>
          <w:rFonts w:ascii="Arial" w:cs="Arial" w:eastAsia="Arial" w:hAnsi="Arial"/>
          <w:i/>
          <w:iCs/>
          <w:sz w:val="19"/>
          <w:szCs w:val="19"/>
        </w:rPr>
        <w:t xml:space="preserve">Our Take: This is the first genuine ceasefire signal in 24 days of war. Even if Iran is publicly denying talks (expected—they can’t appear to negotiate under fire), the fact that Trump is pausing strikes is material. Markets are pricing in a 30–40% probability of a deal within 5 days. If talks collapse by Friday, we retrace violently. If they hold, this is the bottom for risk assets and the top for oil. Trade accordingly—this is a binary event.</w:t>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MARKET SNAPSHOT — 6:45 AM 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760"/>
        <w:gridCol w:w="3000"/>
      </w:tblGrid>
      <w:tr>
        <w:tc>
          <w:tcPr>
            <w:tcW w:type="dxa" w:w="24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Index / Asset</w:t>
            </w:r>
          </w:p>
        </w:tc>
        <w:tc>
          <w:tcPr>
            <w:tcW w:type="dxa" w:w="22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Level</w:t>
            </w:r>
          </w:p>
        </w:tc>
        <w:tc>
          <w:tcPr>
            <w:tcW w:type="dxa" w:w="176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Change</w:t>
            </w:r>
          </w:p>
        </w:tc>
        <w:tc>
          <w:tcPr>
            <w:tcW w:type="dxa" w:w="30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Note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S&amp;P 500 Futs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color w:val="5D6D7E"/>
                <w:sz w:val="19"/>
                <w:szCs w:val="19"/>
              </w:rPr>
              <w:t xml:space="preserve">5,730</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b/>
                <w:bCs/>
                <w:color w:val="1A7A4A"/>
                <w:sz w:val="19"/>
                <w:szCs w:val="19"/>
              </w:rPr>
              <w:t xml:space="preserve">+2.7%</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Biggest gap-up since Feb 28 war start</w:t>
            </w:r>
          </w:p>
        </w:tc>
      </w:tr>
      <w:tr>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Nasdaq 100 Futs</w:t>
            </w:r>
          </w:p>
        </w:tc>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right"/>
            </w:pPr>
            <w:r>
              <w:rPr>
                <w:rFonts w:ascii="Arial" w:cs="Arial" w:eastAsia="Arial" w:hAnsi="Arial"/>
                <w:color w:val="5D6D7E"/>
                <w:sz w:val="19"/>
                <w:szCs w:val="19"/>
              </w:rPr>
              <w:t xml:space="preserve">20,050</w:t>
            </w:r>
          </w:p>
        </w:tc>
        <w:tc>
          <w:tcPr>
            <w:tcW w:type="dxa" w:w="1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right"/>
            </w:pPr>
            <w:r>
              <w:rPr>
                <w:rFonts w:ascii="Arial" w:cs="Arial" w:eastAsia="Arial" w:hAnsi="Arial"/>
                <w:b/>
                <w:bCs/>
                <w:color w:val="1A7A4A"/>
                <w:sz w:val="19"/>
                <w:szCs w:val="19"/>
              </w:rPr>
              <w:t xml:space="preserve">+3.1%</w:t>
            </w:r>
          </w:p>
        </w:tc>
        <w:tc>
          <w:tcPr>
            <w:tcW w:type="dxa" w:w="3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Tech leading the relief rally</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Dow Futs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color w:val="5D6D7E"/>
                <w:sz w:val="19"/>
                <w:szCs w:val="19"/>
              </w:rPr>
              <w:t xml:space="preserve">46,500</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b/>
                <w:bCs/>
                <w:color w:val="1A7A4A"/>
                <w:sz w:val="19"/>
                <w:szCs w:val="19"/>
              </w:rPr>
              <w:t xml:space="preserve">+2.1%</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Broad risk-on</w:t>
            </w:r>
          </w:p>
        </w:tc>
      </w:tr>
      <w:tr>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Russell 2000 Futs</w:t>
            </w:r>
          </w:p>
        </w:tc>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right"/>
            </w:pPr>
            <w:r>
              <w:rPr>
                <w:rFonts w:ascii="Arial" w:cs="Arial" w:eastAsia="Arial" w:hAnsi="Arial"/>
                <w:color w:val="5D6D7E"/>
                <w:sz w:val="19"/>
                <w:szCs w:val="19"/>
              </w:rPr>
              <w:t xml:space="preserve">1,920</w:t>
            </w:r>
          </w:p>
        </w:tc>
        <w:tc>
          <w:tcPr>
            <w:tcW w:type="dxa" w:w="1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right"/>
            </w:pPr>
            <w:r>
              <w:rPr>
                <w:rFonts w:ascii="Arial" w:cs="Arial" w:eastAsia="Arial" w:hAnsi="Arial"/>
                <w:b/>
                <w:bCs/>
                <w:color w:val="1A7A4A"/>
                <w:sz w:val="19"/>
                <w:szCs w:val="19"/>
              </w:rPr>
              <w:t xml:space="preserve">+2.8%</w:t>
            </w:r>
          </w:p>
        </w:tc>
        <w:tc>
          <w:tcPr>
            <w:tcW w:type="dxa" w:w="3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Small caps bouncing hard</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Brent Crude</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color w:val="5D6D7E"/>
                <w:sz w:val="19"/>
                <w:szCs w:val="19"/>
              </w:rPr>
              <w:t xml:space="preserve">$99–$104</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b/>
                <w:bCs/>
                <w:color w:val="C0392B"/>
                <w:sz w:val="19"/>
                <w:szCs w:val="19"/>
              </w:rPr>
              <w:t xml:space="preserve">−11% to −14%</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Crashed from $112; biggest single-day drop in years</w:t>
            </w:r>
          </w:p>
        </w:tc>
      </w:tr>
      <w:tr>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WTI Crude</w:t>
            </w:r>
          </w:p>
        </w:tc>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right"/>
            </w:pPr>
            <w:r>
              <w:rPr>
                <w:rFonts w:ascii="Arial" w:cs="Arial" w:eastAsia="Arial" w:hAnsi="Arial"/>
                <w:color w:val="5D6D7E"/>
                <w:sz w:val="19"/>
                <w:szCs w:val="19"/>
              </w:rPr>
              <w:t xml:space="preserve">$96–$101</w:t>
            </w:r>
          </w:p>
        </w:tc>
        <w:tc>
          <w:tcPr>
            <w:tcW w:type="dxa" w:w="1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right"/>
            </w:pPr>
            <w:r>
              <w:rPr>
                <w:rFonts w:ascii="Arial" w:cs="Arial" w:eastAsia="Arial" w:hAnsi="Arial"/>
                <w:b/>
                <w:bCs/>
                <w:color w:val="C0392B"/>
                <w:sz w:val="19"/>
                <w:szCs w:val="19"/>
              </w:rPr>
              <w:t xml:space="preserve">−10% to −13%</w:t>
            </w:r>
          </w:p>
        </w:tc>
        <w:tc>
          <w:tcPr>
            <w:tcW w:type="dxa" w:w="3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Gave back nearly all of last week’s gains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Gold</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color w:val="5D6D7E"/>
                <w:sz w:val="19"/>
                <w:szCs w:val="19"/>
              </w:rPr>
              <w:t xml:space="preserve">$3,210</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b/>
                <w:bCs/>
                <w:color w:val="C0392B"/>
                <w:sz w:val="19"/>
                <w:szCs w:val="19"/>
              </w:rPr>
              <w:t xml:space="preserve">−2.4%</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Safe haven unwind; down from record $3,290</w:t>
            </w:r>
          </w:p>
        </w:tc>
      </w:tr>
      <w:tr>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VIX</w:t>
            </w:r>
          </w:p>
        </w:tc>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right"/>
            </w:pPr>
            <w:r>
              <w:rPr>
                <w:rFonts w:ascii="Arial" w:cs="Arial" w:eastAsia="Arial" w:hAnsi="Arial"/>
                <w:color w:val="5D6D7E"/>
                <w:sz w:val="19"/>
                <w:szCs w:val="19"/>
              </w:rPr>
              <w:t xml:space="preserve">26.8</w:t>
            </w:r>
          </w:p>
        </w:tc>
        <w:tc>
          <w:tcPr>
            <w:tcW w:type="dxa" w:w="1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right"/>
            </w:pPr>
            <w:r>
              <w:rPr>
                <w:rFonts w:ascii="Arial" w:cs="Arial" w:eastAsia="Arial" w:hAnsi="Arial"/>
                <w:b/>
                <w:bCs/>
                <w:color w:val="C0392B"/>
                <w:sz w:val="19"/>
                <w:szCs w:val="19"/>
              </w:rPr>
              <w:t xml:space="preserve">−15%</w:t>
            </w:r>
          </w:p>
        </w:tc>
        <w:tc>
          <w:tcPr>
            <w:tcW w:type="dxa" w:w="3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Vol crushed on ceasefire hopes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10Y UST</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color w:val="5D6D7E"/>
                <w:sz w:val="19"/>
                <w:szCs w:val="19"/>
              </w:rPr>
              <w:t xml:space="preserve">4.28%</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b/>
                <w:bCs/>
                <w:color w:val="C0392B"/>
                <w:sz w:val="19"/>
                <w:szCs w:val="19"/>
              </w:rPr>
              <w:t xml:space="preserve">−4bp</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Modest rate relief</w:t>
            </w:r>
          </w:p>
        </w:tc>
      </w:tr>
      <w:tr>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DXY (Dollar)</w:t>
            </w:r>
          </w:p>
        </w:tc>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right"/>
            </w:pPr>
            <w:r>
              <w:rPr>
                <w:rFonts w:ascii="Arial" w:cs="Arial" w:eastAsia="Arial" w:hAnsi="Arial"/>
                <w:color w:val="5D6D7E"/>
                <w:sz w:val="19"/>
                <w:szCs w:val="19"/>
              </w:rPr>
              <w:t xml:space="preserve">105.9</w:t>
            </w:r>
          </w:p>
        </w:tc>
        <w:tc>
          <w:tcPr>
            <w:tcW w:type="dxa" w:w="1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right"/>
            </w:pPr>
            <w:r>
              <w:rPr>
                <w:rFonts w:ascii="Arial" w:cs="Arial" w:eastAsia="Arial" w:hAnsi="Arial"/>
                <w:b/>
                <w:bCs/>
                <w:color w:val="C0392B"/>
                <w:sz w:val="19"/>
                <w:szCs w:val="19"/>
              </w:rPr>
              <w:t xml:space="preserve">−0.8%</w:t>
            </w:r>
          </w:p>
        </w:tc>
        <w:tc>
          <w:tcPr>
            <w:tcW w:type="dxa" w:w="3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Dollar weakens as risk-on returns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Bitcoin</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color w:val="5D6D7E"/>
                <w:sz w:val="19"/>
                <w:szCs w:val="19"/>
              </w:rPr>
              <w:t xml:space="preserve">$70,600</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right"/>
            </w:pPr>
            <w:r>
              <w:rPr>
                <w:rFonts w:ascii="Arial" w:cs="Arial" w:eastAsia="Arial" w:hAnsi="Arial"/>
                <w:b/>
                <w:bCs/>
                <w:color w:val="1A7A4A"/>
                <w:sz w:val="19"/>
                <w:szCs w:val="19"/>
              </w:rPr>
              <w:t xml:space="preserve">+8.5%</w:t>
            </w:r>
          </w:p>
        </w:tc>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Risk-on bid; bouncing from $65K weekend lows</w:t>
            </w:r>
          </w:p>
        </w:tc>
      </w:tr>
    </w:tbl>
    <w:p>
      <w:pPr>
        <w:spacing w:after="60"/>
      </w:pPr>
      <w:r>
        <w:rPr>
          <w:rFonts w:ascii="Arial" w:cs="Arial" w:eastAsia="Arial" w:hAnsi="Arial"/>
        </w:rPr>
        <w:t xml:space="preserve"/>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OIL — THE 14% CRASH HEARD AROUND THE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22"/>
              <w:bottom w:val="single" w:color="C0392B" w:sz="1"/>
              <w:right w:val="single" w:color="C0392B" w:sz="1"/>
            </w:tcBorders>
            <w:shd w:fill="FDF2F2" w:val="clear"/>
            <w:tcMar>
              <w:top w:type="dxa" w:w="120"/>
              <w:left w:type="dxa" w:w="200"/>
              <w:bottom w:type="dxa" w:w="120"/>
              <w:right w:type="dxa" w:w="180"/>
            </w:tcMar>
          </w:tcPr>
          <w:p>
            <w:r>
              <w:rPr>
                <w:rFonts w:ascii="Arial" w:cs="Arial" w:eastAsia="Arial" w:hAnsi="Arial"/>
                <w:b/>
                <w:bCs/>
                <w:caps/>
                <w:color w:val="C0392B"/>
                <w:sz w:val="17"/>
                <w:szCs w:val="17"/>
              </w:rPr>
              <w:t xml:space="preserve">OIL CRASH  </w:t>
            </w:r>
            <w:r>
              <w:rPr>
                <w:rFonts w:ascii="Arial" w:cs="Arial" w:eastAsia="Arial" w:hAnsi="Arial"/>
                <w:b/>
                <w:bCs/>
                <w:color w:val="1B3A6B"/>
                <w:sz w:val="20"/>
                <w:szCs w:val="20"/>
              </w:rPr>
              <w:t xml:space="preserve">Brent Plunges 14% Intraday, Biggest Drop Since 2020</w:t>
            </w:r>
          </w:p>
          <w:p>
            <w:pPr>
              <w:spacing w:before="70"/>
            </w:pPr>
            <w:r>
              <w:rPr>
                <w:rFonts w:ascii="Arial" w:cs="Arial" w:eastAsia="Arial" w:hAnsi="Arial"/>
                <w:sz w:val="19"/>
                <w:szCs w:val="19"/>
              </w:rPr>
              <w:t xml:space="preserve">Brent crude collapsed from $112 (Friday close) to as low as $96 in early Asian trading before recovering to $99–$104 range. This is the largest single-session move since April 2020. WTI followed, dropping 13%. The catalyst: Trump’s 5-day strike pause and ceasefire signal. Treasury Sec. Bessent’s weekend move to lift sanctions on 140M barrels of stranded Iranian oil added supply-side relief.</w:t>
            </w:r>
          </w:p>
        </w:tc>
      </w:tr>
    </w:tbl>
    <w:p>
      <w:pPr>
        <w:spacing w:after="40"/>
      </w:pPr>
      <w:r>
        <w:rPr>
          <w:rFonts w:ascii="Arial" w:cs="Arial" w:eastAsia="Arial" w:hAnsi="Arial"/>
        </w:rPr>
        <w:t xml:space="preserve"/>
      </w:r>
    </w:p>
    <w:p>
      <w:pPr>
        <w:pStyle w:val="ListParagraph"/>
        <w:numPr>
          <w:ilvl w:val="0"/>
          <w:numId w:val="2"/>
        </w:numPr>
        <w:spacing w:after="74"/>
      </w:pPr>
      <w:r>
        <w:rPr>
          <w:rFonts w:ascii="Arial" w:cs="Arial" w:eastAsia="Arial" w:hAnsi="Arial"/>
          <w:b/>
          <w:bCs/>
          <w:sz w:val="20"/>
          <w:szCs w:val="20"/>
        </w:rPr>
        <w:t xml:space="preserve">Short-term: </w:t>
      </w:r>
      <w:r>
        <w:rPr>
          <w:rFonts w:ascii="Arial" w:cs="Arial" w:eastAsia="Arial" w:hAnsi="Arial"/>
          <w:sz w:val="20"/>
          <w:szCs w:val="20"/>
        </w:rPr>
        <w:t xml:space="preserve">Oil is now pricing in ~30% ceasefire probability. If talks fail by Friday, we snap back to $110+ immediately. If they succeed, $85–90 Brent is the near-term target.</w:t>
      </w:r>
    </w:p>
    <w:p>
      <w:pPr>
        <w:pStyle w:val="ListParagraph"/>
        <w:numPr>
          <w:ilvl w:val="0"/>
          <w:numId w:val="2"/>
        </w:numPr>
        <w:spacing w:after="74"/>
      </w:pPr>
      <w:r>
        <w:rPr>
          <w:rFonts w:ascii="Arial" w:cs="Arial" w:eastAsia="Arial" w:hAnsi="Arial"/>
          <w:b/>
          <w:bCs/>
          <w:sz w:val="20"/>
          <w:szCs w:val="20"/>
        </w:rPr>
        <w:t xml:space="preserve">Supply picture: </w:t>
      </w:r>
      <w:r>
        <w:rPr>
          <w:rFonts w:ascii="Arial" w:cs="Arial" w:eastAsia="Arial" w:hAnsi="Arial"/>
          <w:sz w:val="20"/>
          <w:szCs w:val="20"/>
        </w:rPr>
        <w:t xml:space="preserve">Kuwait’s 730K bpd is still offline. Iraq force majeure remains. Fujairah terminal still impaired. The supply disruption is real regardless of ceasefire talks.</w:t>
      </w:r>
    </w:p>
    <w:p>
      <w:pPr>
        <w:pStyle w:val="ListParagraph"/>
        <w:numPr>
          <w:ilvl w:val="0"/>
          <w:numId w:val="2"/>
        </w:numPr>
        <w:spacing w:after="74"/>
      </w:pPr>
      <w:r>
        <w:rPr>
          <w:rFonts w:ascii="Arial" w:cs="Arial" w:eastAsia="Arial" w:hAnsi="Arial"/>
          <w:b/>
          <w:bCs/>
          <w:sz w:val="20"/>
          <w:szCs w:val="20"/>
        </w:rPr>
        <w:t xml:space="preserve">Bessent play: </w:t>
      </w:r>
      <w:r>
        <w:rPr>
          <w:rFonts w:ascii="Arial" w:cs="Arial" w:eastAsia="Arial" w:hAnsi="Arial"/>
          <w:sz w:val="20"/>
          <w:szCs w:val="20"/>
        </w:rPr>
        <w:t xml:space="preserve">The 140M barrels of stranded Iranian oil released over the weekend adds ~1M bpd for 4–5 months. Meaningful short-term, but doesn’t fix the structural gap.</w:t>
      </w:r>
    </w:p>
    <w:p>
      <w:pPr>
        <w:pStyle w:val="ListParagraph"/>
        <w:numPr>
          <w:ilvl w:val="0"/>
          <w:numId w:val="2"/>
        </w:numPr>
        <w:spacing w:after="74"/>
      </w:pPr>
      <w:r>
        <w:rPr>
          <w:rFonts w:ascii="Arial" w:cs="Arial" w:eastAsia="Arial" w:hAnsi="Arial"/>
          <w:b/>
          <w:bCs/>
          <w:sz w:val="20"/>
          <w:szCs w:val="20"/>
        </w:rPr>
        <w:t xml:space="preserve">Goldman call: </w:t>
      </w:r>
      <w:r>
        <w:rPr>
          <w:rFonts w:ascii="Arial" w:cs="Arial" w:eastAsia="Arial" w:hAnsi="Arial"/>
          <w:sz w:val="20"/>
          <w:szCs w:val="20"/>
        </w:rPr>
        <w:t xml:space="preserve">Goldman’s $120+ Brent base case from last week is now under review pending ceasefire outcome. They cautioned against chasing the oil selloff.</w:t>
      </w:r>
    </w:p>
    <w:p>
      <w:pPr>
        <w:spacing w:after="60"/>
      </w:pPr>
      <w:r>
        <w:rPr>
          <w:rFonts w:ascii="Arial" w:cs="Arial" w:eastAsia="Arial" w:hAnsi="Arial"/>
        </w:rPr>
        <w:t xml:space="preserve"/>
      </w:r>
    </w:p>
    <w:p>
      <w:pPr>
        <w:pBdr>
          <w:bottom w:val="single" w:color="2E5FA3" w:sz="6" w:space="1"/>
        </w:pBdr>
        <w:spacing w:after="160"/>
      </w:pPr>
      <w:r>
        <w:rPr>
          <w:rFonts w:ascii="Arial" w:cs="Arial" w:eastAsia="Arial" w:hAnsi="Arial"/>
        </w:rPr>
        <w:t xml:space="preserve"/>
      </w:r>
    </w:p>
    <w:p>
      <w:pPr>
        <w:shd w:fill="E0F2F1" w:val="clear"/>
        <w:spacing w:after="100" w:before="220"/>
        <w:ind w:left="120" w:right="120"/>
      </w:pPr>
      <w:r>
        <w:rPr>
          <w:rFonts w:ascii="Arial" w:cs="Arial" w:eastAsia="Arial" w:hAnsi="Arial"/>
          <w:b/>
          <w:bCs/>
          <w:color w:val="0E6655"/>
          <w:sz w:val="21"/>
          <w:szCs w:val="21"/>
        </w:rPr>
        <w:t xml:space="preserve">S&amp;P 500 REBALANCE — COHR, LITE, VRT, SATS ADDED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
              <w:left w:val="single" w:color="0E6655" w:sz="22"/>
              <w:bottom w:val="single" w:color="0E6655" w:sz="1"/>
              <w:right w:val="single" w:color="0E6655" w:sz="1"/>
            </w:tcBorders>
            <w:shd w:fill="E8F8F5" w:val="clear"/>
            <w:tcMar>
              <w:top w:type="dxa" w:w="120"/>
              <w:left w:type="dxa" w:w="200"/>
              <w:bottom w:type="dxa" w:w="120"/>
              <w:right w:type="dxa" w:w="180"/>
            </w:tcMar>
          </w:tcPr>
          <w:p>
            <w:r>
              <w:rPr>
                <w:rFonts w:ascii="Arial" w:cs="Arial" w:eastAsia="Arial" w:hAnsi="Arial"/>
                <w:b/>
                <w:bCs/>
                <w:caps/>
                <w:color w:val="0E6655"/>
                <w:sz w:val="17"/>
                <w:szCs w:val="17"/>
              </w:rPr>
              <w:t xml:space="preserve">INDEX EVENT  </w:t>
            </w:r>
            <w:r>
              <w:rPr>
                <w:rFonts w:ascii="Arial" w:cs="Arial" w:eastAsia="Arial" w:hAnsi="Arial"/>
                <w:b/>
                <w:bCs/>
                <w:color w:val="1B3A6B"/>
                <w:sz w:val="20"/>
                <w:szCs w:val="20"/>
              </w:rPr>
              <w:t xml:space="preserve">Coherent, Lumentum, Vertiv, EchoStar Join S&amp;P 500 Effective Today</w:t>
            </w:r>
          </w:p>
          <w:p>
            <w:pPr>
              <w:spacing w:before="70"/>
            </w:pPr>
            <w:r>
              <w:rPr>
                <w:rFonts w:ascii="Arial" w:cs="Arial" w:eastAsia="Arial" w:hAnsi="Arial"/>
                <w:sz w:val="19"/>
                <w:szCs w:val="19"/>
              </w:rPr>
              <w:t xml:space="preserve">The quarterly S&amp;P 500 rebalance takes effect before today’s open. Four new additions—three of which are AI infrastructure plays (COHR, LITE, VRT)—replace Match Group (MTCH), Molina Healthcare (MOH), Lamb Weston (LW), and Paycom (PAYC). Over $7 trillion is benchmarked to the S&amp;P 500, forcing mechanical passive buying across every index fund and ETF.</w:t>
            </w:r>
          </w:p>
        </w:tc>
      </w:tr>
    </w:tbl>
    <w:p>
      <w:pPr>
        <w:spacing w:after="40"/>
      </w:pPr>
      <w:r>
        <w:rPr>
          <w:rFonts w:ascii="Arial" w:cs="Arial" w:eastAsia="Arial" w:hAnsi="Arial"/>
        </w:rPr>
        <w:t xml:space="preserve"/>
      </w:r>
    </w:p>
    <w:p>
      <w:pPr>
        <w:pStyle w:val="ListParagraph"/>
        <w:numPr>
          <w:ilvl w:val="0"/>
          <w:numId w:val="2"/>
        </w:numPr>
        <w:spacing w:after="74"/>
      </w:pPr>
      <w:r>
        <w:rPr>
          <w:rFonts w:ascii="Arial" w:cs="Arial" w:eastAsia="Arial" w:hAnsi="Arial"/>
          <w:b/>
          <w:bCs/>
          <w:sz w:val="20"/>
          <w:szCs w:val="20"/>
        </w:rPr>
        <w:t xml:space="preserve">COHR (Coherent): </w:t>
      </w:r>
      <w:r>
        <w:rPr>
          <w:rFonts w:ascii="Arial" w:cs="Arial" w:eastAsia="Arial" w:hAnsi="Arial"/>
          <w:sz w:val="20"/>
          <w:szCs w:val="20"/>
        </w:rPr>
        <w:t xml:space="preserve">Photonics leader. $2B NVIDIA investment. Up 15.4% last week into inclusion. Expect heavy volume at the open as passive funds complete purchases.</w:t>
      </w:r>
    </w:p>
    <w:p>
      <w:pPr>
        <w:pStyle w:val="ListParagraph"/>
        <w:numPr>
          <w:ilvl w:val="0"/>
          <w:numId w:val="2"/>
        </w:numPr>
        <w:spacing w:after="74"/>
      </w:pPr>
      <w:r>
        <w:rPr>
          <w:rFonts w:ascii="Arial" w:cs="Arial" w:eastAsia="Arial" w:hAnsi="Arial"/>
          <w:b/>
          <w:bCs/>
          <w:sz w:val="20"/>
          <w:szCs w:val="20"/>
        </w:rPr>
        <w:t xml:space="preserve">LITE (Lumentum): </w:t>
      </w:r>
      <w:r>
        <w:rPr>
          <w:rFonts w:ascii="Arial" w:cs="Arial" w:eastAsia="Arial" w:hAnsi="Arial"/>
          <w:sz w:val="20"/>
          <w:szCs w:val="20"/>
        </w:rPr>
        <w:t xml:space="preserve">Optical networking + laser components. $2B NVIDIA deal + multi-year purchase commitment. Up 12% last week.</w:t>
      </w:r>
    </w:p>
    <w:p>
      <w:pPr>
        <w:pStyle w:val="ListParagraph"/>
        <w:numPr>
          <w:ilvl w:val="0"/>
          <w:numId w:val="2"/>
        </w:numPr>
        <w:spacing w:after="74"/>
      </w:pPr>
      <w:r>
        <w:rPr>
          <w:rFonts w:ascii="Arial" w:cs="Arial" w:eastAsia="Arial" w:hAnsi="Arial"/>
          <w:b/>
          <w:bCs/>
          <w:sz w:val="20"/>
          <w:szCs w:val="20"/>
        </w:rPr>
        <w:t xml:space="preserve">VRT (Vertiv): </w:t>
      </w:r>
      <w:r>
        <w:rPr>
          <w:rFonts w:ascii="Arial" w:cs="Arial" w:eastAsia="Arial" w:hAnsi="Arial"/>
          <w:sz w:val="20"/>
          <w:szCs w:val="20"/>
        </w:rPr>
        <w:t xml:space="preserve">AI power/cooling infrastructure. Critical datacenter supply chain. Completing the “AI plumbing” trio.</w:t>
      </w:r>
    </w:p>
    <w:p>
      <w:pPr>
        <w:pStyle w:val="ListParagraph"/>
        <w:numPr>
          <w:ilvl w:val="0"/>
          <w:numId w:val="2"/>
        </w:numPr>
        <w:spacing w:after="74"/>
      </w:pPr>
      <w:r>
        <w:rPr>
          <w:rFonts w:ascii="Arial" w:cs="Arial" w:eastAsia="Arial" w:hAnsi="Arial"/>
          <w:b/>
          <w:bCs/>
          <w:sz w:val="20"/>
          <w:szCs w:val="20"/>
        </w:rPr>
        <w:t xml:space="preserve">SATS (EchoStar): </w:t>
      </w:r>
      <w:r>
        <w:rPr>
          <w:rFonts w:ascii="Arial" w:cs="Arial" w:eastAsia="Arial" w:hAnsi="Arial"/>
          <w:sz w:val="20"/>
          <w:szCs w:val="20"/>
        </w:rPr>
        <w:t xml:space="preserve">Satellite/broadband. The outlier addition—less AI, more connectivity. Former DISH/Hughes merger.</w:t>
      </w:r>
    </w:p>
    <w:p>
      <w:pPr>
        <w:spacing w:after="40"/>
      </w:pPr>
      <w:r>
        <w:rPr>
          <w:rFonts w:ascii="Arial" w:cs="Arial" w:eastAsia="Arial" w:hAnsi="Arial"/>
        </w:rPr>
        <w:t xml:space="preserve"/>
      </w:r>
    </w:p>
    <w:p>
      <w:pPr>
        <w:spacing w:after="80"/>
      </w:pPr>
      <w:r>
        <w:rPr>
          <w:rFonts w:ascii="Arial" w:cs="Arial" w:eastAsia="Arial" w:hAnsi="Arial"/>
          <w:b/>
          <w:bCs/>
          <w:color w:val="0E6655"/>
          <w:sz w:val="19"/>
          <w:szCs w:val="19"/>
        </w:rPr>
        <w:t xml:space="preserve">Estimated passive inflows: $2–4B combined for COHR and LITE alone. The rebalance effect typically lasts 1–3 trading days as index funds complete their purchases. Today’s volume will be elevated.</w:t>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WAR SIGNAL TRACKER — MONDAY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c>
          <w:tcPr>
            <w:tcW w:type="dxa" w:w="22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Signal</w:t>
            </w:r>
          </w:p>
        </w:tc>
        <w:tc>
          <w:tcPr>
            <w:tcW w:type="dxa" w:w="576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Detail</w:t>
            </w:r>
          </w:p>
        </w:tc>
        <w:tc>
          <w:tcPr>
            <w:tcW w:type="dxa" w:w="14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Bias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Trump rhetoric</w:t>
            </w:r>
          </w:p>
        </w:tc>
        <w:tc>
          <w:tcPr>
            <w:tcW w:type="dxa" w:w="5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5-day strike pause. “Very good talks.” Witkoff/Kushner engaged. First genuine de-escalation signal.</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1A7A4A"/>
                <w:sz w:val="17"/>
                <w:szCs w:val="17"/>
              </w:rPr>
              <w:t xml:space="preserve">BULL</w:t>
            </w:r>
          </w:p>
        </w:tc>
      </w:tr>
      <w:tr>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Iran response</w:t>
            </w:r>
          </w:p>
        </w:tc>
        <w:tc>
          <w:tcPr>
            <w:tcW w:type="dxa" w:w="5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Denies talks occurred. Ghalibaf calls it “market manipulation.” Public posture remains hawkish.</w:t>
            </w:r>
          </w:p>
        </w:tc>
        <w:tc>
          <w:tcPr>
            <w:tcW w:type="dxa" w:w="1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392B"/>
                <w:sz w:val="17"/>
                <w:szCs w:val="17"/>
              </w:rPr>
              <w:t xml:space="preserve">BEAR</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Israel / IDF</w:t>
            </w:r>
          </w:p>
        </w:tc>
        <w:tc>
          <w:tcPr>
            <w:tcW w:type="dxa" w:w="5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No pause announced by Israel. Lebanon operations continue. IDF not party to US-Iran talks.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392B"/>
                <w:sz w:val="17"/>
                <w:szCs w:val="17"/>
              </w:rPr>
              <w:t xml:space="preserve">BEAR</w:t>
            </w:r>
          </w:p>
        </w:tc>
      </w:tr>
      <w:tr>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Oil supply</w:t>
            </w:r>
          </w:p>
        </w:tc>
        <w:tc>
          <w:tcPr>
            <w:tcW w:type="dxa" w:w="5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Kuwait 730K bpd still offline. Iraq FM in place. But Bessent released 140M barrels of stranded oil.</w:t>
            </w:r>
          </w:p>
        </w:tc>
        <w:tc>
          <w:tcPr>
            <w:tcW w:type="dxa" w:w="1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680A"/>
                <w:sz w:val="17"/>
                <w:szCs w:val="17"/>
              </w:rPr>
              <w:t xml:space="preserve">NEUTRAL</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Hormuz status</w:t>
            </w:r>
          </w:p>
        </w:tc>
        <w:tc>
          <w:tcPr>
            <w:tcW w:type="dxa" w:w="5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No new incidents overnight. The 5-day pause may reduce strait targeting pressure.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1A7A4A"/>
                <w:sz w:val="17"/>
                <w:szCs w:val="17"/>
              </w:rPr>
              <w:t xml:space="preserve">BULL</w:t>
            </w:r>
          </w:p>
        </w:tc>
      </w:tr>
      <w:tr>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Ceasefire odds</w:t>
            </w:r>
          </w:p>
        </w:tc>
        <w:tc>
          <w:tcPr>
            <w:tcW w:type="dxa" w:w="5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Market pricing ~30–40%. Real odds uncertain—Iran’s denial creates credibility gap.</w:t>
            </w:r>
          </w:p>
        </w:tc>
        <w:tc>
          <w:tcPr>
            <w:tcW w:type="dxa" w:w="1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680A"/>
                <w:sz w:val="17"/>
                <w:szCs w:val="17"/>
              </w:rPr>
              <w:t xml:space="preserve">NEUTRAL</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Nuclear talks</w:t>
            </w:r>
          </w:p>
        </w:tc>
        <w:tc>
          <w:tcPr>
            <w:tcW w:type="dxa" w:w="5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Trump demands full uranium surrender. Iran unlikely to accept. Hardest issue on the table.</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392B"/>
                <w:sz w:val="17"/>
                <w:szCs w:val="17"/>
              </w:rPr>
              <w:t xml:space="preserve">BEAR</w:t>
            </w:r>
          </w:p>
        </w:tc>
      </w:tr>
      <w:tr>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Pentagon posture</w:t>
            </w:r>
          </w:p>
        </w:tc>
        <w:tc>
          <w:tcPr>
            <w:tcW w:type="dxa" w:w="5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Additional Marines still deploying. No drawdown announced. Strikes paused, not cancelled.</w:t>
            </w:r>
          </w:p>
        </w:tc>
        <w:tc>
          <w:tcPr>
            <w:tcW w:type="dxa" w:w="1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680A"/>
                <w:sz w:val="17"/>
                <w:szCs w:val="17"/>
              </w:rPr>
              <w:t xml:space="preserve">NEUTRAL</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Diplomatic channel</w:t>
            </w:r>
          </w:p>
        </w:tc>
        <w:tc>
          <w:tcPr>
            <w:tcW w:type="dxa" w:w="5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Witkoff/Kushner back-channel is new. First confirmed engagement since Larijani assassination.</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1A7A4A"/>
                <w:sz w:val="17"/>
                <w:szCs w:val="17"/>
              </w:rPr>
              <w:t xml:space="preserve">BULL</w:t>
            </w:r>
          </w:p>
        </w:tc>
      </w:tr>
      <w:tr>
        <w:tc>
          <w:tcPr>
            <w:tcW w:type="dxa" w:w="2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Weekend violence</w:t>
            </w:r>
          </w:p>
        </w:tc>
        <w:tc>
          <w:tcPr>
            <w:tcW w:type="dxa" w:w="57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Iran’s 70th wave hit Arad/Dimona. IRBMs at Diego Garcia. 1,444+ killed. War continues despite talks.</w:t>
            </w:r>
          </w:p>
        </w:tc>
        <w:tc>
          <w:tcPr>
            <w:tcW w:type="dxa" w:w="1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392B"/>
                <w:sz w:val="17"/>
                <w:szCs w:val="17"/>
              </w:rPr>
              <w:t xml:space="preserve">BEAR</w:t>
            </w:r>
          </w:p>
        </w:tc>
      </w:tr>
    </w:tbl>
    <w:p>
      <w:pPr>
        <w:spacing w:after="40"/>
      </w:pPr>
      <w:r>
        <w:rPr>
          <w:rFonts w:ascii="Arial" w:cs="Arial" w:eastAsia="Arial" w:hAnsi="Arial"/>
        </w:rPr>
        <w:t xml:space="preserve"/>
      </w:r>
    </w:p>
    <w:p>
      <w:pPr>
        <w:spacing w:after="80"/>
      </w:pPr>
      <w:r>
        <w:rPr>
          <w:rFonts w:ascii="Arial" w:cs="Arial" w:eastAsia="Arial" w:hAnsi="Arial"/>
          <w:b/>
          <w:bCs/>
          <w:color w:val="1B3A6B"/>
          <w:sz w:val="19"/>
          <w:szCs w:val="19"/>
        </w:rPr>
        <w:t xml:space="preserve">Assessment: 3 BULL / 4 BEAR / 3 NEUTRAL. A material improvement from last Friday’s 1/7/2 split. The shift is entirely driven by Trump’s strike pause. If Iran confirms talks by Wednesday, this flips to majority BULL. If they don’t, expect rapid re-escalation.</w:t>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COMPANY HEADLINES — PREMARKET MOVERS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360"/>
        <w:gridCol w:w="4500"/>
      </w:tblGrid>
      <w:tr>
        <w:tc>
          <w:tcPr>
            <w:tcW w:type="dxa" w:w="11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Ticker</w:t>
            </w:r>
          </w:p>
        </w:tc>
        <w:tc>
          <w:tcPr>
            <w:tcW w:type="dxa" w:w="24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Company</w:t>
            </w:r>
          </w:p>
        </w:tc>
        <w:tc>
          <w:tcPr>
            <w:tcW w:type="dxa" w:w="136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Pre-Mkt</w:t>
            </w:r>
          </w:p>
        </w:tc>
        <w:tc>
          <w:tcPr>
            <w:tcW w:type="dxa" w:w="45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Catalyst</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20"/>
                <w:szCs w:val="20"/>
              </w:rPr>
              <w:t xml:space="preserve">COHR</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Coherent</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+6–8%</w:t>
            </w:r>
          </w:p>
        </w:tc>
        <w:tc>
          <w:tcPr>
            <w:tcW w:type="dxa" w:w="4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S&amp;P 500 inclusion today. Passive fund buying. NVDA $2B investment backdrop.</w:t>
            </w:r>
          </w:p>
        </w:tc>
      </w:tr>
      <w:tr>
        <w:tc>
          <w:tcPr>
            <w:tcW w:type="dxa" w:w="11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20"/>
                <w:szCs w:val="20"/>
              </w:rPr>
              <w:t xml:space="preserve">LITE</w:t>
            </w:r>
          </w:p>
        </w:tc>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Lumentum</w:t>
            </w:r>
          </w:p>
        </w:tc>
        <w:tc>
          <w:tcPr>
            <w:tcW w:type="dxa" w:w="13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+5–7%</w:t>
            </w:r>
          </w:p>
        </w:tc>
        <w:tc>
          <w:tcPr>
            <w:tcW w:type="dxa" w:w="4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S&amp;P 500 inclusion today. Multi-year NVDA purchase commitment.</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20"/>
                <w:szCs w:val="20"/>
              </w:rPr>
              <w:t xml:space="preserve">VRT</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Vertiv</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+4–6%</w:t>
            </w:r>
          </w:p>
        </w:tc>
        <w:tc>
          <w:tcPr>
            <w:tcW w:type="dxa" w:w="4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S&amp;P 500 inclusion today. AI power/cooling demand secular.</w:t>
            </w:r>
          </w:p>
        </w:tc>
      </w:tr>
      <w:tr>
        <w:tc>
          <w:tcPr>
            <w:tcW w:type="dxa" w:w="11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20"/>
                <w:szCs w:val="20"/>
              </w:rPr>
              <w:t xml:space="preserve">XOM</w:t>
            </w:r>
          </w:p>
        </w:tc>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Exxon Mobil</w:t>
            </w:r>
          </w:p>
        </w:tc>
        <w:tc>
          <w:tcPr>
            <w:tcW w:type="dxa" w:w="13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392B"/>
                <w:sz w:val="19"/>
                <w:szCs w:val="19"/>
              </w:rPr>
              <w:t xml:space="preserve">−5–7%</w:t>
            </w:r>
          </w:p>
        </w:tc>
        <w:tc>
          <w:tcPr>
            <w:tcW w:type="dxa" w:w="4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Oil crash. Brent −14% intraday. Energy sector reversal.</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20"/>
                <w:szCs w:val="20"/>
              </w:rPr>
              <w:t xml:space="preserve">CVX</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Chevron</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392B"/>
                <w:sz w:val="19"/>
                <w:szCs w:val="19"/>
              </w:rPr>
              <w:t xml:space="preserve">−4–6%</w:t>
            </w:r>
          </w:p>
        </w:tc>
        <w:tc>
          <w:tcPr>
            <w:tcW w:type="dxa" w:w="4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Oil selloff. But still +30% YTD on war premium.</w:t>
            </w:r>
          </w:p>
        </w:tc>
      </w:tr>
      <w:tr>
        <w:tc>
          <w:tcPr>
            <w:tcW w:type="dxa" w:w="11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20"/>
                <w:szCs w:val="20"/>
              </w:rPr>
              <w:t xml:space="preserve">OXY</w:t>
            </w:r>
          </w:p>
        </w:tc>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Occidental</w:t>
            </w:r>
          </w:p>
        </w:tc>
        <w:tc>
          <w:tcPr>
            <w:tcW w:type="dxa" w:w="13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392B"/>
                <w:sz w:val="19"/>
                <w:szCs w:val="19"/>
              </w:rPr>
              <w:t xml:space="preserve">−6‒8%</w:t>
            </w:r>
          </w:p>
        </w:tc>
        <w:tc>
          <w:tcPr>
            <w:tcW w:type="dxa" w:w="4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Highest beta to oil. Hardest hit on Brent collapse.</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20"/>
                <w:szCs w:val="20"/>
              </w:rPr>
              <w:t xml:space="preserve">HAL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Halliburton</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392B"/>
                <w:sz w:val="19"/>
                <w:szCs w:val="19"/>
              </w:rPr>
              <w:t xml:space="preserve">−5–7%</w:t>
            </w:r>
          </w:p>
        </w:tc>
        <w:tc>
          <w:tcPr>
            <w:tcW w:type="dxa" w:w="4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OFS names selling off on ceasefire hopes.</w:t>
            </w:r>
          </w:p>
        </w:tc>
      </w:tr>
      <w:tr>
        <w:tc>
          <w:tcPr>
            <w:tcW w:type="dxa" w:w="11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20"/>
                <w:szCs w:val="20"/>
              </w:rPr>
              <w:t xml:space="preserve">LMT</w:t>
            </w:r>
          </w:p>
        </w:tc>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Lockheed Martin</w:t>
            </w:r>
          </w:p>
        </w:tc>
        <w:tc>
          <w:tcPr>
            <w:tcW w:type="dxa" w:w="13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392B"/>
                <w:sz w:val="19"/>
                <w:szCs w:val="19"/>
              </w:rPr>
              <w:t xml:space="preserve">−3‒4%</w:t>
            </w:r>
          </w:p>
        </w:tc>
        <w:tc>
          <w:tcPr>
            <w:tcW w:type="dxa" w:w="4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Defence unwind on ceasefire signal. Still overweight.</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20"/>
                <w:szCs w:val="20"/>
              </w:rPr>
              <w:t xml:space="preserve">DAL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Delta Air Lines</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+4–6%</w:t>
            </w:r>
          </w:p>
        </w:tc>
        <w:tc>
          <w:tcPr>
            <w:tcW w:type="dxa" w:w="4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Airlines rip on jet fuel crash. Biggest beneficiary of oil drop.</w:t>
            </w:r>
          </w:p>
        </w:tc>
      </w:tr>
      <w:tr>
        <w:tc>
          <w:tcPr>
            <w:tcW w:type="dxa" w:w="11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20"/>
                <w:szCs w:val="20"/>
              </w:rPr>
              <w:t xml:space="preserve">UAL</w:t>
            </w:r>
          </w:p>
        </w:tc>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United Airlines</w:t>
            </w:r>
          </w:p>
        </w:tc>
        <w:tc>
          <w:tcPr>
            <w:tcW w:type="dxa" w:w="13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+4–5%</w:t>
            </w:r>
          </w:p>
        </w:tc>
        <w:tc>
          <w:tcPr>
            <w:tcW w:type="dxa" w:w="4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Jet fuel relief rally. Consumer travel names bid.</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20"/>
                <w:szCs w:val="20"/>
              </w:rPr>
              <w:t xml:space="preserve">INSM</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Insmed</w:t>
            </w:r>
          </w:p>
        </w:tc>
        <w:tc>
          <w:tcPr>
            <w:tcW w:type="dxa" w:w="1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+11.5%</w:t>
            </w:r>
          </w:p>
        </w:tc>
        <w:tc>
          <w:tcPr>
            <w:tcW w:type="dxa" w:w="4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8"/>
                <w:szCs w:val="18"/>
              </w:rPr>
              <w:t xml:space="preserve">Top premarket gainer. Pipeline catalyst (unrelated to war).</w:t>
            </w:r>
          </w:p>
        </w:tc>
      </w:tr>
      <w:tr>
        <w:tc>
          <w:tcPr>
            <w:tcW w:type="dxa" w:w="11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20"/>
                <w:szCs w:val="20"/>
              </w:rPr>
              <w:t xml:space="preserve">MU</w:t>
            </w:r>
          </w:p>
        </w:tc>
        <w:tc>
          <w:tcPr>
            <w:tcW w:type="dxa" w:w="24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Micron</w:t>
            </w:r>
          </w:p>
        </w:tc>
        <w:tc>
          <w:tcPr>
            <w:tcW w:type="dxa" w:w="13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+2–3%</w:t>
            </w:r>
          </w:p>
        </w:tc>
        <w:tc>
          <w:tcPr>
            <w:tcW w:type="dxa" w:w="4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8"/>
                <w:szCs w:val="18"/>
              </w:rPr>
              <w:t xml:space="preserve">Bouncing from post-earnings selloff. AI demand thesis intact.</w:t>
            </w:r>
          </w:p>
        </w:tc>
      </w:tr>
    </w:tbl>
    <w:p>
      <w:pPr>
        <w:spacing w:after="60"/>
      </w:pPr>
      <w:r>
        <w:rPr>
          <w:rFonts w:ascii="Arial" w:cs="Arial" w:eastAsia="Arial" w:hAnsi="Arial"/>
        </w:rPr>
        <w:t xml:space="preserve"/>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TOP 12 HEADLINES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w:t>
            </w:r>
          </w:p>
        </w:tc>
        <w:tc>
          <w:tcPr>
            <w:tcW w:type="dxa" w:w="888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Headline</w:t>
            </w:r>
          </w:p>
        </w:tc>
      </w:tr>
      <w:tr>
        <w:tc>
          <w:tcPr>
            <w:tcW w:type="dxa" w:w="4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2E5FA3"/>
                <w:sz w:val="19"/>
                <w:szCs w:val="19"/>
              </w:rPr>
              <w:t xml:space="preserve">1</w:t>
            </w:r>
          </w:p>
        </w:tc>
        <w:tc>
          <w:tcPr>
            <w:tcW w:type="dxa" w:w="88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1B3A6B"/>
                <w:sz w:val="19"/>
                <w:szCs w:val="19"/>
              </w:rPr>
              <w:t xml:space="preserve">Trump postpones Iran strikes for 5 days, says talks are “very good”; demands uranium surrender</w:t>
            </w:r>
          </w:p>
        </w:tc>
      </w:tr>
      <w:tr>
        <w:tc>
          <w:tcPr>
            <w:tcW w:type="dxa" w:w="48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2E5FA3"/>
                <w:sz w:val="19"/>
                <w:szCs w:val="19"/>
              </w:rPr>
              <w:t xml:space="preserve">2</w:t>
            </w:r>
          </w:p>
        </w:tc>
        <w:tc>
          <w:tcPr>
            <w:tcW w:type="dxa" w:w="888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1B3A6B"/>
                <w:sz w:val="19"/>
                <w:szCs w:val="19"/>
              </w:rPr>
              <w:t xml:space="preserve">Brent crude crashes 14% intraday to ~$97—biggest single-day drop since April 2020</w:t>
            </w:r>
          </w:p>
        </w:tc>
      </w:tr>
      <w:tr>
        <w:tc>
          <w:tcPr>
            <w:tcW w:type="dxa" w:w="4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2E5FA3"/>
                <w:sz w:val="19"/>
                <w:szCs w:val="19"/>
              </w:rPr>
              <w:t xml:space="preserve">3</w:t>
            </w:r>
          </w:p>
        </w:tc>
        <w:tc>
          <w:tcPr>
            <w:tcW w:type="dxa" w:w="88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1B3A6B"/>
                <w:sz w:val="19"/>
                <w:szCs w:val="19"/>
              </w:rPr>
              <w:t xml:space="preserve">Iran denies talks, calls Trump’s claims “market manipulation”; Ghalibaf rejects negotiation framing</w:t>
            </w:r>
          </w:p>
        </w:tc>
      </w:tr>
      <w:tr>
        <w:tc>
          <w:tcPr>
            <w:tcW w:type="dxa" w:w="48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2E5FA3"/>
                <w:sz w:val="19"/>
                <w:szCs w:val="19"/>
              </w:rPr>
              <w:t xml:space="preserve">4</w:t>
            </w:r>
          </w:p>
        </w:tc>
        <w:tc>
          <w:tcPr>
            <w:tcW w:type="dxa" w:w="888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1B3A6B"/>
                <w:sz w:val="19"/>
                <w:szCs w:val="19"/>
              </w:rPr>
              <w:t xml:space="preserve">S&amp;P 500 futures surge +2.7% on ceasefire hopes; Nasdaq +3.1%; VIX crushed to 26.8</w:t>
            </w:r>
          </w:p>
        </w:tc>
      </w:tr>
      <w:tr>
        <w:tc>
          <w:tcPr>
            <w:tcW w:type="dxa" w:w="4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2E5FA3"/>
                <w:sz w:val="19"/>
                <w:szCs w:val="19"/>
              </w:rPr>
              <w:t xml:space="preserve">5</w:t>
            </w:r>
          </w:p>
        </w:tc>
        <w:tc>
          <w:tcPr>
            <w:tcW w:type="dxa" w:w="88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1B3A6B"/>
                <w:sz w:val="19"/>
                <w:szCs w:val="19"/>
              </w:rPr>
              <w:t xml:space="preserve">S&amp;P 500 rebalance effective today: COHR, LITE, VRT, SATS added; MTCH, MOH, LW, PAYC removed</w:t>
            </w:r>
          </w:p>
        </w:tc>
      </w:tr>
      <w:tr>
        <w:tc>
          <w:tcPr>
            <w:tcW w:type="dxa" w:w="48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2E5FA3"/>
                <w:sz w:val="19"/>
                <w:szCs w:val="19"/>
              </w:rPr>
              <w:t xml:space="preserve">6</w:t>
            </w:r>
          </w:p>
        </w:tc>
        <w:tc>
          <w:tcPr>
            <w:tcW w:type="dxa" w:w="888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1B3A6B"/>
                <w:sz w:val="19"/>
                <w:szCs w:val="19"/>
              </w:rPr>
              <w:t xml:space="preserve">Treasury Sec. Bessent lifts sanctions on 140M barrels of stranded Iranian oil to ease prices</w:t>
            </w:r>
          </w:p>
        </w:tc>
      </w:tr>
      <w:tr>
        <w:tc>
          <w:tcPr>
            <w:tcW w:type="dxa" w:w="4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2E5FA3"/>
                <w:sz w:val="19"/>
                <w:szCs w:val="19"/>
              </w:rPr>
              <w:t xml:space="preserve">7</w:t>
            </w:r>
          </w:p>
        </w:tc>
        <w:tc>
          <w:tcPr>
            <w:tcW w:type="dxa" w:w="88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1B3A6B"/>
                <w:sz w:val="19"/>
                <w:szCs w:val="19"/>
              </w:rPr>
              <w:t xml:space="preserve">Iran’s 70th wave of attacks over weekend: Arad/Dimona hit, IRBMs fired at Diego Garcia (missed)</w:t>
            </w:r>
          </w:p>
        </w:tc>
      </w:tr>
      <w:tr>
        <w:tc>
          <w:tcPr>
            <w:tcW w:type="dxa" w:w="48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2E5FA3"/>
                <w:sz w:val="19"/>
                <w:szCs w:val="19"/>
              </w:rPr>
              <w:t xml:space="preserve">8</w:t>
            </w:r>
          </w:p>
        </w:tc>
        <w:tc>
          <w:tcPr>
            <w:tcW w:type="dxa" w:w="888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1B3A6B"/>
                <w:sz w:val="19"/>
                <w:szCs w:val="19"/>
              </w:rPr>
              <w:t xml:space="preserve">1,444+ killed in Iran since Feb 28, including 204 children; war enters Day 24</w:t>
            </w:r>
          </w:p>
        </w:tc>
      </w:tr>
      <w:tr>
        <w:tc>
          <w:tcPr>
            <w:tcW w:type="dxa" w:w="4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2E5FA3"/>
                <w:sz w:val="19"/>
                <w:szCs w:val="19"/>
              </w:rPr>
              <w:t xml:space="preserve">9</w:t>
            </w:r>
          </w:p>
        </w:tc>
        <w:tc>
          <w:tcPr>
            <w:tcW w:type="dxa" w:w="88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1B3A6B"/>
                <w:sz w:val="19"/>
                <w:szCs w:val="19"/>
              </w:rPr>
              <w:t xml:space="preserve">Airlines surge premarket (DAL +5%, UAL +5%) on jet fuel cost collapse</w:t>
            </w:r>
          </w:p>
        </w:tc>
      </w:tr>
      <w:tr>
        <w:tc>
          <w:tcPr>
            <w:tcW w:type="dxa" w:w="48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2E5FA3"/>
                <w:sz w:val="19"/>
                <w:szCs w:val="19"/>
              </w:rPr>
              <w:t xml:space="preserve">10</w:t>
            </w:r>
          </w:p>
        </w:tc>
        <w:tc>
          <w:tcPr>
            <w:tcW w:type="dxa" w:w="888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1B3A6B"/>
                <w:sz w:val="19"/>
                <w:szCs w:val="19"/>
              </w:rPr>
              <w:t xml:space="preserve">Energy stocks crater: XOM −6%, OXY −7%, HAL −6% on oil reversal</w:t>
            </w:r>
          </w:p>
        </w:tc>
      </w:tr>
      <w:tr>
        <w:tc>
          <w:tcPr>
            <w:tcW w:type="dxa" w:w="4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2E5FA3"/>
                <w:sz w:val="19"/>
                <w:szCs w:val="19"/>
              </w:rPr>
              <w:t xml:space="preserve">11</w:t>
            </w:r>
          </w:p>
        </w:tc>
        <w:tc>
          <w:tcPr>
            <w:tcW w:type="dxa" w:w="88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1B3A6B"/>
                <w:sz w:val="19"/>
                <w:szCs w:val="19"/>
              </w:rPr>
              <w:t xml:space="preserve">GameStop (GME) earnings tomorrow AMC; M&amp;A speculation building ahead of report</w:t>
            </w:r>
          </w:p>
        </w:tc>
      </w:tr>
      <w:tr>
        <w:tc>
          <w:tcPr>
            <w:tcW w:type="dxa" w:w="48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2E5FA3"/>
                <w:sz w:val="19"/>
                <w:szCs w:val="19"/>
              </w:rPr>
              <w:t xml:space="preserve">12</w:t>
            </w:r>
          </w:p>
        </w:tc>
        <w:tc>
          <w:tcPr>
            <w:tcW w:type="dxa" w:w="888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1B3A6B"/>
                <w:sz w:val="19"/>
                <w:szCs w:val="19"/>
              </w:rPr>
              <w:t xml:space="preserve">S&amp;P Global Flash PMI (March) due 9:45 AM—first read on post-FOMC business conditions</w:t>
            </w:r>
          </w:p>
        </w:tc>
      </w:tr>
    </w:tbl>
    <w:p>
      <w:pPr>
        <w:spacing w:after="60"/>
      </w:pPr>
      <w:r>
        <w:rPr>
          <w:rFonts w:ascii="Arial" w:cs="Arial" w:eastAsia="Arial" w:hAnsi="Arial"/>
        </w:rPr>
        <w:t xml:space="preserve"/>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TRADE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22"/>
              <w:bottom w:val="single" w:color="1A7A4A" w:sz="1"/>
              <w:right w:val="single" w:color="1A7A4A" w:sz="1"/>
            </w:tcBorders>
            <w:shd w:fill="EAF7EF" w:val="clear"/>
            <w:tcMar>
              <w:top w:type="dxa" w:w="110"/>
              <w:left w:type="dxa" w:w="200"/>
              <w:bottom w:type="dxa" w:w="110"/>
              <w:right w:type="dxa" w:w="180"/>
            </w:tcMar>
          </w:tcPr>
          <w:p>
            <w:r>
              <w:rPr>
                <w:rFonts w:ascii="Arial" w:cs="Arial" w:eastAsia="Arial" w:hAnsi="Arial"/>
                <w:b/>
                <w:bCs/>
                <w:caps/>
                <w:color w:val="1A7A4A"/>
                <w:sz w:val="17"/>
                <w:szCs w:val="17"/>
              </w:rPr>
              <w:t xml:space="preserve">BUY  </w:t>
            </w:r>
            <w:r>
              <w:rPr>
                <w:rFonts w:ascii="Arial" w:cs="Arial" w:eastAsia="Arial" w:hAnsi="Arial"/>
                <w:b/>
                <w:bCs/>
                <w:color w:val="1B3A6B"/>
                <w:sz w:val="22"/>
                <w:szCs w:val="22"/>
              </w:rPr>
              <w:t xml:space="preserve">Airlines (DAL, UAL, LUV) — Jet Fuel Relief Rally</w:t>
            </w:r>
          </w:p>
          <w:p>
            <w:pPr>
              <w:spacing w:before="60"/>
            </w:pPr>
            <w:r>
              <w:rPr>
                <w:rFonts w:ascii="Arial" w:cs="Arial" w:eastAsia="Arial" w:hAnsi="Arial"/>
                <w:sz w:val="19"/>
                <w:szCs w:val="19"/>
              </w:rPr>
              <w:t xml:space="preserve">Jet fuel is airlines’ largest cost after labor. A 14% oil crash translates to ~$2–3B annualized fuel savings for the major carriers combined. These names are down 15–25% since the war started. If ceasefire holds, this is a 20%+ snapback trade. DAL is our top pick on best hedging and premium revenue mix.</w:t>
            </w:r>
          </w:p>
          <w:p>
            <w:pPr>
              <w:spacing w:before="50"/>
            </w:pPr>
            <w:r>
              <w:rPr>
                <w:rFonts w:ascii="Arial" w:cs="Arial" w:eastAsia="Arial" w:hAnsi="Arial"/>
                <w:b/>
                <w:bCs/>
                <w:color w:val="5D6D7E"/>
                <w:sz w:val="18"/>
                <w:szCs w:val="18"/>
              </w:rPr>
              <w:t xml:space="preserve">Risk: </w:t>
            </w:r>
            <w:r>
              <w:rPr>
                <w:rFonts w:ascii="Arial" w:cs="Arial" w:eastAsia="Arial" w:hAnsi="Arial"/>
                <w:color w:val="5D6D7E"/>
                <w:sz w:val="18"/>
                <w:szCs w:val="18"/>
              </w:rPr>
              <w:t xml:space="preserve">Ceasefire talks collapse; oil snaps back to $110+; consumer weakens on stagflation.</w:t>
            </w:r>
          </w:p>
        </w:tc>
      </w:tr>
    </w:tbl>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
              <w:left w:val="single" w:color="0E6655" w:sz="22"/>
              <w:bottom w:val="single" w:color="0E6655" w:sz="1"/>
              <w:right w:val="single" w:color="0E6655" w:sz="1"/>
            </w:tcBorders>
            <w:shd w:fill="E8F8F5" w:val="clear"/>
            <w:tcMar>
              <w:top w:type="dxa" w:w="110"/>
              <w:left w:type="dxa" w:w="200"/>
              <w:bottom w:type="dxa" w:w="110"/>
              <w:right w:type="dxa" w:w="180"/>
            </w:tcMar>
          </w:tcPr>
          <w:p>
            <w:r>
              <w:rPr>
                <w:rFonts w:ascii="Arial" w:cs="Arial" w:eastAsia="Arial" w:hAnsi="Arial"/>
                <w:b/>
                <w:bCs/>
                <w:caps/>
                <w:color w:val="0E6655"/>
                <w:sz w:val="17"/>
                <w:szCs w:val="17"/>
              </w:rPr>
              <w:t xml:space="preserve">HOLD  </w:t>
            </w:r>
            <w:r>
              <w:rPr>
                <w:rFonts w:ascii="Arial" w:cs="Arial" w:eastAsia="Arial" w:hAnsi="Arial"/>
                <w:b/>
                <w:bCs/>
                <w:color w:val="1B3A6B"/>
                <w:sz w:val="22"/>
                <w:szCs w:val="22"/>
              </w:rPr>
              <w:t xml:space="preserve">COHR / LITE — Ride the Rebalance, But Don’t Chase</w:t>
            </w:r>
          </w:p>
          <w:p>
            <w:pPr>
              <w:spacing w:before="60"/>
            </w:pPr>
            <w:r>
              <w:rPr>
                <w:rFonts w:ascii="Arial" w:cs="Arial" w:eastAsia="Arial" w:hAnsi="Arial"/>
                <w:sz w:val="19"/>
                <w:szCs w:val="19"/>
              </w:rPr>
              <w:t xml:space="preserve">S&amp;P 500 inclusion creates mechanical buying today, but the easy money was made last week (+15%/+12%). Hold existing positions. Do not add at the open—let passive flows complete over 1–3 days and buy any post-inclusion dip. The NVIDIA partnership and OFC tailwinds are structural.</w:t>
            </w:r>
          </w:p>
          <w:p>
            <w:pPr>
              <w:spacing w:before="50"/>
            </w:pPr>
            <w:r>
              <w:rPr>
                <w:rFonts w:ascii="Arial" w:cs="Arial" w:eastAsia="Arial" w:hAnsi="Arial"/>
                <w:b/>
                <w:bCs/>
                <w:color w:val="5D6D7E"/>
                <w:sz w:val="18"/>
                <w:szCs w:val="18"/>
              </w:rPr>
              <w:t xml:space="preserve">Risk: </w:t>
            </w:r>
            <w:r>
              <w:rPr>
                <w:rFonts w:ascii="Arial" w:cs="Arial" w:eastAsia="Arial" w:hAnsi="Arial"/>
                <w:color w:val="5D6D7E"/>
                <w:sz w:val="18"/>
                <w:szCs w:val="18"/>
              </w:rPr>
              <w:t xml:space="preserve">Post-inclusion selling (classic “buy the rumor, sell the news”); broader tech selloff resumes.</w:t>
            </w:r>
          </w:p>
        </w:tc>
      </w:tr>
    </w:tbl>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D0A" w:sz="1"/>
              <w:left w:val="single" w:color="9A7D0A" w:sz="22"/>
              <w:bottom w:val="single" w:color="9A7D0A" w:sz="1"/>
              <w:right w:val="single" w:color="9A7D0A" w:sz="1"/>
            </w:tcBorders>
            <w:shd w:fill="FEFDE7" w:val="clear"/>
            <w:tcMar>
              <w:top w:type="dxa" w:w="110"/>
              <w:left w:type="dxa" w:w="200"/>
              <w:bottom w:type="dxa" w:w="110"/>
              <w:right w:type="dxa" w:w="180"/>
            </w:tcMar>
          </w:tcPr>
          <w:p>
            <w:r>
              <w:rPr>
                <w:rFonts w:ascii="Arial" w:cs="Arial" w:eastAsia="Arial" w:hAnsi="Arial"/>
                <w:b/>
                <w:bCs/>
                <w:caps/>
                <w:color w:val="9A7D0A"/>
                <w:sz w:val="17"/>
                <w:szCs w:val="17"/>
              </w:rPr>
              <w:t xml:space="preserve">REDUCE  </w:t>
            </w:r>
            <w:r>
              <w:rPr>
                <w:rFonts w:ascii="Arial" w:cs="Arial" w:eastAsia="Arial" w:hAnsi="Arial"/>
                <w:b/>
                <w:bCs/>
                <w:color w:val="1B3A6B"/>
                <w:sz w:val="22"/>
                <w:szCs w:val="22"/>
              </w:rPr>
              <w:t xml:space="preserve">Energy Longs — Take Profits on Half</w:t>
            </w:r>
          </w:p>
          <w:p>
            <w:pPr>
              <w:spacing w:before="60"/>
            </w:pPr>
            <w:r>
              <w:rPr>
                <w:rFonts w:ascii="Arial" w:cs="Arial" w:eastAsia="Arial" w:hAnsi="Arial"/>
                <w:sz w:val="19"/>
                <w:szCs w:val="19"/>
              </w:rPr>
              <w:t xml:space="preserve">If you’re overweight energy (as we recommended all of last week), take profits on half the position today. Oil has dropped $12–16 from Friday’s close. The supply disruptions are real (Kuwait, Iraq, Fujairah), but the ceasefire signal changes the risk/reward. Keep half as a hedge against talks failing.</w:t>
            </w:r>
          </w:p>
          <w:p>
            <w:pPr>
              <w:spacing w:before="50"/>
            </w:pPr>
            <w:r>
              <w:rPr>
                <w:rFonts w:ascii="Arial" w:cs="Arial" w:eastAsia="Arial" w:hAnsi="Arial"/>
                <w:b/>
                <w:bCs/>
                <w:color w:val="5D6D7E"/>
                <w:sz w:val="18"/>
                <w:szCs w:val="18"/>
              </w:rPr>
              <w:t xml:space="preserve">Risk: </w:t>
            </w:r>
            <w:r>
              <w:rPr>
                <w:rFonts w:ascii="Arial" w:cs="Arial" w:eastAsia="Arial" w:hAnsi="Arial"/>
                <w:color w:val="5D6D7E"/>
                <w:sz w:val="18"/>
                <w:szCs w:val="18"/>
              </w:rPr>
              <w:t xml:space="preserve">Ceasefire collapses and oil rips back to $115+; taking profits too early.</w:t>
            </w:r>
          </w:p>
        </w:tc>
      </w:tr>
    </w:tbl>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
              <w:left w:val="single" w:color="1A7A4A" w:sz="22"/>
              <w:bottom w:val="single" w:color="1A7A4A" w:sz="1"/>
              <w:right w:val="single" w:color="1A7A4A" w:sz="1"/>
            </w:tcBorders>
            <w:shd w:fill="EAF7EF" w:val="clear"/>
            <w:tcMar>
              <w:top w:type="dxa" w:w="110"/>
              <w:left w:type="dxa" w:w="200"/>
              <w:bottom w:type="dxa" w:w="110"/>
              <w:right w:type="dxa" w:w="180"/>
            </w:tcMar>
          </w:tcPr>
          <w:p>
            <w:r>
              <w:rPr>
                <w:rFonts w:ascii="Arial" w:cs="Arial" w:eastAsia="Arial" w:hAnsi="Arial"/>
                <w:b/>
                <w:bCs/>
                <w:caps/>
                <w:color w:val="1A7A4A"/>
                <w:sz w:val="17"/>
                <w:szCs w:val="17"/>
              </w:rPr>
              <w:t xml:space="preserve">BUY  </w:t>
            </w:r>
            <w:r>
              <w:rPr>
                <w:rFonts w:ascii="Arial" w:cs="Arial" w:eastAsia="Arial" w:hAnsi="Arial"/>
                <w:b/>
                <w:bCs/>
                <w:color w:val="1B3A6B"/>
                <w:sz w:val="22"/>
                <w:szCs w:val="22"/>
              </w:rPr>
              <w:t xml:space="preserve">MU — Micron Post-Earnings Dip</w:t>
            </w:r>
          </w:p>
          <w:p>
            <w:pPr>
              <w:spacing w:before="60"/>
            </w:pPr>
            <w:r>
              <w:rPr>
                <w:rFonts w:ascii="Arial" w:cs="Arial" w:eastAsia="Arial" w:hAnsi="Arial"/>
                <w:sz w:val="19"/>
                <w:szCs w:val="19"/>
              </w:rPr>
              <w:t xml:space="preserve">MU fell 5% after blowout earnings (EPS $12.20 vs $9.31) on classic sell-the-news. Now bouncing +2–3% premarket on risk-on. The Q3 guide ($33.5B rev, $19.15 EPS, 81% GM) is spectacular. Barclays raised to $670. Buy the dip—this is the best AI hardware story in the market.</w:t>
            </w:r>
          </w:p>
          <w:p>
            <w:pPr>
              <w:spacing w:before="50"/>
            </w:pPr>
            <w:r>
              <w:rPr>
                <w:rFonts w:ascii="Arial" w:cs="Arial" w:eastAsia="Arial" w:hAnsi="Arial"/>
                <w:b/>
                <w:bCs/>
                <w:color w:val="5D6D7E"/>
                <w:sz w:val="18"/>
                <w:szCs w:val="18"/>
              </w:rPr>
              <w:t xml:space="preserve">Risk: </w:t>
            </w:r>
            <w:r>
              <w:rPr>
                <w:rFonts w:ascii="Arial" w:cs="Arial" w:eastAsia="Arial" w:hAnsi="Arial"/>
                <w:color w:val="5D6D7E"/>
                <w:sz w:val="18"/>
                <w:szCs w:val="18"/>
              </w:rPr>
              <w:t xml:space="preserve">HBM pricing pressure; DRAM cycle turns; broader tech selloff resumes.</w:t>
            </w:r>
          </w:p>
        </w:tc>
      </w:tr>
    </w:tbl>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22"/>
              <w:bottom w:val="single" w:color="6C3483" w:sz="1"/>
              <w:right w:val="single" w:color="6C3483" w:sz="1"/>
            </w:tcBorders>
            <w:shd w:fill="F5EEF8" w:val="clear"/>
            <w:tcMar>
              <w:top w:type="dxa" w:w="110"/>
              <w:left w:type="dxa" w:w="200"/>
              <w:bottom w:type="dxa" w:w="110"/>
              <w:right w:type="dxa" w:w="180"/>
            </w:tcMar>
          </w:tcPr>
          <w:p>
            <w:r>
              <w:rPr>
                <w:rFonts w:ascii="Arial" w:cs="Arial" w:eastAsia="Arial" w:hAnsi="Arial"/>
                <w:b/>
                <w:bCs/>
                <w:caps/>
                <w:color w:val="6C3483"/>
                <w:sz w:val="17"/>
                <w:szCs w:val="17"/>
              </w:rPr>
              <w:t xml:space="preserve">HEDGE  </w:t>
            </w:r>
            <w:r>
              <w:rPr>
                <w:rFonts w:ascii="Arial" w:cs="Arial" w:eastAsia="Arial" w:hAnsi="Arial"/>
                <w:b/>
                <w:bCs/>
                <w:color w:val="1B3A6B"/>
                <w:sz w:val="22"/>
                <w:szCs w:val="22"/>
              </w:rPr>
              <w:t xml:space="preserve">Short Oil via USO Puts — Ceasefire Binary</w:t>
            </w:r>
          </w:p>
          <w:p>
            <w:pPr>
              <w:spacing w:before="60"/>
            </w:pPr>
            <w:r>
              <w:rPr>
                <w:rFonts w:ascii="Arial" w:cs="Arial" w:eastAsia="Arial" w:hAnsi="Arial"/>
                <w:sz w:val="19"/>
                <w:szCs w:val="19"/>
              </w:rPr>
              <w:t xml:space="preserve">If you believe ceasefire talks are real (we assign 30–40%), buy USO April puts. A deal sends Brent to $85–90 within days. The risk/reward on a binary event is asymmetric: ~$15 downside on deal vs ~$5–10 upside on failure (supply constraints cap the rally). Defined risk via options.</w:t>
            </w:r>
          </w:p>
          <w:p>
            <w:pPr>
              <w:spacing w:before="50"/>
            </w:pPr>
            <w:r>
              <w:rPr>
                <w:rFonts w:ascii="Arial" w:cs="Arial" w:eastAsia="Arial" w:hAnsi="Arial"/>
                <w:b/>
                <w:bCs/>
                <w:color w:val="5D6D7E"/>
                <w:sz w:val="18"/>
                <w:szCs w:val="18"/>
              </w:rPr>
              <w:t xml:space="preserve">Risk: </w:t>
            </w:r>
            <w:r>
              <w:rPr>
                <w:rFonts w:ascii="Arial" w:cs="Arial" w:eastAsia="Arial" w:hAnsi="Arial"/>
                <w:color w:val="5D6D7E"/>
                <w:sz w:val="18"/>
                <w:szCs w:val="18"/>
              </w:rPr>
              <w:t xml:space="preserve">Talks fail, Hormuz closure, nuclear escalation—oil spikes to $120+.</w:t>
            </w:r>
          </w:p>
        </w:tc>
      </w:tr>
    </w:tbl>
    <w:p>
      <w:pPr>
        <w:spacing w:after="60"/>
      </w:pPr>
      <w:r>
        <w:rPr>
          <w:rFonts w:ascii="Arial" w:cs="Arial" w:eastAsia="Arial" w:hAnsi="Arial"/>
        </w:rPr>
        <w:t xml:space="preserve"/>
      </w:r>
    </w:p>
    <w:p>
      <w:pPr>
        <w:pBdr>
          <w:bottom w:val="single" w:color="2E5FA3" w:sz="6" w:space="1"/>
        </w:pBdr>
        <w:spacing w:after="160"/>
      </w:pPr>
      <w:r>
        <w:rPr>
          <w:rFonts w:ascii="Arial" w:cs="Arial" w:eastAsia="Arial" w:hAnsi="Arial"/>
        </w:rPr>
        <w:t xml:space="preserve"/>
      </w:r>
    </w:p>
    <w:p>
      <w:pPr>
        <w:shd w:fill="D5E8F0" w:val="clear"/>
        <w:spacing w:after="100" w:before="220"/>
        <w:ind w:left="120" w:right="120"/>
      </w:pPr>
      <w:r>
        <w:rPr>
          <w:rFonts w:ascii="Arial" w:cs="Arial" w:eastAsia="Arial" w:hAnsi="Arial"/>
          <w:b/>
          <w:bCs/>
          <w:color w:val="1B3A6B"/>
          <w:sz w:val="21"/>
          <w:szCs w:val="21"/>
        </w:rPr>
        <w:t xml:space="preserve">EVENT CALENDAR —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5660"/>
        <w:gridCol w:w="1500"/>
      </w:tblGrid>
      <w:tr>
        <w:tc>
          <w:tcPr>
            <w:tcW w:type="dxa" w:w="10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Day</w:t>
            </w:r>
          </w:p>
        </w:tc>
        <w:tc>
          <w:tcPr>
            <w:tcW w:type="dxa" w:w="12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Time</w:t>
            </w:r>
          </w:p>
        </w:tc>
        <w:tc>
          <w:tcPr>
            <w:tcW w:type="dxa" w:w="566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Event</w:t>
            </w:r>
          </w:p>
        </w:tc>
        <w:tc>
          <w:tcPr>
            <w:tcW w:type="dxa" w:w="1500"/>
            <w:tcBorders>
              <w:top w:val="single" w:color="2E5FA3" w:sz="1"/>
              <w:left w:val="single" w:color="2E5FA3" w:sz="1"/>
              <w:bottom w:val="single" w:color="2E5FA3" w:sz="1"/>
              <w:right w:val="single" w:color="2E5FA3" w:sz="1"/>
            </w:tcBorders>
            <w:shd w:fill="2E5FA3" w:val="clear"/>
            <w:tcMar>
              <w:top w:type="dxa" w:w="60"/>
              <w:left w:type="dxa" w:w="100"/>
              <w:bottom w:type="dxa" w:w="60"/>
              <w:right w:type="dxa" w:w="70"/>
            </w:tcMar>
          </w:tcPr>
          <w:p>
            <w:r>
              <w:rPr>
                <w:rFonts w:ascii="Arial" w:cs="Arial" w:eastAsia="Arial" w:hAnsi="Arial"/>
                <w:b/>
                <w:bCs/>
                <w:color w:val="FFFFFF"/>
                <w:sz w:val="18"/>
                <w:szCs w:val="18"/>
              </w:rPr>
              <w:t xml:space="preserve">Impact</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Mon 3/23</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Pre-Mkt</w:t>
            </w:r>
          </w:p>
        </w:tc>
        <w:tc>
          <w:tcPr>
            <w:tcW w:type="dxa" w:w="5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S&amp;P 500 Rebalance: COHR, LITE, VRT, SATS Added</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392B"/>
                <w:sz w:val="17"/>
                <w:szCs w:val="17"/>
              </w:rPr>
              <w:t xml:space="preserve">HIGH</w:t>
            </w:r>
          </w:p>
        </w:tc>
      </w:tr>
      <w:tr>
        <w:tc>
          <w:tcPr>
            <w:tcW w:type="dxa" w:w="1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Mon 3/23</w:t>
            </w:r>
          </w:p>
        </w:tc>
        <w:tc>
          <w:tcPr>
            <w:tcW w:type="dxa" w:w="1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9:45 AM</w:t>
            </w:r>
          </w:p>
        </w:tc>
        <w:tc>
          <w:tcPr>
            <w:tcW w:type="dxa" w:w="56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val="false"/>
                <w:bCs w:val="false"/>
                <w:color w:val="1B3A6B"/>
                <w:sz w:val="19"/>
                <w:szCs w:val="19"/>
              </w:rPr>
              <w:t xml:space="preserve">S&amp;P Global Flash PMI (Mar)</w:t>
            </w:r>
          </w:p>
        </w:tc>
        <w:tc>
          <w:tcPr>
            <w:tcW w:type="dxa" w:w="1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680A"/>
                <w:sz w:val="17"/>
                <w:szCs w:val="17"/>
              </w:rPr>
              <w:t xml:space="preserve">MED</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Mon 3/23</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All Day</w:t>
            </w:r>
          </w:p>
        </w:tc>
        <w:tc>
          <w:tcPr>
            <w:tcW w:type="dxa" w:w="5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Ceasefire Window Day 1 of 5</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392B"/>
                <w:sz w:val="17"/>
                <w:szCs w:val="17"/>
              </w:rPr>
              <w:t xml:space="preserve">HIGH</w:t>
            </w:r>
          </w:p>
        </w:tc>
      </w:tr>
      <w:tr>
        <w:tc>
          <w:tcPr>
            <w:tcW w:type="dxa" w:w="1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Tue 3/24</w:t>
            </w:r>
          </w:p>
        </w:tc>
        <w:tc>
          <w:tcPr>
            <w:tcW w:type="dxa" w:w="1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10:00 AM</w:t>
            </w:r>
          </w:p>
        </w:tc>
        <w:tc>
          <w:tcPr>
            <w:tcW w:type="dxa" w:w="56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val="false"/>
                <w:bCs w:val="false"/>
                <w:color w:val="1B3A6B"/>
                <w:sz w:val="19"/>
                <w:szCs w:val="19"/>
              </w:rPr>
              <w:t xml:space="preserve">New Home Sales (Feb)</w:t>
            </w:r>
          </w:p>
        </w:tc>
        <w:tc>
          <w:tcPr>
            <w:tcW w:type="dxa" w:w="1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5D6D7E"/>
                <w:sz w:val="17"/>
                <w:szCs w:val="17"/>
              </w:rPr>
              <w:t xml:space="preserve">LOW</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Tue 3/24</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10:00 AM</w:t>
            </w:r>
          </w:p>
        </w:tc>
        <w:tc>
          <w:tcPr>
            <w:tcW w:type="dxa" w:w="5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val="false"/>
                <w:bCs w:val="false"/>
                <w:color w:val="1B3A6B"/>
                <w:sz w:val="19"/>
                <w:szCs w:val="19"/>
              </w:rPr>
              <w:t xml:space="preserve">Consumer Confidence (Mar)</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680A"/>
                <w:sz w:val="17"/>
                <w:szCs w:val="17"/>
              </w:rPr>
              <w:t xml:space="preserve">MED</w:t>
            </w:r>
          </w:p>
        </w:tc>
      </w:tr>
      <w:tr>
        <w:tc>
          <w:tcPr>
            <w:tcW w:type="dxa" w:w="1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Tue 3/24</w:t>
            </w:r>
          </w:p>
        </w:tc>
        <w:tc>
          <w:tcPr>
            <w:tcW w:type="dxa" w:w="1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AMC</w:t>
            </w:r>
          </w:p>
        </w:tc>
        <w:tc>
          <w:tcPr>
            <w:tcW w:type="dxa" w:w="56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val="false"/>
                <w:bCs w:val="false"/>
                <w:color w:val="1B3A6B"/>
                <w:sz w:val="19"/>
                <w:szCs w:val="19"/>
              </w:rPr>
              <w:t xml:space="preserve">GameStop (GME) Q4 Earnings</w:t>
            </w:r>
          </w:p>
        </w:tc>
        <w:tc>
          <w:tcPr>
            <w:tcW w:type="dxa" w:w="1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680A"/>
                <w:sz w:val="17"/>
                <w:szCs w:val="17"/>
              </w:rPr>
              <w:t xml:space="preserve">MED</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Wed 3/25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8:30 AM</w:t>
            </w:r>
          </w:p>
        </w:tc>
        <w:tc>
          <w:tcPr>
            <w:tcW w:type="dxa" w:w="5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val="false"/>
                <w:bCs w:val="false"/>
                <w:color w:val="1B3A6B"/>
                <w:sz w:val="19"/>
                <w:szCs w:val="19"/>
              </w:rPr>
              <w:t xml:space="preserve">Durable Goods Orders (Feb)</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680A"/>
                <w:sz w:val="17"/>
                <w:szCs w:val="17"/>
              </w:rPr>
              <w:t xml:space="preserve">MED</w:t>
            </w:r>
          </w:p>
        </w:tc>
      </w:tr>
      <w:tr>
        <w:tc>
          <w:tcPr>
            <w:tcW w:type="dxa" w:w="1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Wed 3/25</w:t>
            </w:r>
          </w:p>
        </w:tc>
        <w:tc>
          <w:tcPr>
            <w:tcW w:type="dxa" w:w="1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All Day</w:t>
            </w:r>
          </w:p>
        </w:tc>
        <w:tc>
          <w:tcPr>
            <w:tcW w:type="dxa" w:w="56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Ceasefire Window Day 3 — Midpoint</w:t>
            </w:r>
          </w:p>
        </w:tc>
        <w:tc>
          <w:tcPr>
            <w:tcW w:type="dxa" w:w="1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392B"/>
                <w:sz w:val="17"/>
                <w:szCs w:val="17"/>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Thu 3/26</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8:30 AM</w:t>
            </w:r>
          </w:p>
        </w:tc>
        <w:tc>
          <w:tcPr>
            <w:tcW w:type="dxa" w:w="5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val="false"/>
                <w:bCs w:val="false"/>
                <w:color w:val="1B3A6B"/>
                <w:sz w:val="19"/>
                <w:szCs w:val="19"/>
              </w:rPr>
              <w:t xml:space="preserve">GDP Final Revision (Q4)</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5D6D7E"/>
                <w:sz w:val="17"/>
                <w:szCs w:val="17"/>
              </w:rPr>
              <w:t xml:space="preserve">LOW</w:t>
            </w:r>
          </w:p>
        </w:tc>
      </w:tr>
      <w:tr>
        <w:tc>
          <w:tcPr>
            <w:tcW w:type="dxa" w:w="1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Thu 3/26</w:t>
            </w:r>
          </w:p>
        </w:tc>
        <w:tc>
          <w:tcPr>
            <w:tcW w:type="dxa" w:w="1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8:30 AM</w:t>
            </w:r>
          </w:p>
        </w:tc>
        <w:tc>
          <w:tcPr>
            <w:tcW w:type="dxa" w:w="56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val="false"/>
                <w:bCs w:val="false"/>
                <w:color w:val="1B3A6B"/>
                <w:sz w:val="19"/>
                <w:szCs w:val="19"/>
              </w:rPr>
              <w:t xml:space="preserve">Initial Jobless Claims</w:t>
            </w:r>
          </w:p>
        </w:tc>
        <w:tc>
          <w:tcPr>
            <w:tcW w:type="dxa" w:w="1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680A"/>
                <w:sz w:val="17"/>
                <w:szCs w:val="17"/>
              </w:rPr>
              <w:t xml:space="preserve">MED</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Thu 3/26</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AMC</w:t>
            </w:r>
          </w:p>
        </w:tc>
        <w:tc>
          <w:tcPr>
            <w:tcW w:type="dxa" w:w="5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val="false"/>
                <w:bCs w:val="false"/>
                <w:color w:val="1B3A6B"/>
                <w:sz w:val="19"/>
                <w:szCs w:val="19"/>
              </w:rPr>
              <w:t xml:space="preserve">Lululemon (LULU) Earnings</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680A"/>
                <w:sz w:val="17"/>
                <w:szCs w:val="17"/>
              </w:rPr>
              <w:t xml:space="preserve">MED</w:t>
            </w:r>
          </w:p>
        </w:tc>
      </w:tr>
      <w:tr>
        <w:tc>
          <w:tcPr>
            <w:tcW w:type="dxa" w:w="1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Fri 3/27</w:t>
            </w:r>
          </w:p>
        </w:tc>
        <w:tc>
          <w:tcPr>
            <w:tcW w:type="dxa" w:w="1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8:30 AM</w:t>
            </w:r>
          </w:p>
        </w:tc>
        <w:tc>
          <w:tcPr>
            <w:tcW w:type="dxa" w:w="56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Core PCE Inflation (Feb) — Fed’s Preferred Gauge</w:t>
            </w:r>
          </w:p>
        </w:tc>
        <w:tc>
          <w:tcPr>
            <w:tcW w:type="dxa" w:w="1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392B"/>
                <w:sz w:val="17"/>
                <w:szCs w:val="17"/>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Fri 3/27</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10:00 AM</w:t>
            </w:r>
          </w:p>
        </w:tc>
        <w:tc>
          <w:tcPr>
            <w:tcW w:type="dxa" w:w="5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val="false"/>
                <w:bCs w:val="false"/>
                <w:color w:val="1B3A6B"/>
                <w:sz w:val="19"/>
                <w:szCs w:val="19"/>
              </w:rPr>
              <w:t xml:space="preserve">UMich Consumer Sentiment Final (Mar)</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680A"/>
                <w:sz w:val="17"/>
                <w:szCs w:val="17"/>
              </w:rPr>
              <w:t xml:space="preserve">MED</w:t>
            </w:r>
          </w:p>
        </w:tc>
      </w:tr>
      <w:tr>
        <w:tc>
          <w:tcPr>
            <w:tcW w:type="dxa" w:w="10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Fri 3/27</w:t>
            </w:r>
          </w:p>
        </w:tc>
        <w:tc>
          <w:tcPr>
            <w:tcW w:type="dxa" w:w="12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color w:val="5D6D7E"/>
                <w:sz w:val="17"/>
                <w:szCs w:val="17"/>
              </w:rPr>
              <w:t xml:space="preserve">All Day</w:t>
            </w:r>
          </w:p>
        </w:tc>
        <w:tc>
          <w:tcPr>
            <w:tcW w:type="dxa" w:w="566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left"/>
            </w:pPr>
            <w:r>
              <w:rPr>
                <w:rFonts w:ascii="Arial" w:cs="Arial" w:eastAsia="Arial" w:hAnsi="Arial"/>
                <w:b/>
                <w:bCs/>
                <w:color w:val="1B3A6B"/>
                <w:sz w:val="19"/>
                <w:szCs w:val="19"/>
              </w:rPr>
              <w:t xml:space="preserve">Ceasefire Window Day 5 — DEADLINE</w:t>
            </w:r>
          </w:p>
        </w:tc>
        <w:tc>
          <w:tcPr>
            <w:tcW w:type="dxa" w:w="15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tcPr>
          <w:p>
            <w:pPr>
              <w:jc w:val="center"/>
            </w:pPr>
            <w:r>
              <w:rPr>
                <w:rFonts w:ascii="Arial" w:cs="Arial" w:eastAsia="Arial" w:hAnsi="Arial"/>
                <w:b/>
                <w:bCs/>
                <w:color w:val="C0392B"/>
                <w:sz w:val="17"/>
                <w:szCs w:val="17"/>
              </w:rPr>
              <w:t xml:space="preserve">HIGH</w:t>
            </w:r>
          </w:p>
        </w:tc>
      </w:tr>
      <w:tr>
        <w:tc>
          <w:tcPr>
            <w:tcW w:type="dxa" w:w="1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Fri 3/27</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color w:val="5D6D7E"/>
                <w:sz w:val="17"/>
                <w:szCs w:val="17"/>
              </w:rPr>
              <w:t xml:space="preserve">All Day</w:t>
            </w:r>
          </w:p>
        </w:tc>
        <w:tc>
          <w:tcPr>
            <w:tcW w:type="dxa" w:w="5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left"/>
            </w:pPr>
            <w:r>
              <w:rPr>
                <w:rFonts w:ascii="Arial" w:cs="Arial" w:eastAsia="Arial" w:hAnsi="Arial"/>
                <w:b/>
                <w:bCs/>
                <w:color w:val="1B3A6B"/>
                <w:sz w:val="19"/>
                <w:szCs w:val="19"/>
              </w:rPr>
              <w:t xml:space="preserve">War Day 28 — 1 Month Anniversary of Conflict</w:t>
            </w:r>
          </w:p>
        </w:tc>
        <w:tc>
          <w:tcPr>
            <w:tcW w:type="dxa" w:w="1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80"/>
            </w:tcMar>
          </w:tcPr>
          <w:p>
            <w:pPr>
              <w:jc w:val="center"/>
            </w:pPr>
            <w:r>
              <w:rPr>
                <w:rFonts w:ascii="Arial" w:cs="Arial" w:eastAsia="Arial" w:hAnsi="Arial"/>
                <w:b/>
                <w:bCs/>
                <w:color w:val="C0392B"/>
                <w:sz w:val="17"/>
                <w:szCs w:val="17"/>
              </w:rPr>
              <w:t xml:space="preserve">HIGH</w:t>
            </w:r>
          </w:p>
        </w:tc>
      </w:tr>
    </w:tbl>
    <w:p>
      <w:pPr>
        <w:spacing w:after="60"/>
      </w:pPr>
      <w:r>
        <w:rPr>
          <w:rFonts w:ascii="Arial" w:cs="Arial" w:eastAsia="Arial" w:hAnsi="Arial"/>
        </w:rPr>
        <w:t xml:space="preserve"/>
      </w:r>
    </w:p>
    <w:p>
      <w:pPr>
        <w:pBdr>
          <w:bottom w:val="single" w:color="2E5FA3" w:sz="6" w:space="1"/>
        </w:pBdr>
        <w:spacing w:after="160"/>
      </w:pPr>
      <w:r>
        <w:rPr>
          <w:rFonts w:ascii="Arial" w:cs="Arial" w:eastAsia="Arial" w:hAnsi="Arial"/>
        </w:rPr>
        <w:t xml:space="preserve"/>
      </w:r>
    </w:p>
    <w:p>
      <w:pPr>
        <w:shd w:fill="1B3A6B" w:val="clear"/>
        <w:spacing w:after="100" w:before="220"/>
        <w:ind w:left="120" w:right="120"/>
      </w:pPr>
      <w:r>
        <w:rPr>
          <w:rFonts w:ascii="Arial" w:cs="Arial" w:eastAsia="Arial" w:hAnsi="Arial"/>
          <w:b/>
          <w:bCs/>
          <w:color w:val="FFFFFF"/>
          <w:sz w:val="21"/>
          <w:szCs w:val="21"/>
        </w:rPr>
        <w:t xml:space="preserve">BOTTOM LINE</w:t>
      </w:r>
    </w:p>
    <w:p>
      <w:pPr>
        <w:spacing w:after="40"/>
      </w:pPr>
      <w:r>
        <w:rPr>
          <w:rFonts w:ascii="Arial" w:cs="Arial" w:eastAsia="Arial" w:hAnsi="Arial"/>
        </w:rPr>
        <w:t xml:space="preserve"/>
      </w:r>
    </w:p>
    <w:p>
      <w:pPr>
        <w:spacing w:after="60"/>
      </w:pPr>
      <w:r>
        <w:rPr>
          <w:rFonts w:ascii="Arial" w:cs="Arial" w:eastAsia="Arial" w:hAnsi="Arial"/>
          <w:b/>
          <w:bCs/>
          <w:color w:val="1B3A6B"/>
          <w:sz w:val="24"/>
          <w:szCs w:val="24"/>
        </w:rPr>
        <w:t xml:space="preserve">The Most Important 5 Days of the War.</w:t>
      </w:r>
    </w:p>
    <w:p>
      <w:pPr>
        <w:spacing w:after="60"/>
      </w:pPr>
      <w:r>
        <w:rPr>
          <w:rFonts w:ascii="Arial" w:cs="Arial" w:eastAsia="Arial" w:hAnsi="Arial"/>
          <w:sz w:val="20"/>
          <w:szCs w:val="20"/>
        </w:rPr>
        <w:t xml:space="preserve">For the first time in 24 days, there is a genuine de-escalation signal. Trump’s 5-day strike pause and claim of “very good talks” has sent Brent crashing 14%, futures surging 3%, and VIX collapsing from 31 to 27. The market is pricing in a real chance of a deal.</w:t>
      </w:r>
    </w:p>
    <w:p>
      <w:pPr>
        <w:spacing w:after="60"/>
      </w:pPr>
      <w:r>
        <w:rPr>
          <w:rFonts w:ascii="Arial" w:cs="Arial" w:eastAsia="Arial" w:hAnsi="Arial"/>
          <w:sz w:val="20"/>
          <w:szCs w:val="20"/>
        </w:rPr>
        <w:t xml:space="preserve">But Iran is publicly denying the talks. The credibility gap is enormous. And the demands—full uranium surrender—are maximalist. This could be a head-fake designed to lower oil prices while the Pentagon repositions. Or it could be the beginning of the end. We don’t know.</w:t>
      </w:r>
    </w:p>
    <w:p>
      <w:pPr>
        <w:spacing w:after="100"/>
      </w:pPr>
      <w:r>
        <w:rPr>
          <w:rFonts w:ascii="Arial" w:cs="Arial" w:eastAsia="Arial" w:hAnsi="Arial"/>
          <w:b/>
          <w:bCs/>
          <w:color w:val="1B3A6B"/>
          <w:sz w:val="20"/>
          <w:szCs w:val="20"/>
        </w:rPr>
        <w:t xml:space="preserve">What we do know: this is a binary week. By Friday, either we have a ceasefire framework and oil at $85–90 with the S&amp;P recovering to 5,800+, or the talks collapse, strikes resume, and we revisit the worst levels of last week. Position for both outcomes. Own the relief trades (airlines, MU, tech) but hedge with oil puts and VIX calls. The next 5 days will define Q2.</w:t>
      </w:r>
    </w:p>
    <w:sectPr>
      <w:headerReference w:type="default" r:id="rId7"/>
      <w:footerReference w:type="default" r:id="rId8"/>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color w:val="5D6D7E"/>
        <w:sz w:val="15"/>
        <w:szCs w:val="15"/>
      </w:rPr>
      <w:t xml:space="preserve">For internal use only. </w:t>
    </w:r>
    <w:r>
      <w:rPr>
        <w:rFonts w:ascii="Arial" w:cs="Arial" w:eastAsia="Arial" w:hAnsi="Arial"/>
        <w:i/>
        <w:iCs/>
        <w:color w:val="5D6D7E"/>
        <w:sz w:val="15"/>
        <w:szCs w:val="15"/>
      </w:rPr>
      <w:t xml:space="preserve">Not investment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c>
        <w:tcPr>
          <w:tcW w:type="dxa" w:w="5800"/>
          <w:tcBorders>
            <w:top w:val="none" w:color="FFFFFF" w:sz="0"/>
            <w:left w:val="none" w:color="FFFFFF" w:sz="0"/>
            <w:bottom w:val="none" w:color="FFFFFF" w:sz="0"/>
            <w:right w:val="none" w:color="FFFFFF" w:sz="0"/>
          </w:tcBorders>
          <w:shd w:fill="1B3A6B" w:val="clear"/>
          <w:tcMar>
            <w:top w:type="dxa" w:w="100"/>
            <w:left w:type="dxa" w:w="160"/>
            <w:bottom w:type="dxa" w:w="100"/>
            <w:right w:type="dxa" w:w="80"/>
          </w:tcMar>
        </w:tcPr>
        <w:p>
          <w:r>
            <w:rPr>
              <w:rFonts w:ascii="Arial" w:cs="Arial" w:eastAsia="Arial" w:hAnsi="Arial"/>
              <w:b/>
              <w:bCs/>
              <w:color w:val="FFFFFF"/>
              <w:sz w:val="22"/>
              <w:szCs w:val="22"/>
            </w:rPr>
            <w:t xml:space="preserve">MORNING NOTE  </w:t>
          </w:r>
          <w:r>
            <w:rPr>
              <w:rFonts w:ascii="Arial" w:cs="Arial" w:eastAsia="Arial" w:hAnsi="Arial"/>
              <w:color w:val="D5E8F0"/>
              <w:sz w:val="19"/>
              <w:szCs w:val="19"/>
            </w:rPr>
            <w:t xml:space="preserve">Equity Research</w:t>
          </w:r>
        </w:p>
      </w:tc>
      <w:tc>
        <w:tcPr>
          <w:tcW w:type="dxa" w:w="3560"/>
          <w:tcBorders>
            <w:top w:val="none" w:color="FFFFFF" w:sz="0"/>
            <w:left w:val="none" w:color="FFFFFF" w:sz="0"/>
            <w:bottom w:val="none" w:color="FFFFFF" w:sz="0"/>
            <w:right w:val="none" w:color="FFFFFF" w:sz="0"/>
          </w:tcBorders>
          <w:shd w:fill="1B3A6B" w:val="clear"/>
          <w:tcMar>
            <w:top w:type="dxa" w:w="100"/>
            <w:left w:type="dxa" w:w="80"/>
            <w:bottom w:type="dxa" w:w="100"/>
            <w:right w:type="dxa" w:w="160"/>
          </w:tcMar>
        </w:tcPr>
        <w:p>
          <w:pPr>
            <w:jc w:val="right"/>
          </w:pPr>
          <w:r>
            <w:rPr>
              <w:rFonts w:ascii="Arial" w:cs="Arial" w:eastAsia="Arial" w:hAnsi="Arial"/>
              <w:color w:val="D5E8F0"/>
              <w:sz w:val="18"/>
              <w:szCs w:val="18"/>
            </w:rPr>
            <w:t xml:space="preserve">Monday, March 23, 2026  |  06:45 ET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2026-03-23T23:59:54.683Z</dcterms:created>
  <dcterms:modified xsi:type="dcterms:W3CDTF">2026-03-23T23:59:54.684Z</dcterms:modified>
</cp:coreProperties>
</file>

<file path=docProps/custom.xml><?xml version="1.0" encoding="utf-8"?>
<Properties xmlns="http://schemas.openxmlformats.org/officeDocument/2006/custom-properties" xmlns:vt="http://schemas.openxmlformats.org/officeDocument/2006/docPropsVTypes"/>
</file>