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A6B"/>
          <w:sz w:val="28"/>
          <w:szCs w:val="28"/>
        </w:rPr>
        <w:t xml:space="preserve">WEDNESDAY, MARCH 25, 2026</w:t>
      </w:r>
    </w:p>
    <w:p>
      <w:pPr>
        <w:spacing w:after="40"/>
      </w:pPr>
      <w:r>
        <w:rPr>
          <w:rFonts w:ascii="Arial" w:cs="Arial" w:eastAsia="Arial" w:hAnsi="Arial"/>
          <w:b/>
          <w:bCs/>
          <w:color w:val="C0680A"/>
          <w:sz w:val="22"/>
          <w:szCs w:val="22"/>
        </w:rPr>
        <w:t xml:space="preserve">15-Point Deal on the Table. Iran Rejects It. Offers 5 Counter-Demands. Brent Drops Below $100. Consumer Confidence Collapses. The Negotiation Has Begun.</w:t>
      </w:r>
    </w:p>
    <w:p>
      <w:pPr>
        <w:spacing w:after="100"/>
      </w:pPr>
      <w:r>
        <w:rPr>
          <w:rFonts w:ascii="Arial" w:cs="Arial" w:eastAsia="Arial" w:hAnsi="Arial"/>
          <w:color w:val="5D6D7E"/>
          <w:sz w:val="18"/>
          <w:szCs w:val="18"/>
        </w:rPr>
        <w:t xml:space="preserve">Day 26 of the US-Iran War  |  Brent $100 (−6% yesterday)  |  S&amp;P +0.5% yesterday  |  VIX 25  |  Ceasefire Window Day 3 of 5  |  GME Beat EPS, Missed Rev</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TOP CALL — THE NEGOTIATION HAS BEGUN, EVEN IF BOTH SIDES DENY IT</w:t>
      </w:r>
    </w:p>
    <w:p>
      <w:pPr>
        <w:spacing w:after="80"/>
      </w:pPr>
      <w:r>
        <w:rPr>
          <w:rFonts w:ascii="Arial" w:cs="Arial" w:eastAsia="Arial" w:hAnsi="Arial"/>
          <w:sz w:val="20"/>
          <w:szCs w:val="20"/>
        </w:rPr>
        <w:t xml:space="preserve">For the first time since February 28, we have a framework for peace—and a counter-offer. That’s the story today, even if the headlines scream “Iran rejects deal.” Let’s unpack what actually happened and why it’s the most constructive development of the entire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22"/>
              <w:bottom w:val="single" w:color="2E5FA3" w:sz="1"/>
              <w:right w:val="single" w:color="2E5FA3" w:sz="1"/>
            </w:tcBorders>
            <w:shd w:fill="EBF5FB" w:val="clear"/>
            <w:tcMar>
              <w:top w:type="dxa" w:w="120"/>
              <w:left w:type="dxa" w:w="200"/>
              <w:bottom w:type="dxa" w:w="120"/>
              <w:right w:type="dxa" w:w="180"/>
            </w:tcMar>
          </w:tcPr>
          <w:p>
            <w:r>
              <w:rPr>
                <w:rFonts w:ascii="Arial" w:cs="Arial" w:eastAsia="Arial" w:hAnsi="Arial"/>
                <w:b/>
                <w:bCs/>
                <w:caps/>
                <w:color w:val="2E5FA3"/>
                <w:sz w:val="17"/>
                <w:szCs w:val="17"/>
              </w:rPr>
              <w:t xml:space="preserve">US PROPOSAL  </w:t>
            </w:r>
            <w:r>
              <w:rPr>
                <w:rFonts w:ascii="Arial" w:cs="Arial" w:eastAsia="Arial" w:hAnsi="Arial"/>
                <w:b/>
                <w:bCs/>
                <w:color w:val="1B3A6B"/>
                <w:sz w:val="20"/>
                <w:szCs w:val="20"/>
              </w:rPr>
              <w:t xml:space="preserve">Trump’s 15-Point Plan Delivered via Pakistan</w:t>
            </w:r>
          </w:p>
          <w:p>
            <w:pPr>
              <w:spacing w:before="70"/>
            </w:pPr>
            <w:r>
              <w:rPr>
                <w:rFonts w:ascii="Arial" w:cs="Arial" w:eastAsia="Arial" w:hAnsi="Arial"/>
                <w:sz w:val="19"/>
                <w:szCs w:val="19"/>
              </w:rPr>
              <w:t xml:space="preserve">The US presented a 15-point action list to Iran through Pakistani mediation. Key demands: rollback of Iran’s nuclear program, limits on missile capabilities, reopening the Strait of Hormuz, and a framework for sanctions relief. Pakistan’s PM Sharif hand-delivered the document. Envoys Witkoff and Kushner are reportedly pushing for face-to-face talks in Islamabad as early as Friday.</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22"/>
              <w:bottom w:val="single" w:color="922B21" w:sz="1"/>
              <w:right w:val="single" w:color="922B21" w:sz="1"/>
            </w:tcBorders>
            <w:shd w:fill="FDEDEC" w:val="clear"/>
            <w:tcMar>
              <w:top w:type="dxa" w:w="120"/>
              <w:left w:type="dxa" w:w="200"/>
              <w:bottom w:type="dxa" w:w="120"/>
              <w:right w:type="dxa" w:w="180"/>
            </w:tcMar>
          </w:tcPr>
          <w:p>
            <w:r>
              <w:rPr>
                <w:rFonts w:ascii="Arial" w:cs="Arial" w:eastAsia="Arial" w:hAnsi="Arial"/>
                <w:b/>
                <w:bCs/>
                <w:caps/>
                <w:color w:val="922B21"/>
                <w:sz w:val="17"/>
                <w:szCs w:val="17"/>
              </w:rPr>
              <w:t xml:space="preserve">IRAN RESPONSE  </w:t>
            </w:r>
            <w:r>
              <w:rPr>
                <w:rFonts w:ascii="Arial" w:cs="Arial" w:eastAsia="Arial" w:hAnsi="Arial"/>
                <w:b/>
                <w:bCs/>
                <w:color w:val="1B3A6B"/>
                <w:sz w:val="20"/>
                <w:szCs w:val="20"/>
              </w:rPr>
              <w:t xml:space="preserve">Iran Rejects US Plan as “Maximalist, Unreasonable” — Counter-Offers 5 Demands</w:t>
            </w:r>
          </w:p>
          <w:p>
            <w:pPr>
              <w:spacing w:before="70"/>
            </w:pPr>
            <w:r>
              <w:rPr>
                <w:rFonts w:ascii="Arial" w:cs="Arial" w:eastAsia="Arial" w:hAnsi="Arial"/>
                <w:sz w:val="19"/>
                <w:szCs w:val="19"/>
              </w:rPr>
              <w:t xml:space="preserve">Iran publicly rejected the 15-point proposal but—and this is the critical detail—issued its own 5-point counter-demand: (1) Halt all US/Israeli aggression and assassinations. (2) Establish mechanisms to prevent resumption of hostilities. (3) Pay war damages and reparations. (4) End attacks on Hezbollah in Lebanon and pro-Iranian militias in Iraq. (5) International recognition of Iran’s authority over the Strait of Hormuz.</w:t>
            </w:r>
          </w:p>
        </w:tc>
      </w:tr>
    </w:tbl>
    <w:p>
      <w:pPr>
        <w:spacing w:after="4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WHY “REJECTION” IS ACTUALLY BULLISH — THE ANATOMY OF A NEGOTIATION</w:t>
      </w:r>
    </w:p>
    <w:p>
      <w:pPr>
        <w:spacing w:after="60"/>
      </w:pPr>
      <w:r>
        <w:rPr>
          <w:rFonts w:ascii="Arial" w:cs="Arial" w:eastAsia="Arial" w:hAnsi="Arial"/>
          <w:sz w:val="20"/>
          <w:szCs w:val="20"/>
        </w:rPr>
        <w:t xml:space="preserve">Here’s what the market is missing: in diplomacy, a counter-offer is acceptance of the negotiation framework. Iran didn’t say “we will never talk.” It said “your terms are unacceptable—here are ours.” That’s a fundamentally different posture than three days ago, when Ghalibaf denied any talks existed and called it “market manipulation.”</w:t>
      </w:r>
    </w:p>
    <w:p>
      <w:pPr>
        <w:spacing w:after="60"/>
      </w:pPr>
      <w:r>
        <w:rPr>
          <w:rFonts w:ascii="Arial" w:cs="Arial" w:eastAsia="Arial" w:hAnsi="Arial"/>
          <w:b/>
          <w:bCs/>
          <w:color w:val="1B3A6B"/>
          <w:sz w:val="20"/>
          <w:szCs w:val="20"/>
        </w:rPr>
        <w:t xml:space="preserve">Look at the overlap between the two positions:</w:t>
      </w:r>
    </w:p>
    <w:p>
      <w:pPr>
        <w:pStyle w:val="ListParagraph"/>
        <w:numPr>
          <w:ilvl w:val="0"/>
          <w:numId w:val="2"/>
        </w:numPr>
        <w:spacing w:after="74"/>
      </w:pPr>
      <w:r>
        <w:rPr>
          <w:rFonts w:ascii="Arial" w:cs="Arial" w:eastAsia="Arial" w:hAnsi="Arial"/>
          <w:b/>
          <w:bCs/>
          <w:sz w:val="20"/>
          <w:szCs w:val="20"/>
        </w:rPr>
        <w:t xml:space="preserve">Sanctions relief: </w:t>
      </w:r>
      <w:r>
        <w:rPr>
          <w:rFonts w:ascii="Arial" w:cs="Arial" w:eastAsia="Arial" w:hAnsi="Arial"/>
          <w:sz w:val="20"/>
          <w:szCs w:val="20"/>
        </w:rPr>
        <w:t xml:space="preserve">Both sides agree sanctions must be addressed. The US offers “a framework”; Iran wants “all sanctions” ended. This is a gap, not a wall.</w:t>
      </w:r>
    </w:p>
    <w:p>
      <w:pPr>
        <w:pStyle w:val="ListParagraph"/>
        <w:numPr>
          <w:ilvl w:val="0"/>
          <w:numId w:val="2"/>
        </w:numPr>
        <w:spacing w:after="74"/>
      </w:pPr>
      <w:r>
        <w:rPr>
          <w:rFonts w:ascii="Arial" w:cs="Arial" w:eastAsia="Arial" w:hAnsi="Arial"/>
          <w:b/>
          <w:bCs/>
          <w:sz w:val="20"/>
          <w:szCs w:val="20"/>
        </w:rPr>
        <w:t xml:space="preserve">Nuclear limits: </w:t>
      </w:r>
      <w:r>
        <w:rPr>
          <w:rFonts w:ascii="Arial" w:cs="Arial" w:eastAsia="Arial" w:hAnsi="Arial"/>
          <w:sz w:val="20"/>
          <w:szCs w:val="20"/>
        </w:rPr>
        <w:t xml:space="preserve">The US wants rollback; Iran wants “international recognition of peaceful nuclear rights.” The 2015 JCPOA found a formula here—enrichment caps plus IAEA monitoring. The template exists.</w:t>
      </w:r>
    </w:p>
    <w:p>
      <w:pPr>
        <w:pStyle w:val="ListParagraph"/>
        <w:numPr>
          <w:ilvl w:val="0"/>
          <w:numId w:val="2"/>
        </w:numPr>
        <w:spacing w:after="74"/>
      </w:pPr>
      <w:r>
        <w:rPr>
          <w:rFonts w:ascii="Arial" w:cs="Arial" w:eastAsia="Arial" w:hAnsi="Arial"/>
          <w:b/>
          <w:bCs/>
          <w:sz w:val="20"/>
          <w:szCs w:val="20"/>
        </w:rPr>
        <w:t xml:space="preserve">Hormuz: </w:t>
      </w:r>
      <w:r>
        <w:rPr>
          <w:rFonts w:ascii="Arial" w:cs="Arial" w:eastAsia="Arial" w:hAnsi="Arial"/>
          <w:sz w:val="20"/>
          <w:szCs w:val="20"/>
        </w:rPr>
        <w:t xml:space="preserve">The US wants it reopened; Iran wants “international recognition of authority.” This is negotiable—Iran isn’t saying it will keep it closed, it’s demanding sovereignty be acknowledged.</w:t>
      </w:r>
    </w:p>
    <w:p>
      <w:pPr>
        <w:pStyle w:val="ListParagraph"/>
        <w:numPr>
          <w:ilvl w:val="0"/>
          <w:numId w:val="2"/>
        </w:numPr>
        <w:spacing w:after="74"/>
      </w:pPr>
      <w:r>
        <w:rPr>
          <w:rFonts w:ascii="Arial" w:cs="Arial" w:eastAsia="Arial" w:hAnsi="Arial"/>
          <w:b/>
          <w:bCs/>
          <w:sz w:val="20"/>
          <w:szCs w:val="20"/>
        </w:rPr>
        <w:t xml:space="preserve">Hostilities: </w:t>
      </w:r>
      <w:r>
        <w:rPr>
          <w:rFonts w:ascii="Arial" w:cs="Arial" w:eastAsia="Arial" w:hAnsi="Arial"/>
          <w:sz w:val="20"/>
          <w:szCs w:val="20"/>
        </w:rPr>
        <w:t xml:space="preserve">Both sides want the other to stop shooting. This is the easiest term to agree on once the broader framework holds.</w:t>
      </w:r>
    </w:p>
    <w:p>
      <w:pPr>
        <w:spacing w:after="40"/>
      </w:pPr>
      <w:r>
        <w:rPr>
          <w:rFonts w:ascii="Arial" w:cs="Arial" w:eastAsia="Arial" w:hAnsi="Arial"/>
        </w:rPr>
        <w:t xml:space="preserve"/>
      </w:r>
    </w:p>
    <w:p>
      <w:pPr>
        <w:spacing w:after="60"/>
      </w:pPr>
      <w:r>
        <w:rPr>
          <w:rFonts w:ascii="Arial" w:cs="Arial" w:eastAsia="Arial" w:hAnsi="Arial"/>
          <w:sz w:val="20"/>
          <w:szCs w:val="20"/>
        </w:rPr>
        <w:t xml:space="preserve">The hard gap: Israel. Iran’s demands 1, 2, and 4 all target Israeli behavior—assassinations, Lebanon operations, militia attacks. The US cannot deliver Israel. This is the same three-body problem we identified yesterday. Any deal that works requires either Israeli buy-in (unlikely under Netanyahu) or a US-Iran bilateral agreement that sidelines Israel (which creates its own escalation risks).</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2"/>
              <w:bottom w:val="single" w:color="1A7A4A" w:sz="1"/>
              <w:right w:val="single" w:color="1A7A4A" w:sz="1"/>
            </w:tcBorders>
            <w:shd w:fill="EAF7EF" w:val="clear"/>
            <w:tcMar>
              <w:top w:type="dxa" w:w="120"/>
              <w:left w:type="dxa" w:w="200"/>
              <w:bottom w:type="dxa" w:w="120"/>
              <w:right w:type="dxa" w:w="180"/>
            </w:tcMar>
          </w:tcPr>
          <w:p>
            <w:r>
              <w:rPr>
                <w:rFonts w:ascii="Arial" w:cs="Arial" w:eastAsia="Arial" w:hAnsi="Arial"/>
                <w:b/>
                <w:bCs/>
                <w:caps/>
                <w:color w:val="1A7A4A"/>
                <w:sz w:val="17"/>
                <w:szCs w:val="17"/>
              </w:rPr>
              <w:t xml:space="preserve">IMPLICATION  </w:t>
            </w:r>
            <w:r>
              <w:rPr>
                <w:rFonts w:ascii="Arial" w:cs="Arial" w:eastAsia="Arial" w:hAnsi="Arial"/>
                <w:b/>
                <w:bCs/>
                <w:color w:val="1B3A6B"/>
                <w:sz w:val="20"/>
                <w:szCs w:val="20"/>
              </w:rPr>
              <w:t xml:space="preserve">Ceasefire Probability Has Risen from 30% to 45%. But the Hard Part Is Ahead.</w:t>
            </w:r>
          </w:p>
          <w:p>
            <w:pPr>
              <w:spacing w:before="70"/>
            </w:pPr>
            <w:r>
              <w:rPr>
                <w:rFonts w:ascii="Arial" w:cs="Arial" w:eastAsia="Arial" w:hAnsi="Arial"/>
                <w:sz w:val="19"/>
                <w:szCs w:val="19"/>
              </w:rPr>
              <w:t xml:space="preserve">Trump extended the strike deadline to April 6—buying 10 more days. Pakistan talks are being planned for Friday. The existence of dueling proposals means the negotiation is real, even if both sides posture publicly. Oil is pricing this in: Brent dropped from $112 last Friday to $98 yesterday. But the Israel dimension remains unresolved, and Iran’s reparations demand is a non-starter. We’re in Act 2 of a 5-act play.</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TRUMP EXTENDS STRIKE DEADLINE TO APRIL 6 — 10 MORE DAYS</w:t>
      </w:r>
    </w:p>
    <w:p>
      <w:pPr>
        <w:spacing w:after="60"/>
      </w:pPr>
      <w:r>
        <w:rPr>
          <w:rFonts w:ascii="Arial" w:cs="Arial" w:eastAsia="Arial" w:hAnsi="Arial"/>
          <w:sz w:val="20"/>
          <w:szCs w:val="20"/>
        </w:rPr>
        <w:t xml:space="preserve">This is the second most important development after the counter-offer. Trump’s original 5-day window (March 23–28) has been extended to April 6 at 8 PM ET. That’s 12 additional days of no US strikes on Iranian energy infrastructure and power plants.</w:t>
      </w:r>
    </w:p>
    <w:p>
      <w:pPr>
        <w:spacing w:after="60"/>
      </w:pPr>
      <w:r>
        <w:rPr>
          <w:rFonts w:ascii="Arial" w:cs="Arial" w:eastAsia="Arial" w:hAnsi="Arial"/>
          <w:b/>
          <w:bCs/>
          <w:color w:val="1B3A6B"/>
          <w:sz w:val="20"/>
          <w:szCs w:val="20"/>
        </w:rPr>
        <w:t xml:space="preserve">What this tells us:</w:t>
      </w:r>
    </w:p>
    <w:p>
      <w:pPr>
        <w:pStyle w:val="ListParagraph"/>
        <w:numPr>
          <w:ilvl w:val="0"/>
          <w:numId w:val="2"/>
        </w:numPr>
        <w:spacing w:after="74"/>
      </w:pPr>
      <w:r>
        <w:rPr>
          <w:rFonts w:ascii="Arial" w:cs="Arial" w:eastAsia="Arial" w:hAnsi="Arial"/>
          <w:b/>
          <w:bCs/>
          <w:sz w:val="20"/>
          <w:szCs w:val="20"/>
        </w:rPr>
        <w:t xml:space="preserve">Talks are real: </w:t>
      </w:r>
      <w:r>
        <w:rPr>
          <w:rFonts w:ascii="Arial" w:cs="Arial" w:eastAsia="Arial" w:hAnsi="Arial"/>
          <w:sz w:val="20"/>
          <w:szCs w:val="20"/>
        </w:rPr>
        <w:t xml:space="preserve">You don’t extend a deadline for a head-fake. Trump is giving diplomacy genuine room to work. The domestic political calculus has shifted—oil at $112 was hurting his approval ratings.</w:t>
      </w:r>
    </w:p>
    <w:p>
      <w:pPr>
        <w:pStyle w:val="ListParagraph"/>
        <w:numPr>
          <w:ilvl w:val="0"/>
          <w:numId w:val="2"/>
        </w:numPr>
        <w:spacing w:after="74"/>
      </w:pPr>
      <w:r>
        <w:rPr>
          <w:rFonts w:ascii="Arial" w:cs="Arial" w:eastAsia="Arial" w:hAnsi="Arial"/>
          <w:b/>
          <w:bCs/>
          <w:sz w:val="20"/>
          <w:szCs w:val="20"/>
        </w:rPr>
        <w:t xml:space="preserve">Oil ceiling capped: </w:t>
      </w:r>
      <w:r>
        <w:rPr>
          <w:rFonts w:ascii="Arial" w:cs="Arial" w:eastAsia="Arial" w:hAnsi="Arial"/>
          <w:sz w:val="20"/>
          <w:szCs w:val="20"/>
        </w:rPr>
        <w:t xml:space="preserve">With energy infrastructure strikes off the table until April 6, the risk of a Brent spike above $115 is significantly reduced. The supply disruptions from Kuwait/Iraq/Fujairah are still real, but there won’t be new destruction.</w:t>
      </w:r>
    </w:p>
    <w:p>
      <w:pPr>
        <w:pStyle w:val="ListParagraph"/>
        <w:numPr>
          <w:ilvl w:val="0"/>
          <w:numId w:val="2"/>
        </w:numPr>
        <w:spacing w:after="74"/>
      </w:pPr>
      <w:r>
        <w:rPr>
          <w:rFonts w:ascii="Arial" w:cs="Arial" w:eastAsia="Arial" w:hAnsi="Arial"/>
          <w:b/>
          <w:bCs/>
          <w:sz w:val="20"/>
          <w:szCs w:val="20"/>
        </w:rPr>
        <w:t xml:space="preserve">Israel is the wild card: </w:t>
      </w:r>
      <w:r>
        <w:rPr>
          <w:rFonts w:ascii="Arial" w:cs="Arial" w:eastAsia="Arial" w:hAnsi="Arial"/>
          <w:sz w:val="20"/>
          <w:szCs w:val="20"/>
        </w:rPr>
        <w:t xml:space="preserve">Trump only paused US strikes. Israel has not agreed to any pause. Netanyahu is operating on his own timeline. This is why Brent is at $100 and not $85—the market is pricing Israeli escalation risk even inside a US-Iran pause.</w:t>
      </w:r>
    </w:p>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TUESDAY RECAP — A BETTER DAY THAN THE HEADLINES SUGGEST</w:t>
      </w:r>
    </w:p>
    <w:p>
      <w:pPr>
        <w:spacing w:after="60"/>
      </w:pPr>
      <w:r>
        <w:rPr>
          <w:rFonts w:ascii="Arial" w:cs="Arial" w:eastAsia="Arial" w:hAnsi="Arial"/>
          <w:sz w:val="20"/>
          <w:szCs w:val="20"/>
        </w:rPr>
        <w:t xml:space="preserve">Markets closed higher on Tuesday despite the noise. The Dow gained 305 pts (+0.66%) to 46,429, the S&amp;P rose 0.54% to 5,645, and the Nasdaq advanced 0.77%. Oil was the real story: Brent fell 6% to $98.31, the first close below $100 since the war’s second week.</w:t>
      </w:r>
    </w:p>
    <w:p>
      <w:pPr>
        <w:spacing w:after="80"/>
      </w:pPr>
      <w:r>
        <w:rPr>
          <w:rFonts w:ascii="Arial" w:cs="Arial" w:eastAsia="Arial" w:hAnsi="Arial"/>
          <w:color w:val="1B3A6B"/>
          <w:sz w:val="19"/>
          <w:szCs w:val="19"/>
        </w:rPr>
        <w:t xml:space="preserve">The intraday action revealed something important: the market is now trading the peace premium, not the war premium. For the first three weeks of the war, any de-escalation was sold as “too good to be true.” Now, escalation is being sold as “temporary noise on the path to a deal.” This regime change in market psychology is significant—it means dips are being bought, not sold. That’s constructive for equities and destructive for oil longs.</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CONSUMER CONFIDENCE — THE COLLAPSE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2"/>
              <w:bottom w:val="single" w:color="C0392B" w:sz="1"/>
              <w:right w:val="single" w:color="C0392B" w:sz="1"/>
            </w:tcBorders>
            <w:shd w:fill="FDF2F2" w:val="clear"/>
            <w:tcMar>
              <w:top w:type="dxa" w:w="120"/>
              <w:left w:type="dxa" w:w="200"/>
              <w:bottom w:type="dxa" w:w="120"/>
              <w:right w:type="dxa" w:w="180"/>
            </w:tcMar>
          </w:tcPr>
          <w:p>
            <w:r>
              <w:rPr>
                <w:rFonts w:ascii="Arial" w:cs="Arial" w:eastAsia="Arial" w:hAnsi="Arial"/>
                <w:b/>
                <w:bCs/>
                <w:caps/>
                <w:color w:val="C0392B"/>
                <w:sz w:val="17"/>
                <w:szCs w:val="17"/>
              </w:rPr>
              <w:t xml:space="preserve">DATA  </w:t>
            </w:r>
            <w:r>
              <w:rPr>
                <w:rFonts w:ascii="Arial" w:cs="Arial" w:eastAsia="Arial" w:hAnsi="Arial"/>
                <w:b/>
                <w:bCs/>
                <w:color w:val="1B3A6B"/>
                <w:sz w:val="20"/>
                <w:szCs w:val="20"/>
              </w:rPr>
              <w:t xml:space="preserve">Conference Board Consumer Confidence: 92.2 (from 100.1) — Worst Drop Since 2021</w:t>
            </w:r>
          </w:p>
          <w:p>
            <w:pPr>
              <w:spacing w:before="70"/>
            </w:pPr>
            <w:r>
              <w:rPr>
                <w:rFonts w:ascii="Arial" w:cs="Arial" w:eastAsia="Arial" w:hAnsi="Arial"/>
                <w:sz w:val="19"/>
                <w:szCs w:val="19"/>
              </w:rPr>
              <w:t xml:space="preserve">The Conference Board index plunged 7.9 points to 92.2, far worse than consensus. The Expectations Index cratered to 65.2—the lowest in 12 years. Readings below 80 have historically signaled recession. Consumer inflation expectations surged from 5.8% to 6.2%. This confirms the UMich signal from last week and broadens it across all demographics.</w:t>
            </w:r>
          </w:p>
        </w:tc>
      </w:tr>
    </w:tbl>
    <w:p>
      <w:pPr>
        <w:spacing w:after="40"/>
      </w:pPr>
      <w:r>
        <w:rPr>
          <w:rFonts w:ascii="Arial" w:cs="Arial" w:eastAsia="Arial" w:hAnsi="Arial"/>
        </w:rPr>
        <w:t xml:space="preserve"/>
      </w:r>
    </w:p>
    <w:p>
      <w:pPr>
        <w:spacing w:after="60"/>
      </w:pPr>
      <w:r>
        <w:rPr>
          <w:rFonts w:ascii="Arial" w:cs="Arial" w:eastAsia="Arial" w:hAnsi="Arial"/>
          <w:b/>
          <w:bCs/>
          <w:color w:val="1B3A6B"/>
          <w:sz w:val="20"/>
          <w:szCs w:val="20"/>
        </w:rPr>
        <w:t xml:space="preserve">The implications for equities:</w:t>
      </w:r>
    </w:p>
    <w:p>
      <w:pPr>
        <w:pStyle w:val="ListParagraph"/>
        <w:numPr>
          <w:ilvl w:val="0"/>
          <w:numId w:val="2"/>
        </w:numPr>
        <w:spacing w:after="74"/>
      </w:pPr>
      <w:r>
        <w:rPr>
          <w:rFonts w:ascii="Arial" w:cs="Arial" w:eastAsia="Arial" w:hAnsi="Arial"/>
          <w:b/>
          <w:bCs/>
          <w:sz w:val="20"/>
          <w:szCs w:val="20"/>
        </w:rPr>
        <w:t xml:space="preserve">Consumer discretionary at risk: </w:t>
      </w:r>
      <w:r>
        <w:rPr>
          <w:rFonts w:ascii="Arial" w:cs="Arial" w:eastAsia="Arial" w:hAnsi="Arial"/>
          <w:sz w:val="20"/>
          <w:szCs w:val="20"/>
        </w:rPr>
        <w:t xml:space="preserve">An Expectations Index of 65.2 is recession-level. Consumers are pulling back on big-ticket purchases, dining out, and travel. Names like NKE (already weak), SBUX, DIS, and LULU (reporting Thursday) are vulnerable.</w:t>
      </w:r>
    </w:p>
    <w:p>
      <w:pPr>
        <w:pStyle w:val="ListParagraph"/>
        <w:numPr>
          <w:ilvl w:val="0"/>
          <w:numId w:val="2"/>
        </w:numPr>
        <w:spacing w:after="74"/>
      </w:pPr>
      <w:r>
        <w:rPr>
          <w:rFonts w:ascii="Arial" w:cs="Arial" w:eastAsia="Arial" w:hAnsi="Arial"/>
          <w:b/>
          <w:bCs/>
          <w:sz w:val="20"/>
          <w:szCs w:val="20"/>
        </w:rPr>
        <w:t xml:space="preserve">Inflation expectations unanchored: </w:t>
      </w:r>
      <w:r>
        <w:rPr>
          <w:rFonts w:ascii="Arial" w:cs="Arial" w:eastAsia="Arial" w:hAnsi="Arial"/>
          <w:sz w:val="20"/>
          <w:szCs w:val="20"/>
        </w:rPr>
        <w:t xml:space="preserve">6.2% expected inflation is the highest since 2022. This puts enormous pressure on the Fed—if consumers expect higher prices, they accelerate purchases (creating more inflation) or retrench (creating recession). Either path is negative.</w:t>
      </w:r>
    </w:p>
    <w:p>
      <w:pPr>
        <w:pStyle w:val="ListParagraph"/>
        <w:numPr>
          <w:ilvl w:val="0"/>
          <w:numId w:val="2"/>
        </w:numPr>
        <w:spacing w:after="74"/>
      </w:pPr>
      <w:r>
        <w:rPr>
          <w:rFonts w:ascii="Arial" w:cs="Arial" w:eastAsia="Arial" w:hAnsi="Arial"/>
          <w:b/>
          <w:bCs/>
          <w:sz w:val="20"/>
          <w:szCs w:val="20"/>
        </w:rPr>
        <w:t xml:space="preserve">The stagflation trap: </w:t>
      </w:r>
      <w:r>
        <w:rPr>
          <w:rFonts w:ascii="Arial" w:cs="Arial" w:eastAsia="Arial" w:hAnsi="Arial"/>
          <w:sz w:val="20"/>
          <w:szCs w:val="20"/>
        </w:rPr>
        <w:t xml:space="preserve">We now have Powell saying “inflation isn’t coming down” AND consumers saying “we expect it to get worse” AND consumer spending intentions collapsing. This is the textbook stagflation setup: rising prices + falling demand + no policy relief.</w:t>
      </w:r>
    </w:p>
    <w:p>
      <w:pPr>
        <w:pStyle w:val="ListParagraph"/>
        <w:numPr>
          <w:ilvl w:val="0"/>
          <w:numId w:val="2"/>
        </w:numPr>
        <w:spacing w:after="74"/>
      </w:pPr>
      <w:r>
        <w:rPr>
          <w:rFonts w:ascii="Arial" w:cs="Arial" w:eastAsia="Arial" w:hAnsi="Arial"/>
          <w:b/>
          <w:bCs/>
          <w:sz w:val="20"/>
          <w:szCs w:val="20"/>
        </w:rPr>
        <w:t xml:space="preserve">GDP implications: </w:t>
      </w:r>
      <w:r>
        <w:rPr>
          <w:rFonts w:ascii="Arial" w:cs="Arial" w:eastAsia="Arial" w:hAnsi="Arial"/>
          <w:sz w:val="20"/>
          <w:szCs w:val="20"/>
        </w:rPr>
        <w:t xml:space="preserve">Consumer spending is 68% of GDP. If the Expectations Index stays below 80, Q2 GDP estimates (currently 2.4%) will need to come down to 1.5–2.0%. This matters for earnings multiples.</w:t>
      </w:r>
    </w:p>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EARNINGS REACTION — GAMESTOP: THE BEAT NOBODY CARES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22"/>
              <w:bottom w:val="single" w:color="6C3483" w:sz="1"/>
              <w:right w:val="single" w:color="6C3483" w:sz="1"/>
            </w:tcBorders>
            <w:shd w:fill="F5EEF8" w:val="clear"/>
            <w:tcMar>
              <w:top w:type="dxa" w:w="120"/>
              <w:left w:type="dxa" w:w="200"/>
              <w:bottom w:type="dxa" w:w="120"/>
              <w:right w:type="dxa" w:w="180"/>
            </w:tcMar>
          </w:tcPr>
          <w:p>
            <w:r>
              <w:rPr>
                <w:rFonts w:ascii="Arial" w:cs="Arial" w:eastAsia="Arial" w:hAnsi="Arial"/>
                <w:b/>
                <w:bCs/>
                <w:caps/>
                <w:color w:val="6C3483"/>
                <w:sz w:val="17"/>
                <w:szCs w:val="17"/>
              </w:rPr>
              <w:t xml:space="preserve">GME  </w:t>
            </w:r>
            <w:r>
              <w:rPr>
                <w:rFonts w:ascii="Arial" w:cs="Arial" w:eastAsia="Arial" w:hAnsi="Arial"/>
                <w:b/>
                <w:bCs/>
                <w:color w:val="1B3A6B"/>
                <w:sz w:val="20"/>
                <w:szCs w:val="20"/>
              </w:rPr>
              <w:t xml:space="preserve">Q4 FY25: EPS $0.49 vs $0.31 Est (+58%) | Rev $1.10B vs $1.47B Est (−25%)</w:t>
            </w:r>
          </w:p>
          <w:p>
            <w:pPr>
              <w:spacing w:before="70"/>
            </w:pPr>
            <w:r>
              <w:rPr>
                <w:rFonts w:ascii="Arial" w:cs="Arial" w:eastAsia="Arial" w:hAnsi="Arial"/>
                <w:sz w:val="19"/>
                <w:szCs w:val="19"/>
              </w:rPr>
              <w:t xml:space="preserve">GameStop beat EPS by 58% but missed revenue by 25%. Revenue fell 13.9% YoY to $1.10B. Net income surged 393% to $106.9M thanks to cost-cutting, not growth. The $9.01B cash pile is nearly double a year ago—but $151M was lost on Bitcoin holdings. CEO Ryan Cohen was silent on M&amp;A despite the market’s desperate desire for an acquisition announcement.</w:t>
            </w:r>
          </w:p>
        </w:tc>
      </w:tr>
    </w:tbl>
    <w:p>
      <w:pPr>
        <w:spacing w:after="40"/>
      </w:pPr>
      <w:r>
        <w:rPr>
          <w:rFonts w:ascii="Arial" w:cs="Arial" w:eastAsia="Arial" w:hAnsi="Arial"/>
        </w:rPr>
        <w:t xml:space="preserve"/>
      </w:r>
    </w:p>
    <w:p>
      <w:pPr>
        <w:spacing w:after="60"/>
      </w:pPr>
      <w:r>
        <w:rPr>
          <w:rFonts w:ascii="Arial" w:cs="Arial" w:eastAsia="Arial" w:hAnsi="Arial"/>
          <w:b/>
          <w:bCs/>
          <w:color w:val="1B3A6B"/>
          <w:sz w:val="20"/>
          <w:szCs w:val="20"/>
        </w:rPr>
        <w:t xml:space="preserve">The implications:</w:t>
      </w:r>
    </w:p>
    <w:p>
      <w:pPr>
        <w:pStyle w:val="ListParagraph"/>
        <w:numPr>
          <w:ilvl w:val="0"/>
          <w:numId w:val="2"/>
        </w:numPr>
        <w:spacing w:after="74"/>
      </w:pPr>
      <w:r>
        <w:rPr>
          <w:rFonts w:ascii="Arial" w:cs="Arial" w:eastAsia="Arial" w:hAnsi="Arial"/>
          <w:b/>
          <w:bCs/>
          <w:sz w:val="20"/>
          <w:szCs w:val="20"/>
        </w:rPr>
        <w:t xml:space="preserve">The holding company thesis is real but empty: </w:t>
      </w:r>
      <w:r>
        <w:rPr>
          <w:rFonts w:ascii="Arial" w:cs="Arial" w:eastAsia="Arial" w:hAnsi="Arial"/>
          <w:sz w:val="20"/>
          <w:szCs w:val="20"/>
        </w:rPr>
        <w:t xml:space="preserve">$9B in cash makes GME one of the most liquid companies in the Russell 2000. But without a deployment strategy, it’s a savings account earning 4–5% while the core business shrinks 14% per year. Cohen’s silence on M&amp;A is deafening.</w:t>
      </w:r>
    </w:p>
    <w:p>
      <w:pPr>
        <w:pStyle w:val="ListParagraph"/>
        <w:numPr>
          <w:ilvl w:val="0"/>
          <w:numId w:val="2"/>
        </w:numPr>
        <w:spacing w:after="74"/>
      </w:pPr>
      <w:r>
        <w:rPr>
          <w:rFonts w:ascii="Arial" w:cs="Arial" w:eastAsia="Arial" w:hAnsi="Arial"/>
          <w:b/>
          <w:bCs/>
          <w:sz w:val="20"/>
          <w:szCs w:val="20"/>
        </w:rPr>
        <w:t xml:space="preserve">Bitcoin drag: </w:t>
      </w:r>
      <w:r>
        <w:rPr>
          <w:rFonts w:ascii="Arial" w:cs="Arial" w:eastAsia="Arial" w:hAnsi="Arial"/>
          <w:sz w:val="20"/>
          <w:szCs w:val="20"/>
        </w:rPr>
        <w:t xml:space="preserve">$151M loss on crypto in a single quarter is material relative to $107M net income. If you strip out the Bitcoin mark-to-market, the operational picture is even worse. This is a company that lost money on its “investment” while its actual business declined.</w:t>
      </w:r>
    </w:p>
    <w:p>
      <w:pPr>
        <w:pStyle w:val="ListParagraph"/>
        <w:numPr>
          <w:ilvl w:val="0"/>
          <w:numId w:val="2"/>
        </w:numPr>
        <w:spacing w:after="74"/>
      </w:pPr>
      <w:r>
        <w:rPr>
          <w:rFonts w:ascii="Arial" w:cs="Arial" w:eastAsia="Arial" w:hAnsi="Arial"/>
          <w:b/>
          <w:bCs/>
          <w:sz w:val="20"/>
          <w:szCs w:val="20"/>
        </w:rPr>
        <w:t xml:space="preserve">Collectibles bright spot: </w:t>
      </w:r>
      <w:r>
        <w:rPr>
          <w:rFonts w:ascii="Arial" w:cs="Arial" w:eastAsia="Arial" w:hAnsi="Arial"/>
          <w:sz w:val="20"/>
          <w:szCs w:val="20"/>
        </w:rPr>
        <w:t xml:space="preserve">$1B+ in collectibles revenue in FY25 is the one genuinely interesting data point. This is a real business with real margins. But it’s being overshadowed by the crypto speculation and M&amp;A hype.</w:t>
      </w:r>
    </w:p>
    <w:p>
      <w:pPr>
        <w:pStyle w:val="ListParagraph"/>
        <w:numPr>
          <w:ilvl w:val="0"/>
          <w:numId w:val="2"/>
        </w:numPr>
        <w:spacing w:after="74"/>
      </w:pPr>
      <w:r>
        <w:rPr>
          <w:rFonts w:ascii="Arial" w:cs="Arial" w:eastAsia="Arial" w:hAnsi="Arial"/>
          <w:b/>
          <w:bCs/>
          <w:sz w:val="20"/>
          <w:szCs w:val="20"/>
        </w:rPr>
        <w:t xml:space="preserve">Stock reaction: </w:t>
      </w:r>
      <w:r>
        <w:rPr>
          <w:rFonts w:ascii="Arial" w:cs="Arial" w:eastAsia="Arial" w:hAnsi="Arial"/>
          <w:sz w:val="20"/>
          <w:szCs w:val="20"/>
        </w:rPr>
        <w:t xml:space="preserve">GME fell ~1% after-hours. The beat was priced in, the revenue miss was forgiven, and the M&amp;A silence disappointed. The stock is a hold at best until Cohen reveals his hand.</w:t>
      </w:r>
    </w:p>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OIL &amp; COMMODITIES — THE REPRICING IS UNDERWAY</w:t>
      </w:r>
    </w:p>
    <w:p>
      <w:pPr>
        <w:spacing w:after="60"/>
      </w:pPr>
      <w:r>
        <w:rPr>
          <w:rFonts w:ascii="Arial" w:cs="Arial" w:eastAsia="Arial" w:hAnsi="Arial"/>
          <w:sz w:val="20"/>
          <w:szCs w:val="20"/>
        </w:rPr>
        <w:t xml:space="preserve">Brent crude has fallen from $112 last Friday to $98 at yesterday’s close—a 12.5% decline in three sessions. This is the most aggressive oil repricing since the pandemic. The implications cascade through every sector:</w:t>
      </w:r>
    </w:p>
    <w:p>
      <w:pPr>
        <w:pStyle w:val="ListParagraph"/>
        <w:numPr>
          <w:ilvl w:val="0"/>
          <w:numId w:val="2"/>
        </w:numPr>
        <w:spacing w:after="74"/>
      </w:pPr>
      <w:r>
        <w:rPr>
          <w:rFonts w:ascii="Arial" w:cs="Arial" w:eastAsia="Arial" w:hAnsi="Arial"/>
          <w:b/>
          <w:bCs/>
          <w:sz w:val="20"/>
          <w:szCs w:val="20"/>
        </w:rPr>
        <w:t xml:space="preserve">Energy stocks: </w:t>
      </w:r>
      <w:r>
        <w:rPr>
          <w:rFonts w:ascii="Arial" w:cs="Arial" w:eastAsia="Arial" w:hAnsi="Arial"/>
          <w:sz w:val="20"/>
          <w:szCs w:val="20"/>
        </w:rPr>
        <w:t xml:space="preserve">XOM, CVX, OXY, HAL are all 5–10% off their war highs. The easy money in the energy trade is behind us. But we’re not selling here—the supply disruptions are real (Kuwait, Iraq, Fujairah all still offline), and Israeli escalation risk keeps a floor under prices.</w:t>
      </w:r>
    </w:p>
    <w:p>
      <w:pPr>
        <w:pStyle w:val="ListParagraph"/>
        <w:numPr>
          <w:ilvl w:val="0"/>
          <w:numId w:val="2"/>
        </w:numPr>
        <w:spacing w:after="74"/>
      </w:pPr>
      <w:r>
        <w:rPr>
          <w:rFonts w:ascii="Arial" w:cs="Arial" w:eastAsia="Arial" w:hAnsi="Arial"/>
          <w:b/>
          <w:bCs/>
          <w:sz w:val="20"/>
          <w:szCs w:val="20"/>
        </w:rPr>
        <w:t xml:space="preserve">Airlines: </w:t>
      </w:r>
      <w:r>
        <w:rPr>
          <w:rFonts w:ascii="Arial" w:cs="Arial" w:eastAsia="Arial" w:hAnsi="Arial"/>
          <w:sz w:val="20"/>
          <w:szCs w:val="20"/>
        </w:rPr>
        <w:t xml:space="preserve">DAL, UAL, LUV have bounced 6–8% since Monday on the jet fuel collapse. If Brent stays below $100, airlines are the biggest beneficiaries. Delta is our top pick.</w:t>
      </w:r>
    </w:p>
    <w:p>
      <w:pPr>
        <w:pStyle w:val="ListParagraph"/>
        <w:numPr>
          <w:ilvl w:val="0"/>
          <w:numId w:val="2"/>
        </w:numPr>
        <w:spacing w:after="74"/>
      </w:pPr>
      <w:r>
        <w:rPr>
          <w:rFonts w:ascii="Arial" w:cs="Arial" w:eastAsia="Arial" w:hAnsi="Arial"/>
          <w:b/>
          <w:bCs/>
          <w:sz w:val="20"/>
          <w:szCs w:val="20"/>
        </w:rPr>
        <w:t xml:space="preserve">Gold: </w:t>
      </w:r>
      <w:r>
        <w:rPr>
          <w:rFonts w:ascii="Arial" w:cs="Arial" w:eastAsia="Arial" w:hAnsi="Arial"/>
          <w:sz w:val="20"/>
          <w:szCs w:val="20"/>
        </w:rPr>
        <w:t xml:space="preserve">Pulled back from the record $3,290 to ~$3,200. The safe-haven unwind is happening but gold retains structural support: stagflation fears, war uncertainty, and negative real rates. Gold holds $3,100–3,150 unless ceasefire materializes fully.</w:t>
      </w:r>
    </w:p>
    <w:p>
      <w:pPr>
        <w:pStyle w:val="ListParagraph"/>
        <w:numPr>
          <w:ilvl w:val="0"/>
          <w:numId w:val="2"/>
        </w:numPr>
        <w:spacing w:after="74"/>
      </w:pPr>
      <w:r>
        <w:rPr>
          <w:rFonts w:ascii="Arial" w:cs="Arial" w:eastAsia="Arial" w:hAnsi="Arial"/>
          <w:b/>
          <w:bCs/>
          <w:sz w:val="20"/>
          <w:szCs w:val="20"/>
        </w:rPr>
        <w:t xml:space="preserve">Gasoline: </w:t>
      </w:r>
      <w:r>
        <w:rPr>
          <w:rFonts w:ascii="Arial" w:cs="Arial" w:eastAsia="Arial" w:hAnsi="Arial"/>
          <w:sz w:val="20"/>
          <w:szCs w:val="20"/>
        </w:rPr>
        <w:t xml:space="preserve">Still $4.10–4.20 nationally. Pump prices lag crude by 2–3 weeks. Even with Brent at $98, consumers won’t see relief until mid-April. This means the consumer confidence damage is already baked in for Q2.</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760"/>
        <w:gridCol w:w="3000"/>
      </w:tblGrid>
      <w:tr>
        <w:tc>
          <w:tcPr>
            <w:tcW w:type="dxa" w:w="2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Commodity</w:t>
            </w:r>
          </w:p>
        </w:tc>
        <w:tc>
          <w:tcPr>
            <w:tcW w:type="dxa" w:w="2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Level</w:t>
            </w:r>
          </w:p>
        </w:tc>
        <w:tc>
          <w:tcPr>
            <w:tcW w:type="dxa" w:w="17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WoW Chg</w:t>
            </w:r>
          </w:p>
        </w:tc>
        <w:tc>
          <w:tcPr>
            <w:tcW w:type="dxa" w:w="30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Note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Brent Crude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$98–$100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−12.5%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3-day selloff; biggest since 2020</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WTI Crude</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$87–$90</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C0392B"/>
                <w:sz w:val="19"/>
                <w:szCs w:val="19"/>
              </w:rPr>
              <w:t xml:space="preserve">−14%</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Below $90 for first time in 2 weeks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Gold (Spot)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$3,200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−2.7%</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Pulling back from $3,290 record</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Nat Gas (HH)</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$4.80</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1A7A4A"/>
                <w:sz w:val="19"/>
                <w:szCs w:val="19"/>
              </w:rPr>
              <w:t xml:space="preserve">+8%</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South Pars strike still impacting LNG supply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Gasoline (Avg)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$4.15</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5D6D7E"/>
                <w:sz w:val="19"/>
                <w:szCs w:val="19"/>
              </w:rPr>
              <w:t xml:space="preserve">Flat</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Pump prices lag crude by 2–3 weeks</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Bitcoin</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$68,000</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C0392B"/>
                <w:sz w:val="19"/>
                <w:szCs w:val="19"/>
              </w:rPr>
              <w:t xml:space="preserve">−5%</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Risk-on fade; correlating with equity swings</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WAR SIGNAL TRACKER — WEDNESDAY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Signal</w:t>
            </w:r>
          </w:p>
        </w:tc>
        <w:tc>
          <w:tcPr>
            <w:tcW w:type="dxa" w:w="57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Detail</w:t>
            </w:r>
          </w:p>
        </w:tc>
        <w:tc>
          <w:tcPr>
            <w:tcW w:type="dxa" w:w="1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Bias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US proposal</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15-point framework delivered via Pakistan. Sanctions relief + nuclear rollback + Hormuz. Serious.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Iran counter</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5 counter-demands. Rejection of US plan BUT engagement via counter-offer = implicit acceptance of talks.</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Strike deadline</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Extended to April 6. 10 more days without US strikes on energy/power. De-escalation signal.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Pakistan mediation</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In-person talks in Islamabad being planned for Friday. Egypt, Turkey also positioning as mediators.</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Israel / IDF</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Struck Tehran again Monday night. Not party to pause. Netanyahu operating independently.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Hormuz status</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Iran demands “international recognition of authority.” Not proposing to keep it closed permanently.</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Oil price</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Brent below $100. 12.5% decline in 3 sessions. Market pricing higher ceasefire probability.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Consumer damage</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CB Confidence 92.2. Expectations 65.2 (12-year low). Inflation expectations 6.2%. Structural damage done.</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Nuclear gap</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US wants full rollback; Iran wants “peaceful rights.” Hardest gap but 2015 JCPOA template exists.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Reparations</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Iran demands war damages. US will never pay. This is a throwaway demand for negotiating leverage.</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bl>
    <w:p>
      <w:pPr>
        <w:spacing w:after="40"/>
      </w:pPr>
      <w:r>
        <w:rPr>
          <w:rFonts w:ascii="Arial" w:cs="Arial" w:eastAsia="Arial" w:hAnsi="Arial"/>
        </w:rPr>
        <w:t xml:space="preserve"/>
      </w:r>
    </w:p>
    <w:p>
      <w:pPr>
        <w:spacing w:after="80"/>
      </w:pPr>
      <w:r>
        <w:rPr>
          <w:rFonts w:ascii="Arial" w:cs="Arial" w:eastAsia="Arial" w:hAnsi="Arial"/>
          <w:b/>
          <w:bCs/>
          <w:color w:val="1A7A4A"/>
          <w:sz w:val="19"/>
          <w:szCs w:val="19"/>
        </w:rPr>
        <w:t xml:space="preserve">Assessment: 5 BULL / 2 BEAR / 3 NEUTRAL. A dramatic improvement from yesterday’s 1/6/3. The driver: Iran’s counter-offer transformed “no talks” into “active negotiation.” The strike deadline extension removes the Friday cliff risk. For the first time in the war, our tracker has a BULL majority. The remaining BEAR signals are Israel (structural) and consumer damage (already done). This is the most constructive backdrop since Feb 28.</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COMPANY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360"/>
        <w:gridCol w:w="4500"/>
      </w:tblGrid>
      <w:tr>
        <w:tc>
          <w:tcPr>
            <w:tcW w:type="dxa" w:w="11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Ticker</w:t>
            </w:r>
          </w:p>
        </w:tc>
        <w:tc>
          <w:tcPr>
            <w:tcW w:type="dxa" w:w="2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Company</w:t>
            </w:r>
          </w:p>
        </w:tc>
        <w:tc>
          <w:tcPr>
            <w:tcW w:type="dxa" w:w="13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Move</w:t>
            </w:r>
          </w:p>
        </w:tc>
        <w:tc>
          <w:tcPr>
            <w:tcW w:type="dxa" w:w="45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Catalyst</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GME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GameStop</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−1%</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Beat EPS (+58%), missed rev (−25%). Cohen silent on M&amp;A. $151M BTC loss.</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DAL</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Delta Air Lines</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+3%</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Continuing jet fuel relief rally. Brent below $100. Best positioned airline.</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XOM</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Exxon Mobil</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−2–3%</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Oil selloff continues. Brent $98. Energy longs under pressure.</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OXY</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Occidental</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−3–4%</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Highest beta to oil decline. Giving back war premium fast.</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LULU</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Lululemon</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5D6D7E"/>
                <w:sz w:val="19"/>
                <w:szCs w:val="19"/>
              </w:rPr>
              <w:t xml:space="preserve">Flat</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Reports Thursday AMC. Consumer confidence collapse creates risk for guide.</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MU</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Micron</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+1%</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Steady. AI story transcends war noise. Post-earnings dip largely absorbed.</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COHR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Coherent</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−1%</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Post-S&amp;P 500 inclusion settling. Passive buying largely complete.</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LMT</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Lockheed Martin</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−1–2%</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Defence fading on ceasefire optimism. Still structurally overweight.</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NKE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Nike</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−2%</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Consumer confidence collapse hits discretionary hardest. Weak China.</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SBUX</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Starbucks</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−1–2%</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Consumer retrenchment signal. Traffic trends at risk.</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TRADE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2"/>
              <w:bottom w:val="single" w:color="1A7A4A" w:sz="1"/>
              <w:right w:val="single" w:color="1A7A4A" w:sz="1"/>
            </w:tcBorders>
            <w:shd w:fill="EAF7EF" w:val="clear"/>
            <w:tcMar>
              <w:top w:type="dxa" w:w="110"/>
              <w:left w:type="dxa" w:w="200"/>
              <w:bottom w:type="dxa" w:w="110"/>
              <w:right w:type="dxa" w:w="180"/>
            </w:tcMar>
          </w:tcPr>
          <w:p>
            <w:r>
              <w:rPr>
                <w:rFonts w:ascii="Arial" w:cs="Arial" w:eastAsia="Arial" w:hAnsi="Arial"/>
                <w:b/>
                <w:bCs/>
                <w:caps/>
                <w:color w:val="1A7A4A"/>
                <w:sz w:val="17"/>
                <w:szCs w:val="17"/>
              </w:rPr>
              <w:t xml:space="preserve">BUY  </w:t>
            </w:r>
            <w:r>
              <w:rPr>
                <w:rFonts w:ascii="Arial" w:cs="Arial" w:eastAsia="Arial" w:hAnsi="Arial"/>
                <w:b/>
                <w:bCs/>
                <w:color w:val="1B3A6B"/>
                <w:sz w:val="22"/>
                <w:szCs w:val="22"/>
              </w:rPr>
              <w:t xml:space="preserve">DAL — Delta Air Lines: The Ceasefire Beta Play</w:t>
            </w:r>
          </w:p>
          <w:p>
            <w:pPr>
              <w:spacing w:before="60"/>
            </w:pPr>
            <w:r>
              <w:rPr>
                <w:rFonts w:ascii="Arial" w:cs="Arial" w:eastAsia="Arial" w:hAnsi="Arial"/>
                <w:sz w:val="19"/>
                <w:szCs w:val="19"/>
              </w:rPr>
              <w:t xml:space="preserve">Delta is the cleanest beneficiary of the oil repricing. Jet fuel is 20–25% of operating costs. A $15/bbl drop in crude translates to ~$2B+ in annualized fuel savings across the industry. DAL has the best hedging program, highest premium mix (transatlantic + Delta One), and most pricing power. If Brent stays below $100, DAL re-rates to $55–60 from $44 today.</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Ceasefire collapses; oil spikes back to $110+; consumer spending deteriorates enough to hit travel demand.</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D0A" w:sz="1"/>
              <w:left w:val="single" w:color="9A7D0A" w:sz="22"/>
              <w:bottom w:val="single" w:color="9A7D0A" w:sz="1"/>
              <w:right w:val="single" w:color="9A7D0A" w:sz="1"/>
            </w:tcBorders>
            <w:shd w:fill="FEFDE7" w:val="clear"/>
            <w:tcMar>
              <w:top w:type="dxa" w:w="110"/>
              <w:left w:type="dxa" w:w="200"/>
              <w:bottom w:type="dxa" w:w="110"/>
              <w:right w:type="dxa" w:w="180"/>
            </w:tcMar>
          </w:tcPr>
          <w:p>
            <w:r>
              <w:rPr>
                <w:rFonts w:ascii="Arial" w:cs="Arial" w:eastAsia="Arial" w:hAnsi="Arial"/>
                <w:b/>
                <w:bCs/>
                <w:caps/>
                <w:color w:val="9A7D0A"/>
                <w:sz w:val="17"/>
                <w:szCs w:val="17"/>
              </w:rPr>
              <w:t xml:space="preserve">REDUCE  </w:t>
            </w:r>
            <w:r>
              <w:rPr>
                <w:rFonts w:ascii="Arial" w:cs="Arial" w:eastAsia="Arial" w:hAnsi="Arial"/>
                <w:b/>
                <w:bCs/>
                <w:color w:val="1B3A6B"/>
                <w:sz w:val="22"/>
                <w:szCs w:val="22"/>
              </w:rPr>
              <w:t xml:space="preserve">Energy Longs — Further Profit-Taking on Second Half</w:t>
            </w:r>
          </w:p>
          <w:p>
            <w:pPr>
              <w:spacing w:before="60"/>
            </w:pPr>
            <w:r>
              <w:rPr>
                <w:rFonts w:ascii="Arial" w:cs="Arial" w:eastAsia="Arial" w:hAnsi="Arial"/>
                <w:sz w:val="19"/>
                <w:szCs w:val="19"/>
              </w:rPr>
              <w:t xml:space="preserve">We said Monday to take profits on half. Today we say take profits on the remaining half if Brent breaks below $95. The ceasefire probability has risen from 30% to 45%, the strike deadline is extended to April 6, and the market’s psychology has flipped from “trade the war” to “trade the peace.” Keep 25% as a tail hedge. The supply disruptions are real, but the fear premium is evaporating.</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Ceasefire collapses; Israel escalates against Hormuz directly; new supply disruption event.</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2"/>
              <w:bottom w:val="single" w:color="C0392B" w:sz="1"/>
              <w:right w:val="single" w:color="C0392B" w:sz="1"/>
            </w:tcBorders>
            <w:shd w:fill="FDF2F2" w:val="clear"/>
            <w:tcMar>
              <w:top w:type="dxa" w:w="110"/>
              <w:left w:type="dxa" w:w="200"/>
              <w:bottom w:type="dxa" w:w="110"/>
              <w:right w:type="dxa" w:w="180"/>
            </w:tcMar>
          </w:tcPr>
          <w:p>
            <w:r>
              <w:rPr>
                <w:rFonts w:ascii="Arial" w:cs="Arial" w:eastAsia="Arial" w:hAnsi="Arial"/>
                <w:b/>
                <w:bCs/>
                <w:caps/>
                <w:color w:val="C0392B"/>
                <w:sz w:val="17"/>
                <w:szCs w:val="17"/>
              </w:rPr>
              <w:t xml:space="preserve">SHORT  </w:t>
            </w:r>
            <w:r>
              <w:rPr>
                <w:rFonts w:ascii="Arial" w:cs="Arial" w:eastAsia="Arial" w:hAnsi="Arial"/>
                <w:b/>
                <w:bCs/>
                <w:color w:val="1B3A6B"/>
                <w:sz w:val="22"/>
                <w:szCs w:val="22"/>
              </w:rPr>
              <w:t xml:space="preserve">Consumer Discretionary (XLY) Puts — The Consumer Is Cracking</w:t>
            </w:r>
          </w:p>
          <w:p>
            <w:pPr>
              <w:spacing w:before="60"/>
            </w:pPr>
            <w:r>
              <w:rPr>
                <w:rFonts w:ascii="Arial" w:cs="Arial" w:eastAsia="Arial" w:hAnsi="Arial"/>
                <w:sz w:val="19"/>
                <w:szCs w:val="19"/>
              </w:rPr>
              <w:t xml:space="preserve">Conference Board at 92.2 with Expectations at 65.2 is a recession-level signal. Inflation expectations at 6.2% mean the pain isn’t over. Gasoline prices won’t fall for 2–3 more weeks even with $98 Brent. Q2 earnings guidance for consumer discretionary names will be horrific. Buy XLY April puts or short individual names (NKE, SBUX, DIS).</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Ceasefire + oil crash drives gasoline back to $3.50; consumer confidence rebounds; summer travel season surprises to the upside.</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22"/>
              <w:bottom w:val="single" w:color="0E6655" w:sz="1"/>
              <w:right w:val="single" w:color="0E6655" w:sz="1"/>
            </w:tcBorders>
            <w:shd w:fill="E8F8F5" w:val="clear"/>
            <w:tcMar>
              <w:top w:type="dxa" w:w="110"/>
              <w:left w:type="dxa" w:w="200"/>
              <w:bottom w:type="dxa" w:w="110"/>
              <w:right w:type="dxa" w:w="180"/>
            </w:tcMar>
          </w:tcPr>
          <w:p>
            <w:r>
              <w:rPr>
                <w:rFonts w:ascii="Arial" w:cs="Arial" w:eastAsia="Arial" w:hAnsi="Arial"/>
                <w:b/>
                <w:bCs/>
                <w:caps/>
                <w:color w:val="0E6655"/>
                <w:sz w:val="17"/>
                <w:szCs w:val="17"/>
              </w:rPr>
              <w:t xml:space="preserve">HOLD  </w:t>
            </w:r>
            <w:r>
              <w:rPr>
                <w:rFonts w:ascii="Arial" w:cs="Arial" w:eastAsia="Arial" w:hAnsi="Arial"/>
                <w:b/>
                <w:bCs/>
                <w:color w:val="1B3A6B"/>
                <w:sz w:val="22"/>
                <w:szCs w:val="22"/>
              </w:rPr>
              <w:t xml:space="preserve">MU + COHR/LITE — AI Secular Winners Are Immune to This Noise</w:t>
            </w:r>
          </w:p>
          <w:p>
            <w:pPr>
              <w:spacing w:before="60"/>
            </w:pPr>
            <w:r>
              <w:rPr>
                <w:rFonts w:ascii="Arial" w:cs="Arial" w:eastAsia="Arial" w:hAnsi="Arial"/>
                <w:sz w:val="19"/>
                <w:szCs w:val="19"/>
              </w:rPr>
              <w:t xml:space="preserve">Micron’s $33.5B Q3 guide, COHR/LITE’s NVIDIA partnerships, and the AI infrastructure buildout are not war-dependent stories. These names will oscillate with the tape in the short term, but the fundamental trajectories are untouched by geopolitics. Hold through the noise. Buy dips aggressively.</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Severe recession reduces datacenter capex; NVIDIA pulls back investment commitments; HBM pricing war.</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EVENT CALENDAR — REST OF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660"/>
        <w:gridCol w:w="1500"/>
      </w:tblGrid>
      <w:tr>
        <w:tc>
          <w:tcPr>
            <w:tcW w:type="dxa" w:w="10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Day</w:t>
            </w:r>
          </w:p>
        </w:tc>
        <w:tc>
          <w:tcPr>
            <w:tcW w:type="dxa" w:w="1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Time</w:t>
            </w:r>
          </w:p>
        </w:tc>
        <w:tc>
          <w:tcPr>
            <w:tcW w:type="dxa" w:w="56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Event</w:t>
            </w:r>
          </w:p>
        </w:tc>
        <w:tc>
          <w:tcPr>
            <w:tcW w:type="dxa" w:w="15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Impact</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Wed 3/25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All Day</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Ceasefire Window Day 3 — Counter-Offers Exchanged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Wed 3/25</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Durable Goods Orders (Feb) — POSTPONED to Apr 7</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5D6D7E"/>
                <w:sz w:val="17"/>
                <w:szCs w:val="17"/>
              </w:rPr>
              <w:t xml:space="preserve">LOW</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GDP Final Revision (Q4)</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5D6D7E"/>
                <w:sz w:val="17"/>
                <w:szCs w:val="17"/>
              </w:rPr>
              <w:t xml:space="preserve">LOW</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Initial Jobless Claims</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AMC</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Lululemon (LULU) Q4 Earnings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Core PCE Inflation (Feb) — THE MACRO EVENT OF THE WEEK</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10:00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UMich Consumer Sentiment Final (Mar)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TBD</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Pakistan Talks — Possible In-Person Islamabad</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All Day</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Ceasefire Window Day 5 (Original Deadline)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Apr 6</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8 PM ET</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Extended Strike Deadline — NEW</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bl>
    <w:p>
      <w:pPr>
        <w:spacing w:after="40"/>
      </w:pPr>
      <w:r>
        <w:rPr>
          <w:rFonts w:ascii="Arial" w:cs="Arial" w:eastAsia="Arial" w:hAnsi="Arial"/>
        </w:rPr>
        <w:t xml:space="preserve"/>
      </w:r>
    </w:p>
    <w:p>
      <w:pPr>
        <w:spacing w:after="80"/>
      </w:pPr>
      <w:r>
        <w:rPr>
          <w:rFonts w:ascii="Arial" w:cs="Arial" w:eastAsia="Arial" w:hAnsi="Arial"/>
          <w:i/>
          <w:iCs/>
          <w:sz w:val="19"/>
          <w:szCs w:val="19"/>
        </w:rPr>
        <w:t xml:space="preserve">Friday is the pivotal day: Core PCE at 8:30 AM tells us whether the FOMC’s hawkish stance is justified. Pakistan talks could produce the first face-to-face diplomatic contact of the war. And the original 5-day ceasefire window expires—though the April 6 extension reduces this risk. All three events could move markets 2%+ in either direction.</w:t>
      </w:r>
    </w:p>
    <w:p>
      <w:pPr>
        <w:pBdr>
          <w:bottom w:val="single" w:color="2E5FA3" w:sz="6" w:space="1"/>
        </w:pBdr>
        <w:spacing w:after="160"/>
      </w:pPr>
      <w:r>
        <w:rPr>
          <w:rFonts w:ascii="Arial" w:cs="Arial" w:eastAsia="Arial" w:hAnsi="Arial"/>
        </w:rPr>
        <w:t xml:space="preserve"/>
      </w:r>
    </w:p>
    <w:p>
      <w:pPr>
        <w:shd w:fill="1B3A6B" w:val="clear"/>
        <w:spacing w:after="100" w:before="220"/>
        <w:ind w:left="120" w:right="120"/>
      </w:pPr>
      <w:r>
        <w:rPr>
          <w:rFonts w:ascii="Arial" w:cs="Arial" w:eastAsia="Arial" w:hAnsi="Arial"/>
          <w:b/>
          <w:bCs/>
          <w:color w:val="FFFFFF"/>
          <w:sz w:val="21"/>
          <w:szCs w:val="21"/>
        </w:rPr>
        <w:t xml:space="preserve">BOTTOM LINE</w:t>
      </w:r>
    </w:p>
    <w:p>
      <w:pPr>
        <w:spacing w:after="40"/>
      </w:pPr>
      <w:r>
        <w:rPr>
          <w:rFonts w:ascii="Arial" w:cs="Arial" w:eastAsia="Arial" w:hAnsi="Arial"/>
        </w:rPr>
        <w:t xml:space="preserve"/>
      </w:r>
    </w:p>
    <w:p>
      <w:pPr>
        <w:spacing w:after="60"/>
      </w:pPr>
      <w:r>
        <w:rPr>
          <w:rFonts w:ascii="Arial" w:cs="Arial" w:eastAsia="Arial" w:hAnsi="Arial"/>
          <w:b/>
          <w:bCs/>
          <w:color w:val="1B3A6B"/>
          <w:sz w:val="24"/>
          <w:szCs w:val="24"/>
        </w:rPr>
        <w:t xml:space="preserve">The War Is Ending. The Consumer Crisis Is Just Beginning.</w:t>
      </w:r>
    </w:p>
    <w:p>
      <w:pPr>
        <w:spacing w:after="60"/>
      </w:pPr>
      <w:r>
        <w:rPr>
          <w:rFonts w:ascii="Arial" w:cs="Arial" w:eastAsia="Arial" w:hAnsi="Arial"/>
          <w:sz w:val="20"/>
          <w:szCs w:val="20"/>
        </w:rPr>
        <w:t xml:space="preserve">For the first time since February 28, we have dueling peace proposals, a credible mediator, an extended deadline, and oil below $100. Our war signal tracker hit a BULL majority for the first time. The market’s psychology has flipped from pricing war to pricing peace. This is genuine progress.</w:t>
      </w:r>
    </w:p>
    <w:p>
      <w:pPr>
        <w:spacing w:after="60"/>
      </w:pPr>
      <w:r>
        <w:rPr>
          <w:rFonts w:ascii="Arial" w:cs="Arial" w:eastAsia="Arial" w:hAnsi="Arial"/>
          <w:sz w:val="20"/>
          <w:szCs w:val="20"/>
        </w:rPr>
        <w:t xml:space="preserve">But underneath the ceasefire optimism, a second crisis is materializing. Consumer confidence has collapsed to recession-level readings. Inflation expectations are unanchored at 6.2%. Gasoline prices won’t fall for weeks even with Brent at $98. The Fed just told us rate cuts aren’t coming. And Q2 earnings guidance for any consumer-facing business is going to be ugly.</w:t>
      </w:r>
    </w:p>
    <w:p>
      <w:pPr>
        <w:spacing w:after="100"/>
      </w:pPr>
      <w:r>
        <w:rPr>
          <w:rFonts w:ascii="Arial" w:cs="Arial" w:eastAsia="Arial" w:hAnsi="Arial"/>
          <w:b/>
          <w:bCs/>
          <w:color w:val="1B3A6B"/>
          <w:sz w:val="20"/>
          <w:szCs w:val="20"/>
        </w:rPr>
        <w:t xml:space="preserve">The trade: rotate from war trades to quality. Sell energy, sell defence (partially), sell consumer discretionary. Buy airlines (oil beneficiary), buy AI/semis (secular, immune to macro), and build cash for the Q2 consumer earnings downgrade cycle. The war may be ending, but the economic damage it caused is just getting started.</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5D6D7E"/>
        <w:sz w:val="15"/>
        <w:szCs w:val="15"/>
      </w:rPr>
      <w:t xml:space="preserve">For internal use only. </w:t>
    </w:r>
    <w:r>
      <w:rPr>
        <w:rFonts w:ascii="Arial" w:cs="Arial" w:eastAsia="Arial" w:hAnsi="Arial"/>
        <w:i/>
        <w:iCs/>
        <w:color w:val="5D6D7E"/>
        <w:sz w:val="15"/>
        <w:szCs w:val="15"/>
      </w:rPr>
      <w:t xml:space="preserve">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shd w:fill="1B3A6B" w:val="clear"/>
          <w:tcMar>
            <w:top w:type="dxa" w:w="100"/>
            <w:left w:type="dxa" w:w="160"/>
            <w:bottom w:type="dxa" w:w="100"/>
            <w:right w:type="dxa" w:w="80"/>
          </w:tcMar>
        </w:tcPr>
        <w:p>
          <w:r>
            <w:rPr>
              <w:rFonts w:ascii="Arial" w:cs="Arial" w:eastAsia="Arial" w:hAnsi="Arial"/>
              <w:b/>
              <w:bCs/>
              <w:color w:val="FFFFFF"/>
              <w:sz w:val="22"/>
              <w:szCs w:val="22"/>
            </w:rPr>
            <w:t xml:space="preserve">MORNING NOTE  </w:t>
          </w:r>
          <w:r>
            <w:rPr>
              <w:rFonts w:ascii="Arial" w:cs="Arial" w:eastAsia="Arial" w:hAnsi="Arial"/>
              <w:color w:val="D5E8F0"/>
              <w:sz w:val="19"/>
              <w:szCs w:val="19"/>
            </w:rPr>
            <w:t xml:space="preserve">Equity Research</w:t>
          </w:r>
        </w:p>
      </w:tc>
      <w:tc>
        <w:tcPr>
          <w:tcW w:type="dxa" w:w="3560"/>
          <w:tcBorders>
            <w:top w:val="none" w:color="FFFFFF" w:sz="0"/>
            <w:left w:val="none" w:color="FFFFFF" w:sz="0"/>
            <w:bottom w:val="none" w:color="FFFFFF" w:sz="0"/>
            <w:right w:val="none" w:color="FFFFFF" w:sz="0"/>
          </w:tcBorders>
          <w:shd w:fill="1B3A6B" w:val="clear"/>
          <w:tcMar>
            <w:top w:type="dxa" w:w="100"/>
            <w:left w:type="dxa" w:w="80"/>
            <w:bottom w:type="dxa" w:w="100"/>
            <w:right w:type="dxa" w:w="160"/>
          </w:tcMar>
        </w:tcPr>
        <w:p>
          <w:pPr>
            <w:jc w:val="right"/>
          </w:pPr>
          <w:r>
            <w:rPr>
              <w:rFonts w:ascii="Arial" w:cs="Arial" w:eastAsia="Arial" w:hAnsi="Arial"/>
              <w:color w:val="D5E8F0"/>
              <w:sz w:val="18"/>
              <w:szCs w:val="18"/>
            </w:rPr>
            <w:t xml:space="preserve">Wednesday, March 25, 2026  |  06:45 ET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2026-03-27T21:13:46.536Z</dcterms:created>
  <dcterms:modified xsi:type="dcterms:W3CDTF">2026-03-27T21:13:46.536Z</dcterms:modified>
</cp:coreProperties>
</file>

<file path=docProps/custom.xml><?xml version="1.0" encoding="utf-8"?>
<Properties xmlns="http://schemas.openxmlformats.org/officeDocument/2006/custom-properties" xmlns:vt="http://schemas.openxmlformats.org/officeDocument/2006/docPropsVTypes"/>
</file>