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Техническое задание</w:t>
      </w:r>
    </w:p>
    <w:p>
      <w:pPr>
        <w:jc w:val="center"/>
      </w:pPr>
      <w:r>
        <w:rPr>
          <w:sz w:val="28"/>
        </w:rPr>
        <w:t>NAOS Super Helper (Журнал «О коже» + Баннеры + Акции)</w:t>
      </w:r>
    </w:p>
    <w:p>
      <w:pPr>
        <w:jc w:val="center"/>
      </w:pPr>
      <w:r>
        <w:rPr>
          <w:sz w:val="24"/>
        </w:rPr>
        <w:t>Версия: 0.12.0</w:t>
      </w:r>
    </w:p>
    <w:p>
      <w:pPr>
        <w:jc w:val="center"/>
      </w:pPr>
      <w:r>
        <w:rPr>
          <w:sz w:val="24"/>
        </w:rPr>
        <w:t>Дата: 13.12.2025</w:t>
      </w:r>
    </w:p>
    <w:p>
      <w:r>
        <w:br w:type="page"/>
      </w:r>
    </w:p>
    <w:p>
      <w:pPr>
        <w:pStyle w:val="Heading1"/>
      </w:pPr>
      <w:r>
        <w:t>Лист изменений и контроля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Версия</w:t>
            </w:r>
          </w:p>
        </w:tc>
        <w:tc>
          <w:tcPr>
            <w:tcW w:type="dxa" w:w="2493"/>
          </w:tcPr>
          <w:p>
            <w:r>
              <w:t>Дата</w:t>
            </w:r>
          </w:p>
        </w:tc>
        <w:tc>
          <w:tcPr>
            <w:tcW w:type="dxa" w:w="2493"/>
          </w:tcPr>
          <w:p>
            <w:r>
              <w:t>Автор</w:t>
            </w:r>
          </w:p>
        </w:tc>
        <w:tc>
          <w:tcPr>
            <w:tcW w:type="dxa" w:w="2493"/>
          </w:tcPr>
          <w:p>
            <w:r>
              <w:t>Изменения</w:t>
            </w:r>
          </w:p>
        </w:tc>
      </w:tr>
      <w:tr>
        <w:tc>
          <w:tcPr>
            <w:tcW w:type="dxa" w:w="2493"/>
          </w:tcPr>
          <w:p>
            <w:r>
              <w:t>1.0</w:t>
            </w:r>
          </w:p>
        </w:tc>
        <w:tc>
          <w:tcPr>
            <w:tcW w:type="dxa" w:w="2493"/>
          </w:tcPr>
          <w:p>
            <w:r>
              <w:t>13.12.2025</w:t>
            </w:r>
          </w:p>
        </w:tc>
        <w:tc>
          <w:tcPr>
            <w:tcW w:type="dxa" w:w="2493"/>
          </w:tcPr>
          <w:p>
            <w:r>
              <w:t>Тёмыч</w:t>
            </w:r>
          </w:p>
        </w:tc>
        <w:tc>
          <w:tcPr>
            <w:tcW w:type="dxa" w:w="2493"/>
          </w:tcPr>
          <w:p>
            <w:r>
              <w:t>Первичная фиксация требований по текущему userscript.</w:t>
            </w:r>
          </w:p>
        </w:tc>
      </w:tr>
    </w:tbl>
    <w:p/>
    <w:p>
      <w:r>
        <w:br w:type="page"/>
      </w:r>
    </w:p>
    <w:p>
      <w:pPr>
        <w:pStyle w:val="Heading1"/>
      </w:pPr>
      <w:r>
        <w:t>Оглавление</w:t>
      </w:r>
    </w:p>
    <w:p>
      <w:r>
        <w:t>Обнови оглавление в Word: Ссылки → Оглавление → Обновить целиком.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r>
        <w:t>Продукт: Userscript для Tampermonkey «NAOS Super Helper».</w:t>
      </w:r>
    </w:p>
    <w:p>
      <w:r>
        <w:t>Цель: ускорить и стандартизировать заполнение форм в Magento Admin на backend.naos.ru для трёх типов контента: Журнал «О коже» (Better Blog), Баннеры (oggetto_banner), Акции (pharmacy/promotion).</w:t>
      </w:r>
    </w:p>
    <w:p>
      <w:r>
        <w:t>Режим работы: скрипт внедряет на страницу компактную панель (вкладки «Журнал / Баннеры / Акции / Лог»), разбирает текст ТЗ и автозаполняет текущую открытую админ-форму.</w:t>
      </w:r>
    </w:p>
    <w:p>
      <w:pPr>
        <w:pStyle w:val="Heading1"/>
      </w:pPr>
      <w:r>
        <w:t>2. Среда и ограничения</w:t>
      </w:r>
    </w:p>
    <w:p>
      <w:r>
        <w:t>Браузер: Chromium/Chrome или Firefox; расширение Tampermonkey; запуск на URL, совпадающих с @match (backend.naos.ru/*), в момент document-end.</w:t>
      </w:r>
    </w:p>
    <w:p>
      <w:r>
        <w:t>Хранение данных: localStorage браузера, ключи с префиксом NAOS_SH_.</w:t>
      </w:r>
    </w:p>
    <w:p>
      <w:r>
        <w:t>Ограничения: автозаполнение работает только на поддерживаемых страницах Magento Admin и при наличии полей с ожидаемыми заголовками/лейблами.</w:t>
      </w:r>
    </w:p>
    <w:p>
      <w:pPr>
        <w:pStyle w:val="Heading1"/>
      </w:pPr>
      <w:r>
        <w:t>3. Функциональные требования</w:t>
      </w:r>
    </w:p>
    <w:p>
      <w:pPr>
        <w:pStyle w:val="Heading2"/>
      </w:pPr>
      <w:r>
        <w:t>3.1 Панель Super Helper (общая часть)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Требование</w:t>
            </w:r>
          </w:p>
        </w:tc>
        <w:tc>
          <w:tcPr>
            <w:tcW w:type="dxa" w:w="1994"/>
          </w:tcPr>
          <w:p>
            <w:r>
              <w:t>Приоритет</w:t>
            </w:r>
          </w:p>
        </w:tc>
        <w:tc>
          <w:tcPr>
            <w:tcW w:type="dxa" w:w="1994"/>
          </w:tcPr>
          <w:p>
            <w:r>
              <w:t>Критерий приёмки</w:t>
            </w:r>
          </w:p>
        </w:tc>
        <w:tc>
          <w:tcPr>
            <w:tcW w:type="dxa" w:w="1994"/>
          </w:tcPr>
          <w:p>
            <w:r>
              <w:t>Комментарий</w:t>
            </w:r>
          </w:p>
        </w:tc>
      </w:tr>
      <w:tr>
        <w:tc>
          <w:tcPr>
            <w:tcW w:type="dxa" w:w="1994"/>
          </w:tcPr>
          <w:p>
            <w:r>
              <w:t>UI-01</w:t>
            </w:r>
          </w:p>
        </w:tc>
        <w:tc>
          <w:tcPr>
            <w:tcW w:type="dxa" w:w="1994"/>
          </w:tcPr>
          <w:p>
            <w:r>
              <w:t>Панель отображается поверх страницы и не ломает верстку админки. Доступна кнопка сворачивания/разворачивания.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Панель видна на поддерживаемых страницах; сворачивание оставляет компактную шапку.</w:t>
            </w:r>
          </w:p>
        </w:tc>
        <w:tc>
          <w:tcPr>
            <w:tcW w:type="dxa" w:w="1994"/>
          </w:tcPr>
          <w:p>
            <w:r>
              <w:t>run-at document-end.</w:t>
            </w:r>
          </w:p>
        </w:tc>
      </w:tr>
      <w:tr>
        <w:tc>
          <w:tcPr>
            <w:tcW w:type="dxa" w:w="1994"/>
          </w:tcPr>
          <w:p>
            <w:r>
              <w:t>UI-02</w:t>
            </w:r>
          </w:p>
        </w:tc>
        <w:tc>
          <w:tcPr>
            <w:tcW w:type="dxa" w:w="1994"/>
          </w:tcPr>
          <w:p>
            <w:r>
              <w:t>Вкладки: «Журнал», «Баннеры», «Акции», «Лог». Переключение без перезагрузки.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Активная вкладка подсвечена; содержимое других скрыто.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UI-03</w:t>
            </w:r>
          </w:p>
        </w:tc>
        <w:tc>
          <w:tcPr>
            <w:tcW w:type="dxa" w:w="1994"/>
          </w:tcPr>
          <w:p>
            <w:r>
              <w:t>Уведомления (toast) для успеха/предупреждений/ошибок.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При парсинге и заполнении пользователь получает короткие статусы.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UI-04</w:t>
            </w:r>
          </w:p>
        </w:tc>
        <w:tc>
          <w:tcPr>
            <w:tcW w:type="dxa" w:w="1994"/>
          </w:tcPr>
          <w:p>
            <w:r>
              <w:t>Лог событий в отдельной вкладке + кнопка «Очистить лог».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Логи накапливаются в рамках страницы; очистка скрывает старые записи.</w:t>
            </w:r>
          </w:p>
        </w:tc>
        <w:tc>
          <w:tcPr>
            <w:tcW w:type="dxa" w:w="1994"/>
          </w:tcPr>
          <w:p>
            <w:r/>
          </w:p>
        </w:tc>
      </w:tr>
    </w:tbl>
    <w:p/>
    <w:p>
      <w:pPr>
        <w:pStyle w:val="Heading2"/>
      </w:pPr>
      <w:r>
        <w:t>3.2 Модуль «Журнал» (Better Blog / Журнал «О коже»)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Требование</w:t>
            </w:r>
          </w:p>
        </w:tc>
        <w:tc>
          <w:tcPr>
            <w:tcW w:type="dxa" w:w="1994"/>
          </w:tcPr>
          <w:p>
            <w:r>
              <w:t>Приоритет</w:t>
            </w:r>
          </w:p>
        </w:tc>
        <w:tc>
          <w:tcPr>
            <w:tcW w:type="dxa" w:w="1994"/>
          </w:tcPr>
          <w:p>
            <w:r>
              <w:t>Критерий приёмки</w:t>
            </w:r>
          </w:p>
        </w:tc>
        <w:tc>
          <w:tcPr>
            <w:tcW w:type="dxa" w:w="1994"/>
          </w:tcPr>
          <w:p>
            <w:r>
              <w:t>Комментарий</w:t>
            </w:r>
          </w:p>
        </w:tc>
      </w:tr>
      <w:tr>
        <w:tc>
          <w:tcPr>
            <w:tcW w:type="dxa" w:w="1994"/>
          </w:tcPr>
          <w:p>
            <w:r>
              <w:t>BLOG-01</w:t>
            </w:r>
          </w:p>
        </w:tc>
        <w:tc>
          <w:tcPr>
            <w:tcW w:type="dxa" w:w="1994"/>
          </w:tcPr>
          <w:p>
            <w:r>
              <w:t>Вкладка содержит поле ввода ТЗ (textarea) и кнопки «Разобрать ТЗ», «Заполнить форму журнала».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После разбора появляется превью распознанных полей.</w:t>
            </w:r>
          </w:p>
        </w:tc>
        <w:tc>
          <w:tcPr>
            <w:tcW w:type="dxa" w:w="1994"/>
          </w:tcPr>
          <w:p>
            <w:r>
              <w:t>ТЗ вставляется из Word-шаблона.</w:t>
            </w:r>
          </w:p>
        </w:tc>
      </w:tr>
      <w:tr>
        <w:tc>
          <w:tcPr>
            <w:tcW w:type="dxa" w:w="1994"/>
          </w:tcPr>
          <w:p>
            <w:r>
              <w:t>BLOG-02</w:t>
            </w:r>
          </w:p>
        </w:tc>
        <w:tc>
          <w:tcPr>
            <w:tcW w:type="dxa" w:w="1994"/>
          </w:tcPr>
          <w:p>
            <w:r>
              <w:t>Парсер поддерживает поля: «Название материала», «Тип материала», «Автор», «Краткое описание», «Категории», «Темы», «Время на чтение», «SEO-заголовок (опционально)», «Основной текст статьи».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Каждое поле корректно попадает в превью (если задано).</w:t>
            </w:r>
          </w:p>
        </w:tc>
        <w:tc>
          <w:tcPr>
            <w:tcW w:type="dxa" w:w="1994"/>
          </w:tcPr>
          <w:p>
            <w:r>
              <w:t>Поле-ярлык идёт отдельной строкой; значение — следующими строками до следующего ярлыка.</w:t>
            </w:r>
          </w:p>
        </w:tc>
      </w:tr>
      <w:tr>
        <w:tc>
          <w:tcPr>
            <w:tcW w:type="dxa" w:w="1994"/>
          </w:tcPr>
          <w:p>
            <w:r>
              <w:t>BLOG-03</w:t>
            </w:r>
          </w:p>
        </w:tc>
        <w:tc>
          <w:tcPr>
            <w:tcW w:type="dxa" w:w="1994"/>
          </w:tcPr>
          <w:p>
            <w:r>
              <w:t>Основной текст статьи разбивается на блоки по маркеру «Рекомендация по верстке…». Следующая строка после маркера трактуется как список SKU (через запятую/точку с запятой).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В превью видно N блоков; SKU прикреплены к соответствующему блоку.</w:t>
            </w:r>
          </w:p>
        </w:tc>
        <w:tc>
          <w:tcPr>
            <w:tcW w:type="dxa" w:w="1994"/>
          </w:tcPr>
          <w:p>
            <w:r>
              <w:t>Максимум 10 блоков (Текст 1…10).</w:t>
            </w:r>
          </w:p>
        </w:tc>
      </w:tr>
      <w:tr>
        <w:tc>
          <w:tcPr>
            <w:tcW w:type="dxa" w:w="1994"/>
          </w:tcPr>
          <w:p>
            <w:r>
              <w:t>BLOG-04</w:t>
            </w:r>
          </w:p>
        </w:tc>
        <w:tc>
          <w:tcPr>
            <w:tcW w:type="dxa" w:w="1994"/>
          </w:tcPr>
          <w:p>
            <w:r>
              <w:t>Заполнение формы: Title→«Название», Type→селект «Тип», Author→мультиселект «Автор», Short→textarea «Краткое описание» и WYSIWYG «Начальный текст», Read time→«Время на чтение», SEO→«Заголовок Meta», Publish date→«Дата публикации» (текущее время).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После нажатия «Заполнить» значения присутствуют в форме и готовы к сохранению.</w:t>
            </w:r>
          </w:p>
        </w:tc>
        <w:tc>
          <w:tcPr>
            <w:tcW w:type="dxa" w:w="1994"/>
          </w:tcPr>
          <w:p>
            <w:r>
              <w:t>Категории/Темы выбираются через UI multiselect.</w:t>
            </w:r>
          </w:p>
        </w:tc>
      </w:tr>
      <w:tr>
        <w:tc>
          <w:tcPr>
            <w:tcW w:type="dxa" w:w="1994"/>
          </w:tcPr>
          <w:p>
            <w:r>
              <w:t>BLOG-05</w:t>
            </w:r>
          </w:p>
        </w:tc>
        <w:tc>
          <w:tcPr>
            <w:tcW w:type="dxa" w:w="1994"/>
          </w:tcPr>
          <w:p>
            <w:r>
              <w:t>Для каждого блока i=1..10: html заполняется в WYSIWYG поле «Текст i», а SKU — в input «Артикулы продуктов текста i».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Блоки видны в админке; SKU корректно записаны (через запятую).</w:t>
            </w:r>
          </w:p>
        </w:tc>
        <w:tc>
          <w:tcPr>
            <w:tcW w:type="dxa" w:w="1994"/>
          </w:tcPr>
          <w:p>
            <w:r>
              <w:t>Если блоков больше 10 — лишние игнорируются и логируются.</w:t>
            </w:r>
          </w:p>
        </w:tc>
      </w:tr>
    </w:tbl>
    <w:p/>
    <w:p>
      <w:pPr>
        <w:pStyle w:val="Heading2"/>
      </w:pPr>
      <w:r>
        <w:t>3.3 Модуль «Баннеры» (oggetto_banner)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Требование</w:t>
            </w:r>
          </w:p>
        </w:tc>
        <w:tc>
          <w:tcPr>
            <w:tcW w:type="dxa" w:w="1994"/>
          </w:tcPr>
          <w:p>
            <w:r>
              <w:t>Приоритет</w:t>
            </w:r>
          </w:p>
        </w:tc>
        <w:tc>
          <w:tcPr>
            <w:tcW w:type="dxa" w:w="1994"/>
          </w:tcPr>
          <w:p>
            <w:r>
              <w:t>Критерий приёмки</w:t>
            </w:r>
          </w:p>
        </w:tc>
        <w:tc>
          <w:tcPr>
            <w:tcW w:type="dxa" w:w="1994"/>
          </w:tcPr>
          <w:p>
            <w:r>
              <w:t>Комментарий</w:t>
            </w:r>
          </w:p>
        </w:tc>
      </w:tr>
      <w:tr>
        <w:tc>
          <w:tcPr>
            <w:tcW w:type="dxa" w:w="1994"/>
          </w:tcPr>
          <w:p>
            <w:r>
              <w:t>BNR-01</w:t>
            </w:r>
          </w:p>
        </w:tc>
        <w:tc>
          <w:tcPr>
            <w:tcW w:type="dxa" w:w="1994"/>
          </w:tcPr>
          <w:p>
            <w:r>
              <w:t>Вкладка содержит поле ТЗ, чекбоксы области (Main/PDP/Брендзоны) и поле URL акции/раздела.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UI доступен; значения используются при вычислении slug и ссылок.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BNR-02</w:t>
            </w:r>
          </w:p>
        </w:tc>
        <w:tc>
          <w:tcPr>
            <w:tcW w:type="dxa" w:w="1994"/>
          </w:tcPr>
          <w:p>
            <w:r>
              <w:t>Парсер баннера извлекает: заголовок, подзаголовок, дисклеймер(короткий), текст CTA, CTA-URL, период показа (даты), ссылку «Смотреть все» (из поля URL), служебные поля internalTitle/brandTitle/slug.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В превью выводятся распознанные поля; даты в формате dd.mm.yyyy.</w:t>
            </w:r>
          </w:p>
        </w:tc>
        <w:tc>
          <w:tcPr>
            <w:tcW w:type="dxa" w:w="1994"/>
          </w:tcPr>
          <w:p>
            <w:r>
              <w:t>Период понимает диапазоны 01.12.2025–31.12.2025 и «1–31 декабря».</w:t>
            </w:r>
          </w:p>
        </w:tc>
      </w:tr>
      <w:tr>
        <w:tc>
          <w:tcPr>
            <w:tcW w:type="dxa" w:w="1994"/>
          </w:tcPr>
          <w:p>
            <w:r>
              <w:t>BNR-03</w:t>
            </w:r>
          </w:p>
        </w:tc>
        <w:tc>
          <w:tcPr>
            <w:tcW w:type="dxa" w:w="1994"/>
          </w:tcPr>
          <w:p>
            <w:r>
              <w:t>Slug вычисляется автоматически на основе существующих значений в гриде/странице (например slider_main_N, slide_N_brand, sl_N_minibanners_pdp).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Новый slug не конфликтует с существующими; N = max+1.</w:t>
            </w:r>
          </w:p>
        </w:tc>
        <w:tc>
          <w:tcPr>
            <w:tcW w:type="dxa" w:w="1994"/>
          </w:tcPr>
          <w:p>
            <w:r>
              <w:t>Зависит от актуальной разметки грида.</w:t>
            </w:r>
          </w:p>
        </w:tc>
      </w:tr>
      <w:tr>
        <w:tc>
          <w:tcPr>
            <w:tcW w:type="dxa" w:w="1994"/>
          </w:tcPr>
          <w:p>
            <w:r>
              <w:t>BNR-04</w:t>
            </w:r>
          </w:p>
        </w:tc>
        <w:tc>
          <w:tcPr>
            <w:tcW w:type="dxa" w:w="1994"/>
          </w:tcPr>
          <w:p>
            <w:r>
              <w:t>Заполнение формы oggetto_banner: «Внутреннее название», «slug», селекты «Тип сущности», «Тип баннера», «Тема», «Text Position», «Порядок сортировки», «Показывать от/до», textarea «Крупный текст/Маленький текст», «Footnote/Дисклеймер/Лейбл скидки», ссылки «Текст CTA-ссылки», «Первая CTA-ссылка», «Ссылка на баннер».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После заполнения все поля формы имеют значения; пользователь может загрузить изображения и сохранить.</w:t>
            </w:r>
          </w:p>
        </w:tc>
        <w:tc>
          <w:tcPr>
            <w:tcW w:type="dxa" w:w="1994"/>
          </w:tcPr>
          <w:p>
            <w:r>
              <w:t>Если часть полей не найдена — запись в лог и продолжение.</w:t>
            </w:r>
          </w:p>
        </w:tc>
      </w:tr>
    </w:tbl>
    <w:p/>
    <w:p>
      <w:r>
        <w:t>Примечание: в UI вкладки «Баннеры» подпись кнопок может содержать “(stub)” — это косметика. Функционал разбора/заполнения реализован в модуле Banners.</w:t>
      </w:r>
    </w:p>
    <w:p>
      <w:pPr>
        <w:pStyle w:val="Heading2"/>
      </w:pPr>
      <w:r>
        <w:t>3.4 Модуль «Акции» (pharmacy/promotion)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Требование</w:t>
            </w:r>
          </w:p>
        </w:tc>
        <w:tc>
          <w:tcPr>
            <w:tcW w:type="dxa" w:w="1994"/>
          </w:tcPr>
          <w:p>
            <w:r>
              <w:t>Приоритет</w:t>
            </w:r>
          </w:p>
        </w:tc>
        <w:tc>
          <w:tcPr>
            <w:tcW w:type="dxa" w:w="1994"/>
          </w:tcPr>
          <w:p>
            <w:r>
              <w:t>Критерий приёмки</w:t>
            </w:r>
          </w:p>
        </w:tc>
        <w:tc>
          <w:tcPr>
            <w:tcW w:type="dxa" w:w="1994"/>
          </w:tcPr>
          <w:p>
            <w:r>
              <w:t>Комментарий</w:t>
            </w:r>
          </w:p>
        </w:tc>
      </w:tr>
      <w:tr>
        <w:tc>
          <w:tcPr>
            <w:tcW w:type="dxa" w:w="1994"/>
          </w:tcPr>
          <w:p>
            <w:r>
              <w:t>PRM-01</w:t>
            </w:r>
          </w:p>
        </w:tc>
        <w:tc>
          <w:tcPr>
            <w:tcW w:type="dxa" w:w="1994"/>
          </w:tcPr>
          <w:p>
            <w:r>
              <w:t>Парсер акции умеет разбирать одно ТЗ и пачку ТЗ в одном поле, если они начинаются с «1. …», «2. …» и т.д.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Если блоков &gt;1: первый заполняется как текущий; остальные добавляются в очередь.</w:t>
            </w:r>
          </w:p>
        </w:tc>
        <w:tc>
          <w:tcPr>
            <w:tcW w:type="dxa" w:w="1994"/>
          </w:tcPr>
          <w:p>
            <w:r>
              <w:t>Очередь хранится в localStorage.</w:t>
            </w:r>
          </w:p>
        </w:tc>
      </w:tr>
      <w:tr>
        <w:tc>
          <w:tcPr>
            <w:tcW w:type="dxa" w:w="1994"/>
          </w:tcPr>
          <w:p>
            <w:r>
              <w:t>PRM-02</w:t>
            </w:r>
          </w:p>
        </w:tc>
        <w:tc>
          <w:tcPr>
            <w:tcW w:type="dxa" w:w="1994"/>
          </w:tcPr>
          <w:p>
            <w:r>
              <w:t>Выделяются секции ТЗ по заголовкам (пример: Заголовок/Период/Бренды/SKU/Условия/Текст/Дисклеймер/URL).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Ключевые данные видны в превью: бренд, период, тип акции, SKU, ссылки.</w:t>
            </w:r>
          </w:p>
        </w:tc>
        <w:tc>
          <w:tcPr>
            <w:tcW w:type="dxa" w:w="1994"/>
          </w:tcPr>
          <w:p>
            <w:r>
              <w:t>Точность зависит от формулировок.</w:t>
            </w:r>
          </w:p>
        </w:tc>
      </w:tr>
      <w:tr>
        <w:tc>
          <w:tcPr>
            <w:tcW w:type="dxa" w:w="1994"/>
          </w:tcPr>
          <w:p>
            <w:r>
              <w:t>PRM-03</w:t>
            </w:r>
          </w:p>
        </w:tc>
        <w:tc>
          <w:tcPr>
            <w:tcW w:type="dxa" w:w="1994"/>
          </w:tcPr>
          <w:p>
            <w:r>
              <w:t>Заполнение формы: активировать акцию (switch «Активен»), выбрать магазин (select store_id), заполнить «Заголовок», «Тип», «Название бренда», «Дата начала/окончания», «Артикул продукта» (product_skus), WYSIWYG «Описание», «Описание после списка товаров», «Дисклеймер», мультиселект категории для кнопки «Перейти в каталог».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Поля формы заполнены и готовы к сохранению; HTML вставлен без потери переносов.</w:t>
            </w:r>
          </w:p>
        </w:tc>
        <w:tc>
          <w:tcPr>
            <w:tcW w:type="dxa" w:w="1994"/>
          </w:tcPr>
          <w:p>
            <w:r>
              <w:t>ERID намеренно не заполняется.</w:t>
            </w:r>
          </w:p>
        </w:tc>
      </w:tr>
      <w:tr>
        <w:tc>
          <w:tcPr>
            <w:tcW w:type="dxa" w:w="1994"/>
          </w:tcPr>
          <w:p>
            <w:r>
              <w:t>PRM-04</w:t>
            </w:r>
          </w:p>
        </w:tc>
        <w:tc>
          <w:tcPr>
            <w:tcW w:type="dxa" w:w="1994"/>
          </w:tcPr>
          <w:p>
            <w:r>
              <w:t>Очередь: кнопки «В очередь», «Следующая из очереди», «Очистить очередь» + отображение списка очереди.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Элементы очереди имеют статусы pending/in_progress/done; список обновляется.</w:t>
            </w:r>
          </w:p>
        </w:tc>
        <w:tc>
          <w:tcPr>
            <w:tcW w:type="dxa" w:w="1994"/>
          </w:tcPr>
          <w:p>
            <w:r>
              <w:t>При выборе следующей — предыдущая in_progress помечается done.</w:t>
            </w:r>
          </w:p>
        </w:tc>
      </w:tr>
      <w:tr>
        <w:tc>
          <w:tcPr>
            <w:tcW w:type="dxa" w:w="1994"/>
          </w:tcPr>
          <w:p>
            <w:r>
              <w:t>PRM-05</w:t>
            </w:r>
          </w:p>
        </w:tc>
        <w:tc>
          <w:tcPr>
            <w:tcW w:type="dxa" w:w="1994"/>
          </w:tcPr>
          <w:p>
            <w:r>
              <w:t>Автопилот: при включении и наличии очереди автоматически подставляет следующую акцию после завершения текущей (на странице promo_edit).</w:t>
            </w:r>
          </w:p>
        </w:tc>
        <w:tc>
          <w:tcPr>
            <w:tcW w:type="dxa" w:w="1994"/>
          </w:tcPr>
          <w:p>
            <w:r>
              <w:t>MUST</w:t>
            </w:r>
          </w:p>
        </w:tc>
        <w:tc>
          <w:tcPr>
            <w:tcW w:type="dxa" w:w="1994"/>
          </w:tcPr>
          <w:p>
            <w:r>
              <w:t>При включенном автопилоте после заполнения/перехода «Следующая» запускает подстановку следующей.</w:t>
            </w:r>
          </w:p>
        </w:tc>
        <w:tc>
          <w:tcPr>
            <w:tcW w:type="dxa" w:w="1994"/>
          </w:tcPr>
          <w:p>
            <w:r>
              <w:t>Автопилот не нажимает «Сохранить» — это делает человек.</w:t>
            </w:r>
          </w:p>
        </w:tc>
      </w:tr>
    </w:tbl>
    <w:p/>
    <w:p>
      <w:pPr>
        <w:pStyle w:val="Heading1"/>
      </w:pPr>
      <w:r>
        <w:t>4. Требования к качеству и безопасности</w:t>
      </w:r>
    </w:p>
    <w:p>
      <w:r>
        <w:t>Скрипт не должен отправлять данные во внешние сети; работает только локально в браузере (парсинг текста, заполнение DOM, localStorage).</w:t>
      </w:r>
    </w:p>
    <w:p>
      <w:r>
        <w:t>Ошибки поиска полей не должны ломать страницу: скрипт пишет предупреждение в лог и продолжает по другим полям.</w:t>
      </w:r>
    </w:p>
    <w:p>
      <w:r>
        <w:t>Автозаполнение не отменяет ручную проверку: пользователь обязан визуально проверить поля, изображения, промо-условия и сохранить изменения.</w:t>
      </w:r>
    </w:p>
    <w:p>
      <w:pPr>
        <w:pStyle w:val="Heading1"/>
      </w:pPr>
      <w:r>
        <w:t>5. Приёмочные тесты (чек-листы)</w:t>
      </w:r>
    </w:p>
    <w:p>
      <w:r>
        <w:t>Ниже — минимальные чек-листы для приёмки. Достаточно пройти их на тестовой и боевой админке (если доступно).</w:t>
      </w:r>
    </w:p>
    <w:p>
      <w:pPr>
        <w:pStyle w:val="Heading2"/>
      </w:pPr>
      <w:r>
        <w:t>5.1 Журнал</w:t>
      </w:r>
    </w:p>
    <w:p>
      <w:pPr>
        <w:pStyle w:val="ListBullet"/>
      </w:pPr>
      <w:r>
        <w:t>Открыть страницу создания статьи Better Blog → панель видна.</w:t>
      </w:r>
    </w:p>
    <w:p>
      <w:pPr>
        <w:pStyle w:val="ListBullet"/>
      </w:pPr>
      <w:r>
        <w:t>Вставить ТЗ из шаблона → «Разобрать ТЗ» → превью заполнено.</w:t>
      </w:r>
    </w:p>
    <w:p>
      <w:pPr>
        <w:pStyle w:val="ListBullet"/>
      </w:pPr>
      <w:r>
        <w:t>Нажать «Заполнить форму журнала» → поля Название/Тип/Автор/Категории/Темы/Тексты 1..N заполнены.</w:t>
      </w:r>
    </w:p>
    <w:p>
      <w:pPr>
        <w:pStyle w:val="ListBullet"/>
      </w:pPr>
      <w:r>
        <w:t>Проверить, что SKU улетели в «Артикулы продуктов текста i».</w:t>
      </w:r>
    </w:p>
    <w:p>
      <w:pPr>
        <w:pStyle w:val="ListBullet"/>
      </w:pPr>
      <w:r>
        <w:t>Сохранить вручную — статья создаётся без ошибок.</w:t>
      </w:r>
    </w:p>
    <w:p>
      <w:pPr>
        <w:pStyle w:val="Heading2"/>
      </w:pPr>
      <w:r>
        <w:t>5.2 Баннеры</w:t>
      </w:r>
    </w:p>
    <w:p>
      <w:pPr>
        <w:pStyle w:val="ListBullet"/>
      </w:pPr>
      <w:r>
        <w:t>Открыть oggetto_banner entity edit → панель видна.</w:t>
      </w:r>
    </w:p>
    <w:p>
      <w:pPr>
        <w:pStyle w:val="ListBullet"/>
      </w:pPr>
      <w:r>
        <w:t>Вставить ТЗ баннера → разобрать → превью заполнено.</w:t>
      </w:r>
    </w:p>
    <w:p>
      <w:pPr>
        <w:pStyle w:val="ListBullet"/>
      </w:pPr>
      <w:r>
        <w:t>Заполнить баннер → internalTitle/slug/даты/тексты/ссылки заполнены.</w:t>
      </w:r>
    </w:p>
    <w:p>
      <w:pPr>
        <w:pStyle w:val="ListBullet"/>
      </w:pPr>
      <w:r>
        <w:t>Slug не конфликтует с существующим (проверить в гриде).</w:t>
      </w:r>
    </w:p>
    <w:p>
      <w:pPr>
        <w:pStyle w:val="Heading2"/>
      </w:pPr>
      <w:r>
        <w:t>5.3 Акции</w:t>
      </w:r>
    </w:p>
    <w:p>
      <w:pPr>
        <w:pStyle w:val="ListBullet"/>
      </w:pPr>
      <w:r>
        <w:t>Открыть promotion/new → панель видна.</w:t>
      </w:r>
    </w:p>
    <w:p>
      <w:pPr>
        <w:pStyle w:val="ListBullet"/>
      </w:pPr>
      <w:r>
        <w:t>Вставить ТЗ акции → разобрать → превью заполнено.</w:t>
      </w:r>
    </w:p>
    <w:p>
      <w:pPr>
        <w:pStyle w:val="ListBullet"/>
      </w:pPr>
      <w:r>
        <w:t>Заполнить акцию → заполнены тип/даты/бренд/SKU/описание/дисклеймер.</w:t>
      </w:r>
    </w:p>
    <w:p>
      <w:pPr>
        <w:pStyle w:val="ListBullet"/>
      </w:pPr>
      <w:r>
        <w:t>Вставить пачку «1. … 2. …» → первая заполнилась, остальные в очередь.</w:t>
      </w:r>
    </w:p>
    <w:p>
      <w:pPr>
        <w:pStyle w:val="ListBullet"/>
      </w:pPr>
      <w:r>
        <w:t>«Следующая из очереди» подставляет следующую; статус предыдущей меняется на done.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